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0EB70">
      <w:pPr>
        <w:pStyle w:val="15"/>
        <w:bidi w:val="0"/>
        <w:rPr>
          <w:rFonts w:hint="default"/>
          <w:lang w:val="en-US" w:eastAsia="zh-CN"/>
        </w:rPr>
      </w:pPr>
      <w:bookmarkStart w:id="0" w:name="_GoBack"/>
      <w:r>
        <w:rPr>
          <w:rFonts w:hint="default"/>
          <w:lang w:val="en-US" w:eastAsia="zh-CN"/>
        </w:rPr>
        <w:t>《北京市先进制造业和现代服务业融合示范园区和试点企业认定及支持办法》解读材料</w:t>
      </w:r>
    </w:p>
    <w:bookmarkEnd w:id="0"/>
    <w:p w14:paraId="18D7FD0A">
      <w:pPr>
        <w:pStyle w:val="8"/>
        <w:bidi w:val="0"/>
        <w:rPr>
          <w:rFonts w:hint="default"/>
          <w:lang w:val="en-US" w:eastAsia="zh-CN"/>
        </w:rPr>
      </w:pPr>
      <w:r>
        <w:rPr>
          <w:rFonts w:hint="default"/>
          <w:lang w:val="en-US" w:eastAsia="zh-CN"/>
        </w:rPr>
        <w:t>日期：2026-08-31 </w:t>
      </w:r>
      <w:r>
        <w:rPr>
          <w:rFonts w:hint="eastAsia"/>
          <w:lang w:val="en-US" w:eastAsia="zh-CN"/>
        </w:rPr>
        <w:t xml:space="preserve">                         </w:t>
      </w:r>
      <w:r>
        <w:rPr>
          <w:rFonts w:hint="default"/>
          <w:lang w:val="en-US" w:eastAsia="zh-CN"/>
        </w:rPr>
        <w:t>来源：北京市发展和改革委员会</w:t>
      </w:r>
    </w:p>
    <w:p w14:paraId="4B1366FF">
      <w:pPr>
        <w:ind w:firstLine="560" w:firstLineChars="200"/>
        <w:rPr>
          <w:rFonts w:hint="default"/>
          <w:lang w:val="en-US" w:eastAsia="zh-CN"/>
        </w:rPr>
      </w:pPr>
      <w:r>
        <w:rPr>
          <w:rFonts w:hint="default"/>
          <w:lang w:val="en-US" w:eastAsia="zh-CN"/>
        </w:rPr>
        <w:t>推动先进制造业与现代服务业融合是增强制造业核心竞争力、培育现代化产业体系、实现高质量发展的重要途径。近日，市发展改革委、市规划自然资源委联合印发了《北京市先进制造业和现代服务业融合示范园区和试点企业认定及支持办法》（京发改规〔2026〕8号，以下简称《认定及支持办法》），按照“自愿申报、择优认定、分类分批、动态管理”原则，明确“两类主体、四个环节、七项举措”，扎实推进北京市两业融合试点示范工作，进一步探索具有北京特色的两业融合新机制、新模式。</w:t>
      </w:r>
    </w:p>
    <w:p w14:paraId="1FD371DE">
      <w:pPr>
        <w:pStyle w:val="2"/>
        <w:bidi w:val="0"/>
        <w:rPr>
          <w:rFonts w:hint="default"/>
          <w:lang w:val="en-US" w:eastAsia="zh-CN"/>
        </w:rPr>
      </w:pPr>
      <w:r>
        <w:rPr>
          <w:rFonts w:hint="default"/>
          <w:lang w:val="en-US" w:eastAsia="zh-CN"/>
        </w:rPr>
        <w:t>一、政策主要内容</w:t>
      </w:r>
    </w:p>
    <w:p w14:paraId="3345E072">
      <w:pPr>
        <w:ind w:firstLine="560" w:firstLineChars="200"/>
        <w:rPr>
          <w:rFonts w:hint="default"/>
          <w:lang w:val="en-US" w:eastAsia="zh-CN"/>
        </w:rPr>
      </w:pPr>
      <w:r>
        <w:rPr>
          <w:rFonts w:hint="default"/>
          <w:lang w:val="en-US" w:eastAsia="zh-CN"/>
        </w:rPr>
        <w:t>《办法》共6章、19条，明确了申报对象、认定流程及支持政策等内容。</w:t>
      </w:r>
    </w:p>
    <w:p w14:paraId="11D3B8A8">
      <w:pPr>
        <w:pStyle w:val="3"/>
        <w:bidi w:val="0"/>
        <w:rPr>
          <w:rFonts w:hint="default"/>
          <w:lang w:val="en-US" w:eastAsia="zh-CN"/>
        </w:rPr>
      </w:pPr>
      <w:r>
        <w:rPr>
          <w:rFonts w:hint="default"/>
          <w:lang w:val="en-US" w:eastAsia="zh-CN"/>
        </w:rPr>
        <w:t>（一）谁能申报：聚焦“两类主体”</w:t>
      </w:r>
    </w:p>
    <w:p w14:paraId="65D23F7D">
      <w:pPr>
        <w:ind w:firstLine="560" w:firstLineChars="200"/>
        <w:rPr>
          <w:rFonts w:hint="default"/>
          <w:lang w:val="en-US" w:eastAsia="zh-CN"/>
        </w:rPr>
      </w:pPr>
      <w:r>
        <w:rPr>
          <w:rFonts w:hint="default"/>
          <w:lang w:val="en-US" w:eastAsia="zh-CN"/>
        </w:rPr>
        <w:t>园区是产业发展的重要空间载体，企业是推动融合发展的主导力量，北京市两业融合试点示范主体分为示范园区和试点企业。</w:t>
      </w:r>
    </w:p>
    <w:p w14:paraId="12630835">
      <w:pPr>
        <w:ind w:firstLine="560" w:firstLineChars="200"/>
        <w:rPr>
          <w:rFonts w:hint="default"/>
          <w:lang w:val="en-US" w:eastAsia="zh-CN"/>
        </w:rPr>
      </w:pPr>
      <w:r>
        <w:rPr>
          <w:rFonts w:hint="default"/>
          <w:lang w:val="en-US" w:eastAsia="zh-CN"/>
        </w:rPr>
        <w:t>示范园区是指符合北京市两业融合八个重点领域、融合发展基础较好、具有较强的产业集群特征和辐射带动作用的产业园区。</w:t>
      </w:r>
    </w:p>
    <w:p w14:paraId="024B626D">
      <w:pPr>
        <w:ind w:firstLine="560" w:firstLineChars="200"/>
        <w:rPr>
          <w:rFonts w:hint="default"/>
          <w:lang w:val="en-US" w:eastAsia="zh-CN"/>
        </w:rPr>
      </w:pPr>
      <w:r>
        <w:rPr>
          <w:rFonts w:hint="default"/>
          <w:lang w:val="en-US" w:eastAsia="zh-CN"/>
        </w:rPr>
        <w:t>试点企业是指符合两业融合八个重点领域、创新能力突出、掌握核心技术、融合发展模式典型、具备较强的两业融合示范引领和辐射带动作用的企业。</w:t>
      </w:r>
    </w:p>
    <w:p w14:paraId="652DD39F">
      <w:pPr>
        <w:ind w:firstLine="560" w:firstLineChars="200"/>
        <w:rPr>
          <w:rFonts w:hint="default"/>
          <w:lang w:val="en-US" w:eastAsia="zh-CN"/>
        </w:rPr>
      </w:pPr>
      <w:r>
        <w:rPr>
          <w:rFonts w:hint="default"/>
          <w:lang w:val="en-US" w:eastAsia="zh-CN"/>
        </w:rPr>
        <w:t>在申报条件设置上，《认定及支持办法》参考国家级两业融合试点认定工作情况，充分考虑申报的便利性、指标的可达性和引领性，既突出北京特色，又与国家试点建设工作形成有效衔接。</w:t>
      </w:r>
    </w:p>
    <w:p w14:paraId="1B9095B6">
      <w:pPr>
        <w:ind w:firstLine="562" w:firstLineChars="200"/>
        <w:rPr>
          <w:rFonts w:hint="default"/>
          <w:lang w:val="en-US" w:eastAsia="zh-CN"/>
        </w:rPr>
      </w:pPr>
      <w:r>
        <w:rPr>
          <w:rStyle w:val="29"/>
          <w:rFonts w:hint="default"/>
          <w:lang w:val="en-US" w:eastAsia="zh-CN"/>
        </w:rPr>
        <w:t>1.两业融合示范园区。</w:t>
      </w:r>
      <w:r>
        <w:rPr>
          <w:rFonts w:hint="default"/>
          <w:lang w:val="en-US" w:eastAsia="zh-CN"/>
        </w:rPr>
        <w:t>示范园区在空间选取上具有一定灵活性，各区可以根据产业空间布局情况自行划定，园区土地或空间依法取得、四至范围明确、空间集中连片即可，同时需满足以下申报条件：</w:t>
      </w:r>
    </w:p>
    <w:p w14:paraId="181231DD">
      <w:pPr>
        <w:ind w:firstLine="560" w:firstLineChars="200"/>
        <w:rPr>
          <w:rFonts w:hint="default"/>
          <w:lang w:val="en-US" w:eastAsia="zh-CN"/>
        </w:rPr>
      </w:pPr>
      <w:r>
        <w:rPr>
          <w:rFonts w:hint="default"/>
          <w:lang w:val="en-US" w:eastAsia="zh-CN"/>
        </w:rPr>
        <w:t>运营管理—运营管理单位应是北京市内合法注册的法人单位或政府部门派出机构，已建立运营管理机制；</w:t>
      </w:r>
    </w:p>
    <w:p w14:paraId="12F055FA">
      <w:pPr>
        <w:ind w:firstLine="560" w:firstLineChars="200"/>
        <w:rPr>
          <w:rFonts w:hint="default"/>
          <w:lang w:val="en-US" w:eastAsia="zh-CN"/>
        </w:rPr>
      </w:pPr>
      <w:r>
        <w:rPr>
          <w:rFonts w:hint="default"/>
          <w:lang w:val="en-US" w:eastAsia="zh-CN"/>
        </w:rPr>
        <w:t>产业规模—园区年营业收入不低于100亿元；</w:t>
      </w:r>
    </w:p>
    <w:p w14:paraId="539AE931">
      <w:pPr>
        <w:ind w:firstLine="560" w:firstLineChars="200"/>
        <w:rPr>
          <w:rFonts w:hint="default"/>
          <w:lang w:val="en-US" w:eastAsia="zh-CN"/>
        </w:rPr>
      </w:pPr>
      <w:r>
        <w:rPr>
          <w:rFonts w:hint="default"/>
          <w:lang w:val="en-US" w:eastAsia="zh-CN"/>
        </w:rPr>
        <w:t>产出效率—园区内入驻企业平均单位面积年营业收入超过2万元/平方米；</w:t>
      </w:r>
    </w:p>
    <w:p w14:paraId="6DE6F755">
      <w:pPr>
        <w:ind w:firstLine="560" w:firstLineChars="200"/>
        <w:rPr>
          <w:rFonts w:hint="default"/>
          <w:lang w:val="en-US" w:eastAsia="zh-CN"/>
        </w:rPr>
      </w:pPr>
      <w:r>
        <w:rPr>
          <w:rFonts w:hint="default"/>
          <w:lang w:val="en-US" w:eastAsia="zh-CN"/>
        </w:rPr>
        <w:t>产业结构—先进制造年营业收入占园区年营业收入比重不低于30%，且现代服务年营业收入占园区年营业收入比重不低于30%；</w:t>
      </w:r>
    </w:p>
    <w:p w14:paraId="079BEBC2">
      <w:pPr>
        <w:ind w:firstLine="560" w:firstLineChars="200"/>
        <w:rPr>
          <w:rFonts w:hint="default"/>
          <w:lang w:val="en-US" w:eastAsia="zh-CN"/>
        </w:rPr>
      </w:pPr>
      <w:r>
        <w:rPr>
          <w:rFonts w:hint="default"/>
          <w:lang w:val="en-US" w:eastAsia="zh-CN"/>
        </w:rPr>
        <w:t>产业方向—园区主导产业符合北京市两业融合八个重点领域，主导产业年营业收入占园区年营业收入比重不低于50%。</w:t>
      </w:r>
    </w:p>
    <w:p w14:paraId="140B2C6F">
      <w:pPr>
        <w:ind w:firstLine="560" w:firstLineChars="200"/>
        <w:rPr>
          <w:rFonts w:hint="default"/>
          <w:lang w:val="en-US" w:eastAsia="zh-CN"/>
        </w:rPr>
      </w:pPr>
      <w:r>
        <w:rPr>
          <w:rFonts w:hint="default"/>
          <w:lang w:val="en-US" w:eastAsia="zh-CN"/>
        </w:rPr>
        <w:t>此外，为了鼓励具有较强融合发展潜力、目前尚处在起步期的新兴园区参与试点建设，两业融合特征鲜明、融合发展带动作用明显的新设园区，预计并承诺未来3年可达到示范园区条件的也可申报。</w:t>
      </w:r>
    </w:p>
    <w:p w14:paraId="52ED3303">
      <w:pPr>
        <w:ind w:firstLine="560" w:firstLineChars="200"/>
        <w:rPr>
          <w:rFonts w:hint="default"/>
          <w:lang w:val="en-US" w:eastAsia="zh-CN"/>
        </w:rPr>
      </w:pPr>
      <w:r>
        <w:rPr>
          <w:rFonts w:hint="default"/>
          <w:lang w:val="en-US" w:eastAsia="zh-CN"/>
        </w:rPr>
        <w:t>2.两业融合试点企业。试点企业包括领跑型试点企业和成长型试点企业两类，领跑型试点企业指行业优势地位突出、在产业链融合中发挥引领带动作用的企业，成长型试点企业指发展速度快、创新能力突出、在融合发展中发挥关键节点作用的企业。</w:t>
      </w:r>
    </w:p>
    <w:p w14:paraId="096373BB">
      <w:pPr>
        <w:ind w:firstLine="560" w:firstLineChars="200"/>
        <w:rPr>
          <w:rFonts w:hint="default"/>
          <w:lang w:val="en-US" w:eastAsia="zh-CN"/>
        </w:rPr>
      </w:pPr>
      <w:r>
        <w:rPr>
          <w:rFonts w:hint="default"/>
          <w:lang w:val="en-US" w:eastAsia="zh-CN"/>
        </w:rPr>
        <w:t>——领跑型试点企业</w:t>
      </w:r>
    </w:p>
    <w:p w14:paraId="4351346B">
      <w:pPr>
        <w:ind w:firstLine="560" w:firstLineChars="200"/>
        <w:rPr>
          <w:rFonts w:hint="default"/>
          <w:lang w:val="en-US" w:eastAsia="zh-CN"/>
        </w:rPr>
      </w:pPr>
      <w:r>
        <w:rPr>
          <w:rFonts w:hint="default"/>
          <w:lang w:val="en-US" w:eastAsia="zh-CN"/>
        </w:rPr>
        <w:t>考虑到领跑型试点企业，积极发挥辐射带动作用、引领上下游企业分工协作、联动融通，需满足以下2方面条件：</w:t>
      </w:r>
    </w:p>
    <w:p w14:paraId="26A52A5F">
      <w:pPr>
        <w:ind w:firstLine="560" w:firstLineChars="200"/>
        <w:rPr>
          <w:rFonts w:hint="default"/>
          <w:lang w:val="en-US" w:eastAsia="zh-CN"/>
        </w:rPr>
      </w:pPr>
      <w:r>
        <w:rPr>
          <w:rFonts w:hint="default"/>
          <w:lang w:val="en-US" w:eastAsia="zh-CN"/>
        </w:rPr>
        <w:t>企业规模—企业年营业收入不低于10亿元，或在细分行业市场占有率全国前10名；</w:t>
      </w:r>
    </w:p>
    <w:p w14:paraId="2C00A1B8">
      <w:pPr>
        <w:ind w:firstLine="560" w:firstLineChars="200"/>
        <w:rPr>
          <w:rFonts w:hint="default"/>
          <w:lang w:val="en-US" w:eastAsia="zh-CN"/>
        </w:rPr>
      </w:pPr>
      <w:r>
        <w:rPr>
          <w:rFonts w:hint="default"/>
          <w:lang w:val="en-US" w:eastAsia="zh-CN"/>
        </w:rPr>
        <w:t>服务投入—研发设计、检验检测、数字化运营管理、品牌建设等服务投入占总投入比重不低于20%。</w:t>
      </w:r>
    </w:p>
    <w:p w14:paraId="564490EC">
      <w:pPr>
        <w:ind w:firstLine="560" w:firstLineChars="200"/>
        <w:rPr>
          <w:rFonts w:hint="default"/>
          <w:lang w:val="en-US" w:eastAsia="zh-CN"/>
        </w:rPr>
      </w:pPr>
      <w:r>
        <w:rPr>
          <w:rFonts w:hint="default"/>
          <w:lang w:val="en-US" w:eastAsia="zh-CN"/>
        </w:rPr>
        <w:t>——成长型试点企业</w:t>
      </w:r>
    </w:p>
    <w:p w14:paraId="0472FA8B">
      <w:pPr>
        <w:ind w:firstLine="560" w:firstLineChars="200"/>
        <w:rPr>
          <w:rFonts w:hint="default"/>
          <w:lang w:val="en-US" w:eastAsia="zh-CN"/>
        </w:rPr>
      </w:pPr>
      <w:r>
        <w:rPr>
          <w:rFonts w:hint="default"/>
          <w:lang w:val="en-US" w:eastAsia="zh-CN"/>
        </w:rPr>
        <w:t>考虑到成长型试点企业要成为融合链条有影响力和辐射度的活跃力量。需满足以下3方面条件：</w:t>
      </w:r>
    </w:p>
    <w:p w14:paraId="58007E94">
      <w:pPr>
        <w:ind w:firstLine="560" w:firstLineChars="200"/>
        <w:rPr>
          <w:rFonts w:hint="default"/>
          <w:lang w:val="en-US" w:eastAsia="zh-CN"/>
        </w:rPr>
      </w:pPr>
      <w:r>
        <w:rPr>
          <w:rFonts w:hint="default"/>
          <w:lang w:val="en-US" w:eastAsia="zh-CN"/>
        </w:rPr>
        <w:t>业务能力—获得国家高新技术企业、国家级“专精特新”小巨人企业、北京市“专精特新”中小企业称号之一;</w:t>
      </w:r>
    </w:p>
    <w:p w14:paraId="27186E76">
      <w:pPr>
        <w:ind w:firstLine="560" w:firstLineChars="200"/>
        <w:rPr>
          <w:rFonts w:hint="default"/>
          <w:lang w:val="en-US" w:eastAsia="zh-CN"/>
        </w:rPr>
      </w:pPr>
      <w:r>
        <w:rPr>
          <w:rFonts w:hint="default"/>
          <w:lang w:val="en-US" w:eastAsia="zh-CN"/>
        </w:rPr>
        <w:t>成长速度—近三年营业收入平均增长率不低于20%或利润平均增长率不低于8%；</w:t>
      </w:r>
    </w:p>
    <w:p w14:paraId="65FE8692">
      <w:pPr>
        <w:ind w:firstLine="560" w:firstLineChars="200"/>
        <w:rPr>
          <w:rFonts w:hint="default"/>
          <w:lang w:val="en-US" w:eastAsia="zh-CN"/>
        </w:rPr>
      </w:pPr>
      <w:r>
        <w:rPr>
          <w:rFonts w:hint="default"/>
          <w:lang w:val="en-US" w:eastAsia="zh-CN"/>
        </w:rPr>
        <w:t>服务投入—研发设计、检验检测、数字化管理运营、品牌建设等服务投入占总投入比重不低于40%。</w:t>
      </w:r>
    </w:p>
    <w:p w14:paraId="0DFC2EF6">
      <w:pPr>
        <w:pStyle w:val="3"/>
        <w:bidi w:val="0"/>
        <w:rPr>
          <w:rFonts w:hint="default"/>
          <w:lang w:val="en-US" w:eastAsia="zh-CN"/>
        </w:rPr>
      </w:pPr>
      <w:r>
        <w:rPr>
          <w:rFonts w:hint="default"/>
          <w:lang w:val="en-US" w:eastAsia="zh-CN"/>
        </w:rPr>
        <w:t>（二）如何认定：4个环节</w:t>
      </w:r>
    </w:p>
    <w:p w14:paraId="5636E5E5">
      <w:pPr>
        <w:ind w:firstLine="560" w:firstLineChars="200"/>
        <w:rPr>
          <w:rFonts w:hint="default"/>
          <w:lang w:val="en-US" w:eastAsia="zh-CN"/>
        </w:rPr>
      </w:pPr>
      <w:r>
        <w:rPr>
          <w:rFonts w:hint="default"/>
          <w:lang w:val="en-US" w:eastAsia="zh-CN"/>
        </w:rPr>
        <w:t>试点示范认定工作流程分为4个环节：</w:t>
      </w:r>
    </w:p>
    <w:p w14:paraId="4FD9E4F2">
      <w:pPr>
        <w:ind w:firstLine="560" w:firstLineChars="200"/>
        <w:rPr>
          <w:rFonts w:hint="default"/>
          <w:lang w:val="en-US" w:eastAsia="zh-CN"/>
        </w:rPr>
      </w:pPr>
      <w:r>
        <w:rPr>
          <w:rFonts w:hint="default"/>
          <w:lang w:val="en-US" w:eastAsia="zh-CN"/>
        </w:rPr>
        <w:t>第一步是申报环节，两业融合园区及企业将相关材料报送至所在区发展改革部门，由各区发展改革部门组织辖区内试点示范申报并进行初审。报送材料主要包括企业规模、发展方向、运营模式等基本情况，以及主导产业构成、产业集聚等过去三年融合发展情况等。</w:t>
      </w:r>
    </w:p>
    <w:p w14:paraId="4A3CBBA9">
      <w:pPr>
        <w:ind w:firstLine="560" w:firstLineChars="200"/>
        <w:rPr>
          <w:rFonts w:hint="default"/>
          <w:lang w:val="en-US" w:eastAsia="zh-CN"/>
        </w:rPr>
      </w:pPr>
      <w:r>
        <w:rPr>
          <w:rFonts w:hint="default"/>
          <w:lang w:val="en-US" w:eastAsia="zh-CN"/>
        </w:rPr>
        <w:t>第二步是评选环节，由市发展改革委对两业融合试点示范申报材料的完整性、方向符合性等进行形式审查，然后由第三方机构开展专家评审并提出评审意见和推荐名单，最后由市级两业融合发展联席会议进行审议，确定拟认定试点示范单位名单。</w:t>
      </w:r>
    </w:p>
    <w:p w14:paraId="52650D62">
      <w:pPr>
        <w:ind w:firstLine="560" w:firstLineChars="200"/>
        <w:rPr>
          <w:rFonts w:hint="default"/>
          <w:lang w:val="en-US" w:eastAsia="zh-CN"/>
        </w:rPr>
      </w:pPr>
      <w:r>
        <w:rPr>
          <w:rFonts w:hint="default"/>
          <w:lang w:val="en-US" w:eastAsia="zh-CN"/>
        </w:rPr>
        <w:t>第三步是公示环节，对拟认定试点示范单位名单在市发展改革委网站上进行为期5个工作日的公示。</w:t>
      </w:r>
    </w:p>
    <w:p w14:paraId="62D4C200">
      <w:pPr>
        <w:ind w:firstLine="560" w:firstLineChars="200"/>
        <w:rPr>
          <w:rFonts w:hint="default"/>
          <w:lang w:val="en-US" w:eastAsia="zh-CN"/>
        </w:rPr>
      </w:pPr>
      <w:r>
        <w:rPr>
          <w:rFonts w:hint="default"/>
          <w:lang w:val="en-US" w:eastAsia="zh-CN"/>
        </w:rPr>
        <w:t>第四步是确认环节，将公示期满无异议的单位确定为正式试点示范单位并公开发布。</w:t>
      </w:r>
    </w:p>
    <w:p w14:paraId="4EC2736C">
      <w:pPr>
        <w:ind w:firstLine="560" w:firstLineChars="200"/>
        <w:rPr>
          <w:rFonts w:hint="default"/>
          <w:lang w:val="en-US" w:eastAsia="zh-CN"/>
        </w:rPr>
      </w:pPr>
      <w:r>
        <w:rPr>
          <w:rFonts w:hint="default"/>
          <w:lang w:val="en-US" w:eastAsia="zh-CN"/>
        </w:rPr>
        <w:t>市发展改革委将适时组织第三方机构开展试点示范建设综合评价，对试点示范单位实施动态管理。</w:t>
      </w:r>
    </w:p>
    <w:p w14:paraId="2B132E66">
      <w:pPr>
        <w:pStyle w:val="3"/>
        <w:bidi w:val="0"/>
        <w:rPr>
          <w:rFonts w:hint="default"/>
          <w:lang w:val="en-US" w:eastAsia="zh-CN"/>
        </w:rPr>
      </w:pPr>
      <w:r>
        <w:rPr>
          <w:rFonts w:hint="default"/>
          <w:lang w:val="en-US" w:eastAsia="zh-CN"/>
        </w:rPr>
        <w:t>（三）支持举措：持续优化融合生态</w:t>
      </w:r>
    </w:p>
    <w:p w14:paraId="2055AA96">
      <w:pPr>
        <w:ind w:firstLine="560" w:firstLineChars="200"/>
        <w:rPr>
          <w:rFonts w:hint="default"/>
          <w:lang w:val="en-US" w:eastAsia="zh-CN"/>
        </w:rPr>
      </w:pPr>
      <w:r>
        <w:rPr>
          <w:rFonts w:hint="default"/>
          <w:lang w:val="en-US" w:eastAsia="zh-CN"/>
        </w:rPr>
        <w:t>《认定及支持办法》针对推进融合发展过程中园区和企业面临的共性问题，用创新破解难题，集中发力从用地、资金等多方面优化两业融合发展生态，激发融合发展内生动力。比如，根据《认定及支持办法》，鼓励示范园区内已建成运营的工业用地在符合规划管控要求前提下，增加容积率扩大生产，不改变土地用途仅增加容积率的城市更新项目，容积率未超过1.5时不补缴土地价款，提升产业承载空间，用以实现产业更新升级。此外，对示范园区内共性技术服务平台、“一站式”产业服务平台等共性产业服务设施建设项目，以及低效腾退产业空间改造用于发展两业融合业态等项目予以资金支持，持续优化园区融合发展生态。</w:t>
      </w:r>
    </w:p>
    <w:p w14:paraId="5DF6375F">
      <w:pPr>
        <w:pStyle w:val="2"/>
        <w:bidi w:val="0"/>
        <w:rPr>
          <w:rFonts w:hint="default"/>
          <w:lang w:val="en-US" w:eastAsia="zh-CN"/>
        </w:rPr>
      </w:pPr>
      <w:r>
        <w:rPr>
          <w:rFonts w:hint="default"/>
          <w:lang w:val="en-US" w:eastAsia="zh-CN"/>
        </w:rPr>
        <w:t>二、政策问答</w:t>
      </w:r>
    </w:p>
    <w:p w14:paraId="4469966A">
      <w:pPr>
        <w:pStyle w:val="4"/>
        <w:bidi w:val="0"/>
        <w:rPr>
          <w:rFonts w:hint="default"/>
          <w:lang w:val="en-US" w:eastAsia="zh-CN"/>
        </w:rPr>
      </w:pPr>
      <w:r>
        <w:rPr>
          <w:rFonts w:hint="default"/>
          <w:lang w:val="en-US" w:eastAsia="zh-CN"/>
        </w:rPr>
        <w:t>1.在政策试行期间，探索形成了哪些好的经验做法？</w:t>
      </w:r>
    </w:p>
    <w:p w14:paraId="22525059">
      <w:pPr>
        <w:ind w:firstLine="560" w:firstLineChars="200"/>
        <w:rPr>
          <w:rFonts w:hint="default"/>
          <w:lang w:val="en-US" w:eastAsia="zh-CN"/>
        </w:rPr>
      </w:pPr>
      <w:r>
        <w:rPr>
          <w:rFonts w:hint="default"/>
          <w:lang w:val="en-US" w:eastAsia="zh-CN"/>
        </w:rPr>
        <w:t>政策试行以来，市发展改革委会同各有关单位，围绕本市两业融合八个重点领域、全市主导产业和各区产业发展比较优势，突出融合发展特色、机制健全、示范引领、调动各方积极性，分两批评选认定了昌平清华国重基地两业融合等8家市级示范园区，康龙化成等67家市级试点企业，与国家级“一园五企”形成梯度培育体系。</w:t>
      </w:r>
    </w:p>
    <w:p w14:paraId="27370CF5">
      <w:pPr>
        <w:ind w:firstLine="560" w:firstLineChars="200"/>
        <w:rPr>
          <w:rFonts w:hint="default"/>
          <w:lang w:val="en-US" w:eastAsia="zh-CN"/>
        </w:rPr>
      </w:pPr>
      <w:r>
        <w:rPr>
          <w:rFonts w:hint="default"/>
          <w:lang w:val="en-US" w:eastAsia="zh-CN"/>
        </w:rPr>
        <w:t>试点企业和示范园区在融合发展路径、园区机制创新等方面积极探索，形成了一批典型经验做法。示范园区围绕主导产业、融合发展重点领域，创新“事业+企业”运营管理机制，“一园区一方案”探索融合发展路径，将科技创新资源密集、生产性服务业资源集中、产业发展资源集聚优势转化为产业发展动能，形成亦庄两业融合园区“生物医药研发+制造+健康服务”、房山两业融合园区“研发+中试验证+规模制造+智慧物流”等融合发展模式。试点企业围绕两业融合八个重点领域，发挥在产业链中的辐射带动作用，依托产业共性平台，将研发、设计、检测、试验等生产性服务元素和生产制造环节有机融合，在各自领域探索出一批融合发展模式。比如，在新一代信息技术和制造业服务业融合领域，试点企业应用大数据、人工智能、工业互联网等技术，面向制造领域提供仿真测试、管理决策、智能运维等定制化服务，形成“卫星物联网数据通信服务+行业应用解决方案”、“工业互联网+设计制造解决方案”等融合模式。</w:t>
      </w:r>
    </w:p>
    <w:p w14:paraId="673351E8">
      <w:pPr>
        <w:pStyle w:val="4"/>
        <w:bidi w:val="0"/>
        <w:rPr>
          <w:rFonts w:hint="default"/>
          <w:lang w:val="en-US" w:eastAsia="zh-CN"/>
        </w:rPr>
      </w:pPr>
      <w:r>
        <w:rPr>
          <w:rFonts w:hint="default"/>
          <w:lang w:val="en-US" w:eastAsia="zh-CN"/>
        </w:rPr>
        <w:t>2.政策出台后，有哪些下一步工作考虑？</w:t>
      </w:r>
    </w:p>
    <w:p w14:paraId="05B12D89">
      <w:pPr>
        <w:pStyle w:val="2"/>
        <w:bidi w:val="0"/>
        <w:rPr>
          <w:rFonts w:hint="default"/>
          <w:lang w:val="en-US" w:eastAsia="zh-CN"/>
        </w:rPr>
      </w:pPr>
      <w:r>
        <w:rPr>
          <w:rFonts w:hint="default"/>
          <w:lang w:val="en-US" w:eastAsia="zh-CN"/>
        </w:rPr>
        <w:t>政策出台后，市发展改革委将会同各区抓紧组织开展第三批两业融合示范园区和试点企业认定相关工作，并通过两业融合企业交流会等形式广泛宣讲政策，欢迎有关主体联系所在区积极申报。下一步，市发展改革委将会同各相关部门抓紧推动各项举措落实见效，同时积极总结融合成效显著、经验模式典型、带动作用明显的示范园区、试点企业优秀案例，大力引导市场主体通过融合发展实现赋能增效、转型升级，为现代化产业体系建设提供有力支撑。</w:t>
      </w:r>
    </w:p>
    <w:p w14:paraId="588EF139">
      <w:pPr>
        <w:ind w:firstLine="560" w:firstLineChars="200"/>
        <w:rPr>
          <w:rFonts w:hint="default"/>
          <w:lang w:val="en-US" w:eastAsia="zh-CN"/>
        </w:rPr>
      </w:pPr>
      <w:r>
        <w:rPr>
          <w:rFonts w:hint="default"/>
          <w:lang w:val="en-US" w:eastAsia="zh-CN"/>
        </w:rPr>
        <w:t>三、关键词诠释、专业名词解释</w:t>
      </w:r>
    </w:p>
    <w:p w14:paraId="0B9E5A32">
      <w:pPr>
        <w:ind w:firstLine="560" w:firstLineChars="200"/>
        <w:rPr>
          <w:rFonts w:hint="default"/>
          <w:lang w:val="en-US" w:eastAsia="zh-CN"/>
        </w:rPr>
      </w:pPr>
      <w:r>
        <w:rPr>
          <w:rFonts w:hint="default"/>
          <w:lang w:val="en-US" w:eastAsia="zh-CN"/>
        </w:rPr>
        <w:t>两业融合：即先进制造业和现代服务业融合，是在技术进步、市场开放、制度创新的驱动下，通过技术牵引、产业联动、链条延伸等途径，推动产业交叉渗透，培育形成新业态新模式，促进制造业和服务业协同耦合。</w:t>
      </w:r>
    </w:p>
    <w:p w14:paraId="49E846A6">
      <w:pPr>
        <w:ind w:firstLine="560" w:firstLineChars="200"/>
        <w:rPr>
          <w:rFonts w:hint="default"/>
          <w:lang w:val="en-US" w:eastAsia="zh-CN"/>
        </w:rPr>
      </w:pPr>
      <w:r>
        <w:rPr>
          <w:rFonts w:hint="default"/>
          <w:lang w:val="en-US" w:eastAsia="zh-CN"/>
        </w:rPr>
        <w:t>https://fgw.beijing.gov.cn/fgwzwgk/2024zcjd/202608/t20260831_4843465.htm</w:t>
      </w:r>
    </w:p>
    <w:sectPr>
      <w:headerReference r:id="rId7" w:type="first"/>
      <w:footerReference r:id="rId10" w:type="first"/>
      <w:headerReference r:id="rId5" w:type="default"/>
      <w:footerReference r:id="rId8" w:type="default"/>
      <w:headerReference r:id="rId6" w:type="even"/>
      <w:footerReference r:id="rId9" w:type="even"/>
      <w:pgSz w:w="11906" w:h="16838"/>
      <w:pgMar w:top="1021" w:right="737" w:bottom="567" w:left="964" w:header="0" w:footer="340" w:gutter="0"/>
      <w:lnNumType w:countBy="0" w:restart="continuous"/>
      <w:cols w:space="720" w:num="1"/>
      <w:docGrid w:type="lines" w:linePitch="381"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073">
      <wne:acd wne:acdName="acd1"/>
    </wne:keymap>
    <wne:keymap wne:kcmPrimary="0072">
      <wne:acd wne:acdName="acd2"/>
    </wne:keymap>
    <wne:keymap wne:kcmPrimary="0431">
      <wne:acd wne:acdName="acd3"/>
    </wne:keymap>
    <wne:keymap wne:kcmPrimary="0433">
      <wne:acd wne:acdName="acd4"/>
    </wne:keymap>
  </wne:keymaps>
  <wne:acds>
    <wne:acd wne:argValue="AQAAAD4A" wne:acdName="acd0" wne:fciIndexBasedOn="0065"/>
    <wne:acd wne:argValue="AQAAAAMA" wne:acdName="acd1" wne:fciIndexBasedOn="0065"/>
    <wne:acd wne:argValue="AQAAAAIA" wne:acdName="acd2" wne:fciIndexBasedOn="0065"/>
    <wne:acd wne:argValue="AQAAAAcA" wne:acdName="acd3" wne:fciIndexBasedOn="0065"/>
    <wne:acd wne:argValue="AQAAAAQ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BA71">
    <w:pPr>
      <w:pStyle w:val="1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04D3F727">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483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A2F5">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1441">
    <w:pPr>
      <w:pStyle w:val="11"/>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0FB91">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4D0E">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MjI5YjhlNTAxYzUyOTYyYWZlMGFjYmE4ZTczY2EifQ=="/>
  </w:docVars>
  <w:rsids>
    <w:rsidRoot w:val="008646BD"/>
    <w:rsid w:val="000952D0"/>
    <w:rsid w:val="001A2DA0"/>
    <w:rsid w:val="001C34A5"/>
    <w:rsid w:val="00200674"/>
    <w:rsid w:val="002015BF"/>
    <w:rsid w:val="00213952"/>
    <w:rsid w:val="00266005"/>
    <w:rsid w:val="002837A7"/>
    <w:rsid w:val="002B0CB8"/>
    <w:rsid w:val="002B58EF"/>
    <w:rsid w:val="002D0912"/>
    <w:rsid w:val="00356EC6"/>
    <w:rsid w:val="003D4685"/>
    <w:rsid w:val="003E1B9B"/>
    <w:rsid w:val="00400ACF"/>
    <w:rsid w:val="00435CBF"/>
    <w:rsid w:val="00445C46"/>
    <w:rsid w:val="00446D85"/>
    <w:rsid w:val="004629C9"/>
    <w:rsid w:val="00474356"/>
    <w:rsid w:val="0049009B"/>
    <w:rsid w:val="004B411A"/>
    <w:rsid w:val="004E2A21"/>
    <w:rsid w:val="00502BE0"/>
    <w:rsid w:val="00527965"/>
    <w:rsid w:val="00541495"/>
    <w:rsid w:val="0056140E"/>
    <w:rsid w:val="00592654"/>
    <w:rsid w:val="005A735E"/>
    <w:rsid w:val="005D325A"/>
    <w:rsid w:val="005E1220"/>
    <w:rsid w:val="006B1EF5"/>
    <w:rsid w:val="006C53F4"/>
    <w:rsid w:val="006C6AA9"/>
    <w:rsid w:val="00762811"/>
    <w:rsid w:val="00856EBE"/>
    <w:rsid w:val="008646BD"/>
    <w:rsid w:val="00871C17"/>
    <w:rsid w:val="008D3059"/>
    <w:rsid w:val="009940CD"/>
    <w:rsid w:val="009C24DA"/>
    <w:rsid w:val="009D5A6E"/>
    <w:rsid w:val="00A131F8"/>
    <w:rsid w:val="00A23FE0"/>
    <w:rsid w:val="00A306C1"/>
    <w:rsid w:val="00A37658"/>
    <w:rsid w:val="00AB326C"/>
    <w:rsid w:val="00C00734"/>
    <w:rsid w:val="00C00AF2"/>
    <w:rsid w:val="00C26FAA"/>
    <w:rsid w:val="00C33B6B"/>
    <w:rsid w:val="00C60FF7"/>
    <w:rsid w:val="00C64727"/>
    <w:rsid w:val="00D26B81"/>
    <w:rsid w:val="00D50192"/>
    <w:rsid w:val="00D56554"/>
    <w:rsid w:val="00D97296"/>
    <w:rsid w:val="00E0155F"/>
    <w:rsid w:val="00E02056"/>
    <w:rsid w:val="00E86AF6"/>
    <w:rsid w:val="00EB649E"/>
    <w:rsid w:val="00EC5ABB"/>
    <w:rsid w:val="00F016CB"/>
    <w:rsid w:val="00F17701"/>
    <w:rsid w:val="00F50F80"/>
    <w:rsid w:val="00F57B68"/>
    <w:rsid w:val="00FC6509"/>
    <w:rsid w:val="02054F52"/>
    <w:rsid w:val="0383219D"/>
    <w:rsid w:val="03E5615F"/>
    <w:rsid w:val="04BE52E0"/>
    <w:rsid w:val="04C52596"/>
    <w:rsid w:val="04E5597F"/>
    <w:rsid w:val="05C9270C"/>
    <w:rsid w:val="05CC0449"/>
    <w:rsid w:val="05CC6BA7"/>
    <w:rsid w:val="05F56545"/>
    <w:rsid w:val="06961A26"/>
    <w:rsid w:val="06AB5303"/>
    <w:rsid w:val="072E100E"/>
    <w:rsid w:val="075325DA"/>
    <w:rsid w:val="07D41004"/>
    <w:rsid w:val="08232C96"/>
    <w:rsid w:val="093C70F8"/>
    <w:rsid w:val="09CC2E5E"/>
    <w:rsid w:val="0A3D2F70"/>
    <w:rsid w:val="0B9079F1"/>
    <w:rsid w:val="0B943B18"/>
    <w:rsid w:val="0DD94583"/>
    <w:rsid w:val="0E1238D7"/>
    <w:rsid w:val="0E592DD6"/>
    <w:rsid w:val="0EBE39E4"/>
    <w:rsid w:val="0F033741"/>
    <w:rsid w:val="0F9E1127"/>
    <w:rsid w:val="0FC26D8E"/>
    <w:rsid w:val="10225A02"/>
    <w:rsid w:val="109003E2"/>
    <w:rsid w:val="10D02130"/>
    <w:rsid w:val="11284EE7"/>
    <w:rsid w:val="122C71D3"/>
    <w:rsid w:val="126555E2"/>
    <w:rsid w:val="12B6109D"/>
    <w:rsid w:val="135C6A68"/>
    <w:rsid w:val="13A543FC"/>
    <w:rsid w:val="14AC3169"/>
    <w:rsid w:val="14BA55A9"/>
    <w:rsid w:val="15313E4A"/>
    <w:rsid w:val="16E465E6"/>
    <w:rsid w:val="17B571BE"/>
    <w:rsid w:val="183B3D17"/>
    <w:rsid w:val="186567B7"/>
    <w:rsid w:val="187A04AD"/>
    <w:rsid w:val="188602CE"/>
    <w:rsid w:val="191F6B75"/>
    <w:rsid w:val="19470B19"/>
    <w:rsid w:val="19DB3E43"/>
    <w:rsid w:val="19E646A3"/>
    <w:rsid w:val="1A3F168A"/>
    <w:rsid w:val="1ACD4BC9"/>
    <w:rsid w:val="1AD00105"/>
    <w:rsid w:val="1C1F5C60"/>
    <w:rsid w:val="1C26202E"/>
    <w:rsid w:val="1CFA082A"/>
    <w:rsid w:val="1D2B08CD"/>
    <w:rsid w:val="1D75769C"/>
    <w:rsid w:val="1E486D5E"/>
    <w:rsid w:val="20E515DF"/>
    <w:rsid w:val="20EE4514"/>
    <w:rsid w:val="21490716"/>
    <w:rsid w:val="226D40AF"/>
    <w:rsid w:val="22A660F0"/>
    <w:rsid w:val="23350630"/>
    <w:rsid w:val="239C0C8D"/>
    <w:rsid w:val="242B3DB3"/>
    <w:rsid w:val="2458023C"/>
    <w:rsid w:val="24891F4C"/>
    <w:rsid w:val="24DD1B30"/>
    <w:rsid w:val="24FB777E"/>
    <w:rsid w:val="269C20DC"/>
    <w:rsid w:val="26BE469D"/>
    <w:rsid w:val="28341D78"/>
    <w:rsid w:val="284055FE"/>
    <w:rsid w:val="284C442A"/>
    <w:rsid w:val="28500425"/>
    <w:rsid w:val="288233CE"/>
    <w:rsid w:val="29481F8B"/>
    <w:rsid w:val="299E2259"/>
    <w:rsid w:val="29AE54C4"/>
    <w:rsid w:val="2A20733C"/>
    <w:rsid w:val="2A36166C"/>
    <w:rsid w:val="2A5B6A65"/>
    <w:rsid w:val="2AC85DD5"/>
    <w:rsid w:val="2B983D5E"/>
    <w:rsid w:val="2BD17CE5"/>
    <w:rsid w:val="2C1B2534"/>
    <w:rsid w:val="2C5661E7"/>
    <w:rsid w:val="2CC90378"/>
    <w:rsid w:val="2DDA75F8"/>
    <w:rsid w:val="2E451107"/>
    <w:rsid w:val="2E561F32"/>
    <w:rsid w:val="2F167534"/>
    <w:rsid w:val="30D427EB"/>
    <w:rsid w:val="31604062"/>
    <w:rsid w:val="31AC3498"/>
    <w:rsid w:val="31BA36E4"/>
    <w:rsid w:val="34163C6F"/>
    <w:rsid w:val="34E21617"/>
    <w:rsid w:val="34FC0B26"/>
    <w:rsid w:val="35CC7FE4"/>
    <w:rsid w:val="360A0131"/>
    <w:rsid w:val="370B0758"/>
    <w:rsid w:val="387E58D5"/>
    <w:rsid w:val="38D5360F"/>
    <w:rsid w:val="3B005163"/>
    <w:rsid w:val="3B566601"/>
    <w:rsid w:val="3B700A68"/>
    <w:rsid w:val="3BC5648D"/>
    <w:rsid w:val="3C131F35"/>
    <w:rsid w:val="3C8B707E"/>
    <w:rsid w:val="3D0B60DD"/>
    <w:rsid w:val="3D242F7A"/>
    <w:rsid w:val="3E9C40F3"/>
    <w:rsid w:val="3F047193"/>
    <w:rsid w:val="40B15178"/>
    <w:rsid w:val="4139196E"/>
    <w:rsid w:val="415848E1"/>
    <w:rsid w:val="417A5F93"/>
    <w:rsid w:val="418935AC"/>
    <w:rsid w:val="4296377D"/>
    <w:rsid w:val="42F8070A"/>
    <w:rsid w:val="430E0353"/>
    <w:rsid w:val="433C38D6"/>
    <w:rsid w:val="441C68B9"/>
    <w:rsid w:val="446948F1"/>
    <w:rsid w:val="455F2176"/>
    <w:rsid w:val="45B9632A"/>
    <w:rsid w:val="46931CE2"/>
    <w:rsid w:val="47407E1B"/>
    <w:rsid w:val="477B0D92"/>
    <w:rsid w:val="47A516B2"/>
    <w:rsid w:val="480F418D"/>
    <w:rsid w:val="483F5039"/>
    <w:rsid w:val="485C7A85"/>
    <w:rsid w:val="486F5D2C"/>
    <w:rsid w:val="4B077B9F"/>
    <w:rsid w:val="4CF97814"/>
    <w:rsid w:val="4D797ECA"/>
    <w:rsid w:val="4E7271B8"/>
    <w:rsid w:val="4EB31BF9"/>
    <w:rsid w:val="4F216E80"/>
    <w:rsid w:val="4F6B7653"/>
    <w:rsid w:val="4FEE4718"/>
    <w:rsid w:val="505020B9"/>
    <w:rsid w:val="513841CB"/>
    <w:rsid w:val="514A0E57"/>
    <w:rsid w:val="515B6E68"/>
    <w:rsid w:val="52025F45"/>
    <w:rsid w:val="52511EB8"/>
    <w:rsid w:val="52687459"/>
    <w:rsid w:val="528945A2"/>
    <w:rsid w:val="53AA5870"/>
    <w:rsid w:val="53E95DC9"/>
    <w:rsid w:val="54581D88"/>
    <w:rsid w:val="54992FDE"/>
    <w:rsid w:val="5599644C"/>
    <w:rsid w:val="56A05C5E"/>
    <w:rsid w:val="56CD336C"/>
    <w:rsid w:val="57691CAA"/>
    <w:rsid w:val="579B39F0"/>
    <w:rsid w:val="57A37E38"/>
    <w:rsid w:val="58700445"/>
    <w:rsid w:val="587662C1"/>
    <w:rsid w:val="58E45E5C"/>
    <w:rsid w:val="5966249A"/>
    <w:rsid w:val="599D54F4"/>
    <w:rsid w:val="59C57696"/>
    <w:rsid w:val="5ABE63C0"/>
    <w:rsid w:val="5B5F3C17"/>
    <w:rsid w:val="5C0F18E6"/>
    <w:rsid w:val="5D36633D"/>
    <w:rsid w:val="5D942074"/>
    <w:rsid w:val="5E8D152A"/>
    <w:rsid w:val="5F110691"/>
    <w:rsid w:val="5F42540D"/>
    <w:rsid w:val="605308F0"/>
    <w:rsid w:val="60F01468"/>
    <w:rsid w:val="613B531F"/>
    <w:rsid w:val="61537BFA"/>
    <w:rsid w:val="616E77F5"/>
    <w:rsid w:val="61941FCD"/>
    <w:rsid w:val="61A372B8"/>
    <w:rsid w:val="61CC184F"/>
    <w:rsid w:val="61FB7F6E"/>
    <w:rsid w:val="626A293A"/>
    <w:rsid w:val="632C62D6"/>
    <w:rsid w:val="63E140F1"/>
    <w:rsid w:val="65F73711"/>
    <w:rsid w:val="66801568"/>
    <w:rsid w:val="6710609A"/>
    <w:rsid w:val="67697562"/>
    <w:rsid w:val="688F60F2"/>
    <w:rsid w:val="695B7490"/>
    <w:rsid w:val="69C218FE"/>
    <w:rsid w:val="6BDB68DE"/>
    <w:rsid w:val="6C270DD3"/>
    <w:rsid w:val="6C705350"/>
    <w:rsid w:val="6D872A5A"/>
    <w:rsid w:val="6DC836A7"/>
    <w:rsid w:val="6E1F25FD"/>
    <w:rsid w:val="6E413E28"/>
    <w:rsid w:val="6F370898"/>
    <w:rsid w:val="6F4638FD"/>
    <w:rsid w:val="70956FE4"/>
    <w:rsid w:val="71020CE1"/>
    <w:rsid w:val="73F7433F"/>
    <w:rsid w:val="74C55E96"/>
    <w:rsid w:val="756F626F"/>
    <w:rsid w:val="75930F1E"/>
    <w:rsid w:val="76FA56D9"/>
    <w:rsid w:val="775748F9"/>
    <w:rsid w:val="77BF12F7"/>
    <w:rsid w:val="78264085"/>
    <w:rsid w:val="78AE6AA2"/>
    <w:rsid w:val="79060B26"/>
    <w:rsid w:val="79665442"/>
    <w:rsid w:val="798E17BF"/>
    <w:rsid w:val="79D16624"/>
    <w:rsid w:val="79E44119"/>
    <w:rsid w:val="7A283BED"/>
    <w:rsid w:val="7A5A1A94"/>
    <w:rsid w:val="7AA0221D"/>
    <w:rsid w:val="7B705706"/>
    <w:rsid w:val="7C8440E2"/>
    <w:rsid w:val="7D324444"/>
    <w:rsid w:val="7D470D1C"/>
    <w:rsid w:val="7DCC36B1"/>
    <w:rsid w:val="7E0E1F5B"/>
    <w:rsid w:val="7E39495F"/>
    <w:rsid w:val="7F3A0F43"/>
    <w:rsid w:val="7F875CA6"/>
    <w:rsid w:val="7FDF55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200" w:firstLineChars="200"/>
    </w:pPr>
    <w:rPr>
      <w:rFonts w:ascii="仿宋_GB2312" w:hAnsi="仿宋_GB2312" w:eastAsia="仿宋_GB2312" w:cs="Times New Roman"/>
      <w:kern w:val="2"/>
      <w:sz w:val="28"/>
      <w:szCs w:val="22"/>
      <w:lang w:val="en-US" w:eastAsia="zh-CN" w:bidi="ar-SA"/>
    </w:rPr>
  </w:style>
  <w:style w:type="paragraph" w:styleId="2">
    <w:name w:val="heading 1"/>
    <w:basedOn w:val="1"/>
    <w:next w:val="1"/>
    <w:link w:val="25"/>
    <w:qFormat/>
    <w:uiPriority w:val="9"/>
    <w:pPr>
      <w:keepNext/>
      <w:keepLines/>
      <w:spacing w:line="440" w:lineRule="exact"/>
      <w:ind w:firstLine="560" w:firstLineChars="200"/>
      <w:outlineLvl w:val="0"/>
    </w:pPr>
    <w:rPr>
      <w:rFonts w:ascii="黑体" w:hAnsi="黑体" w:eastAsia="黑体"/>
      <w:bCs/>
      <w:kern w:val="44"/>
      <w:szCs w:val="44"/>
    </w:rPr>
  </w:style>
  <w:style w:type="paragraph" w:styleId="3">
    <w:name w:val="heading 2"/>
    <w:basedOn w:val="1"/>
    <w:next w:val="1"/>
    <w:link w:val="28"/>
    <w:unhideWhenUsed/>
    <w:qFormat/>
    <w:uiPriority w:val="9"/>
    <w:pPr>
      <w:spacing w:before="0" w:beforeAutospacing="0" w:after="0" w:afterAutospacing="0"/>
      <w:jc w:val="left"/>
      <w:outlineLvl w:val="1"/>
    </w:pPr>
    <w:rPr>
      <w:rFonts w:hint="eastAsia" w:ascii="楷体_GB2312" w:hAnsi="楷体_GB2312" w:eastAsia="楷体_GB2312" w:cs="宋体"/>
      <w:b/>
      <w:bCs/>
      <w:kern w:val="0"/>
      <w:szCs w:val="36"/>
      <w:lang w:bidi="ar"/>
    </w:rPr>
  </w:style>
  <w:style w:type="paragraph" w:styleId="4">
    <w:name w:val="heading 3"/>
    <w:basedOn w:val="1"/>
    <w:next w:val="1"/>
    <w:link w:val="29"/>
    <w:unhideWhenUsed/>
    <w:qFormat/>
    <w:uiPriority w:val="9"/>
    <w:pPr>
      <w:keepNext/>
      <w:keepLines/>
      <w:spacing w:line="440" w:lineRule="exact"/>
      <w:outlineLvl w:val="2"/>
    </w:pPr>
    <w:rPr>
      <w:b/>
      <w:bCs/>
      <w:szCs w:val="32"/>
    </w:rPr>
  </w:style>
  <w:style w:type="paragraph" w:styleId="5">
    <w:name w:val="heading 4"/>
    <w:basedOn w:val="1"/>
    <w:next w:val="1"/>
    <w:link w:val="30"/>
    <w:unhideWhenUsed/>
    <w:qFormat/>
    <w:uiPriority w:val="9"/>
    <w:pPr>
      <w:keepNext/>
      <w:keepLines/>
      <w:spacing w:beforeLines="0" w:beforeAutospacing="0" w:afterLines="0" w:afterAutospacing="0" w:line="440" w:lineRule="exact"/>
      <w:outlineLvl w:val="3"/>
    </w:pPr>
  </w:style>
  <w:style w:type="paragraph" w:styleId="6">
    <w:name w:val="heading 5"/>
    <w:basedOn w:val="1"/>
    <w:next w:val="1"/>
    <w:link w:val="51"/>
    <w:unhideWhenUsed/>
    <w:qFormat/>
    <w:uiPriority w:val="9"/>
    <w:pPr>
      <w:keepNext/>
      <w:keepLines/>
      <w:spacing w:beforeLines="0" w:beforeAutospacing="0" w:afterLines="0" w:afterAutospacing="0" w:line="440" w:lineRule="exact"/>
      <w:ind w:right="560" w:rightChars="200"/>
      <w:jc w:val="right"/>
      <w:outlineLvl w:val="4"/>
    </w:pPr>
  </w:style>
  <w:style w:type="paragraph" w:styleId="7">
    <w:name w:val="heading 6"/>
    <w:basedOn w:val="1"/>
    <w:next w:val="1"/>
    <w:unhideWhenUsed/>
    <w:qFormat/>
    <w:uiPriority w:val="9"/>
    <w:pPr>
      <w:keepNext/>
      <w:keepLines/>
      <w:spacing w:before="50" w:beforeLines="50" w:beforeAutospacing="0" w:after="50" w:afterLines="50" w:afterAutospacing="0" w:line="440" w:lineRule="exact"/>
      <w:ind w:right="0" w:rightChars="0" w:firstLine="0" w:firstLineChars="0"/>
      <w:jc w:val="center"/>
      <w:outlineLvl w:val="5"/>
    </w:pPr>
    <w:rPr>
      <w:rFonts w:cs="仿宋_GB2312"/>
    </w:rPr>
  </w:style>
  <w:style w:type="paragraph" w:styleId="8">
    <w:name w:val="heading 7"/>
    <w:basedOn w:val="1"/>
    <w:next w:val="1"/>
    <w:unhideWhenUsed/>
    <w:qFormat/>
    <w:uiPriority w:val="9"/>
    <w:pPr>
      <w:keepNext/>
      <w:keepLines/>
      <w:spacing w:before="50" w:beforeLines="50" w:beforeAutospacing="0" w:after="50" w:afterLines="50" w:afterAutospacing="0" w:line="440" w:lineRule="exact"/>
      <w:ind w:firstLine="0" w:firstLineChars="0"/>
      <w:jc w:val="center"/>
      <w:outlineLvl w:val="6"/>
    </w:pPr>
    <w:rPr>
      <w:rFonts w:hAnsi="仿宋_GB2312"/>
    </w:rPr>
  </w:style>
  <w:style w:type="paragraph" w:styleId="9">
    <w:name w:val="heading 8"/>
    <w:basedOn w:val="1"/>
    <w:next w:val="1"/>
    <w:link w:val="52"/>
    <w:unhideWhenUsed/>
    <w:qFormat/>
    <w:uiPriority w:val="9"/>
    <w:pPr>
      <w:keepNext/>
      <w:keepLines/>
      <w:spacing w:beforeLines="0" w:beforeAutospacing="0" w:afterLines="0" w:afterAutospacing="0" w:line="240" w:lineRule="auto"/>
      <w:ind w:firstLine="0" w:firstLineChars="0"/>
      <w:jc w:val="center"/>
      <w:outlineLvl w:val="7"/>
    </w:pPr>
    <w:rPr>
      <w:rFonts w:ascii="Arial" w:hAnsi="Arial" w:eastAsia="仿宋_GB2312" w:cs="Times New Roman"/>
      <w:sz w:val="24"/>
      <w:szCs w:val="2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0">
    <w:name w:val="footer"/>
    <w:basedOn w:val="1"/>
    <w:link w:val="31"/>
    <w:unhideWhenUsed/>
    <w:qFormat/>
    <w:uiPriority w:val="99"/>
    <w:pPr>
      <w:tabs>
        <w:tab w:val="center" w:pos="4153"/>
        <w:tab w:val="right" w:pos="8306"/>
      </w:tabs>
      <w:snapToGrid w:val="0"/>
    </w:pPr>
    <w:rPr>
      <w:sz w:val="18"/>
      <w:szCs w:val="18"/>
    </w:rPr>
  </w:style>
  <w:style w:type="paragraph" w:styleId="11">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33"/>
    <w:qFormat/>
    <w:uiPriority w:val="11"/>
    <w:pPr>
      <w:outlineLvl w:val="1"/>
    </w:pPr>
    <w:rPr>
      <w:b/>
      <w:bCs/>
      <w:kern w:val="28"/>
      <w:szCs w:val="32"/>
    </w:r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Title"/>
    <w:basedOn w:val="1"/>
    <w:next w:val="1"/>
    <w:link w:val="27"/>
    <w:qFormat/>
    <w:uiPriority w:val="10"/>
    <w:pPr>
      <w:spacing w:line="440" w:lineRule="exact"/>
      <w:ind w:firstLine="0" w:firstLineChars="0"/>
      <w:jc w:val="center"/>
      <w:outlineLvl w:val="0"/>
    </w:pPr>
    <w:rPr>
      <w:rFonts w:ascii="华文中宋" w:hAnsi="华文中宋" w:eastAsia="华文中宋" w:cs="Times New Roman"/>
      <w:b/>
      <w:bCs/>
      <w:sz w:val="32"/>
      <w:szCs w:val="32"/>
    </w:rPr>
  </w:style>
  <w:style w:type="table" w:styleId="17">
    <w:name w:val="Table Grid"/>
    <w:basedOn w:val="1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rFonts w:eastAsia="仿宋_GB2312"/>
      <w:b/>
      <w:bCs/>
      <w:color w:val="7030A0"/>
      <w:spacing w:val="-8"/>
      <w:w w:val="96"/>
      <w:sz w:val="28"/>
    </w:rPr>
  </w:style>
  <w:style w:type="character" w:styleId="20">
    <w:name w:val="FollowedHyperlink"/>
    <w:basedOn w:val="18"/>
    <w:unhideWhenUsed/>
    <w:qFormat/>
    <w:uiPriority w:val="99"/>
    <w:rPr>
      <w:color w:val="404040"/>
      <w:u w:val="none"/>
    </w:rPr>
  </w:style>
  <w:style w:type="character" w:styleId="21">
    <w:name w:val="Emphasis"/>
    <w:basedOn w:val="18"/>
    <w:qFormat/>
    <w:uiPriority w:val="20"/>
    <w:rPr>
      <w:rFonts w:eastAsia="华文楷体"/>
      <w:iCs/>
      <w:sz w:val="28"/>
    </w:rPr>
  </w:style>
  <w:style w:type="character" w:styleId="22">
    <w:name w:val="line number"/>
    <w:basedOn w:val="18"/>
    <w:unhideWhenUsed/>
    <w:qFormat/>
    <w:uiPriority w:val="99"/>
  </w:style>
  <w:style w:type="character" w:styleId="23">
    <w:name w:val="HTML Variable"/>
    <w:basedOn w:val="18"/>
    <w:unhideWhenUsed/>
    <w:qFormat/>
    <w:uiPriority w:val="99"/>
  </w:style>
  <w:style w:type="character" w:styleId="24">
    <w:name w:val="Hyperlink"/>
    <w:basedOn w:val="18"/>
    <w:unhideWhenUsed/>
    <w:qFormat/>
    <w:uiPriority w:val="99"/>
    <w:rPr>
      <w:color w:val="404040"/>
      <w:u w:val="none"/>
    </w:rPr>
  </w:style>
  <w:style w:type="character" w:customStyle="1" w:styleId="25">
    <w:name w:val="标题 1 字符"/>
    <w:basedOn w:val="18"/>
    <w:link w:val="2"/>
    <w:qFormat/>
    <w:uiPriority w:val="9"/>
    <w:rPr>
      <w:rFonts w:ascii="黑体" w:hAnsi="黑体" w:eastAsia="黑体"/>
      <w:bCs/>
      <w:kern w:val="44"/>
      <w:sz w:val="28"/>
      <w:szCs w:val="44"/>
    </w:rPr>
  </w:style>
  <w:style w:type="character" w:customStyle="1" w:styleId="26">
    <w:name w:val="标题 3 Char1"/>
    <w:link w:val="4"/>
    <w:qFormat/>
    <w:uiPriority w:val="9"/>
    <w:rPr>
      <w:rFonts w:ascii="仿宋_GB2312" w:hAnsi="仿宋_GB2312" w:eastAsia="仿宋_GB2312"/>
      <w:b/>
    </w:rPr>
  </w:style>
  <w:style w:type="character" w:customStyle="1" w:styleId="27">
    <w:name w:val="标题 字符"/>
    <w:basedOn w:val="18"/>
    <w:link w:val="15"/>
    <w:qFormat/>
    <w:uiPriority w:val="10"/>
    <w:rPr>
      <w:rFonts w:ascii="华文中宋" w:hAnsi="华文中宋" w:eastAsia="华文中宋" w:cs="Times New Roman"/>
      <w:b/>
      <w:bCs/>
      <w:sz w:val="32"/>
      <w:szCs w:val="32"/>
    </w:rPr>
  </w:style>
  <w:style w:type="character" w:customStyle="1" w:styleId="28">
    <w:name w:val="标题 2 字符"/>
    <w:basedOn w:val="18"/>
    <w:link w:val="3"/>
    <w:qFormat/>
    <w:uiPriority w:val="9"/>
    <w:rPr>
      <w:rFonts w:ascii="楷体_GB2312" w:hAnsi="楷体_GB2312" w:eastAsia="楷体_GB2312" w:cs="Times New Roman"/>
      <w:b/>
      <w:bCs/>
      <w:sz w:val="28"/>
      <w:szCs w:val="32"/>
    </w:rPr>
  </w:style>
  <w:style w:type="character" w:customStyle="1" w:styleId="29">
    <w:name w:val="标题 3 字符"/>
    <w:basedOn w:val="18"/>
    <w:link w:val="4"/>
    <w:semiHidden/>
    <w:qFormat/>
    <w:uiPriority w:val="9"/>
    <w:rPr>
      <w:rFonts w:ascii="仿宋_GB2312" w:hAnsi="仿宋_GB2312" w:eastAsia="仿宋_GB2312"/>
      <w:b/>
      <w:bCs/>
      <w:kern w:val="2"/>
      <w:sz w:val="28"/>
      <w:szCs w:val="32"/>
    </w:rPr>
  </w:style>
  <w:style w:type="character" w:customStyle="1" w:styleId="30">
    <w:name w:val="标题 4 Char1"/>
    <w:link w:val="5"/>
    <w:qFormat/>
    <w:uiPriority w:val="9"/>
    <w:rPr>
      <w:rFonts w:ascii="仿宋_GB2312" w:hAnsi="仿宋_GB2312" w:eastAsia="仿宋_GB2312"/>
    </w:rPr>
  </w:style>
  <w:style w:type="character" w:customStyle="1" w:styleId="31">
    <w:name w:val="页脚 字符"/>
    <w:basedOn w:val="18"/>
    <w:link w:val="10"/>
    <w:qFormat/>
    <w:uiPriority w:val="99"/>
    <w:rPr>
      <w:sz w:val="18"/>
      <w:szCs w:val="18"/>
    </w:rPr>
  </w:style>
  <w:style w:type="character" w:customStyle="1" w:styleId="32">
    <w:name w:val="页眉 字符"/>
    <w:basedOn w:val="18"/>
    <w:link w:val="11"/>
    <w:qFormat/>
    <w:uiPriority w:val="99"/>
    <w:rPr>
      <w:sz w:val="18"/>
      <w:szCs w:val="18"/>
    </w:rPr>
  </w:style>
  <w:style w:type="character" w:customStyle="1" w:styleId="33">
    <w:name w:val="副标题 字符"/>
    <w:basedOn w:val="18"/>
    <w:link w:val="12"/>
    <w:qFormat/>
    <w:uiPriority w:val="11"/>
    <w:rPr>
      <w:rFonts w:ascii="仿宋_GB2312" w:eastAsia="仿宋_GB2312"/>
      <w:b/>
      <w:bCs/>
      <w:kern w:val="28"/>
      <w:sz w:val="28"/>
      <w:szCs w:val="32"/>
    </w:rPr>
  </w:style>
  <w:style w:type="paragraph" w:styleId="34">
    <w:name w:val="Quote"/>
    <w:basedOn w:val="1"/>
    <w:next w:val="1"/>
    <w:link w:val="35"/>
    <w:qFormat/>
    <w:uiPriority w:val="29"/>
    <w:pPr>
      <w:ind w:firstLine="486"/>
    </w:pPr>
    <w:rPr>
      <w:rFonts w:eastAsia="华文楷体"/>
      <w:iCs/>
      <w:spacing w:val="-16"/>
      <w:w w:val="98"/>
    </w:rPr>
  </w:style>
  <w:style w:type="character" w:customStyle="1" w:styleId="35">
    <w:name w:val="引用 字符"/>
    <w:basedOn w:val="18"/>
    <w:link w:val="34"/>
    <w:qFormat/>
    <w:uiPriority w:val="29"/>
    <w:rPr>
      <w:rFonts w:ascii="仿宋_GB2312" w:eastAsia="华文楷体"/>
      <w:iCs/>
      <w:spacing w:val="-16"/>
      <w:w w:val="98"/>
      <w:sz w:val="28"/>
    </w:rPr>
  </w:style>
  <w:style w:type="paragraph" w:styleId="36">
    <w:name w:val="No Spacing"/>
    <w:qFormat/>
    <w:uiPriority w:val="1"/>
    <w:pPr>
      <w:widowControl w:val="0"/>
      <w:spacing w:before="5" w:beforeLines="5" w:after="5" w:afterLines="5" w:line="400" w:lineRule="exact"/>
      <w:ind w:firstLine="200" w:firstLineChars="200"/>
    </w:pPr>
    <w:rPr>
      <w:rFonts w:ascii="仿宋_GB2312" w:hAnsi="等线" w:eastAsia="仿宋_GB2312" w:cs="Times New Roman"/>
      <w:kern w:val="2"/>
      <w:sz w:val="28"/>
      <w:szCs w:val="22"/>
      <w:lang w:val="en-US" w:eastAsia="zh-CN" w:bidi="ar-SA"/>
    </w:rPr>
  </w:style>
  <w:style w:type="character" w:customStyle="1" w:styleId="37">
    <w:name w:val="不明显强调1"/>
    <w:basedOn w:val="18"/>
    <w:qFormat/>
    <w:uiPriority w:val="19"/>
    <w:rPr>
      <w:i/>
      <w:iCs/>
      <w:color w:val="3F3F3F"/>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title_m"/>
    <w:basedOn w:val="1"/>
    <w:qFormat/>
    <w:uiPriority w:val="0"/>
    <w:pPr>
      <w:jc w:val="center"/>
    </w:pPr>
    <w:rPr>
      <w:rFonts w:ascii="宋体" w:hAnsi="宋体" w:eastAsia="宋体" w:cs="宋体"/>
      <w:b/>
      <w:bCs/>
      <w:sz w:val="32"/>
      <w:szCs w:val="32"/>
    </w:rPr>
  </w:style>
  <w:style w:type="paragraph" w:customStyle="1" w:styleId="40">
    <w:name w:val="fulltext_text"/>
    <w:basedOn w:val="1"/>
    <w:qFormat/>
    <w:uiPriority w:val="0"/>
    <w:pPr>
      <w:spacing w:line="525" w:lineRule="atLeast"/>
    </w:pPr>
    <w:rPr>
      <w:rFonts w:ascii="宋体" w:hAnsi="宋体" w:eastAsia="宋体" w:cs="宋体"/>
      <w:sz w:val="24"/>
      <w:szCs w:val="24"/>
    </w:rPr>
  </w:style>
  <w:style w:type="character" w:customStyle="1" w:styleId="41">
    <w:name w:val="c_tiao"/>
    <w:basedOn w:val="18"/>
    <w:qFormat/>
    <w:uiPriority w:val="0"/>
    <w:rPr>
      <w:rFonts w:ascii="宋体" w:hAnsi="宋体" w:eastAsia="宋体" w:cs="宋体"/>
      <w:b/>
      <w:bCs/>
      <w:sz w:val="24"/>
      <w:szCs w:val="24"/>
    </w:rPr>
  </w:style>
  <w:style w:type="paragraph" w:customStyle="1" w:styleId="42">
    <w:name w:val="Body text|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3">
    <w:name w:val="Heading #1|1"/>
    <w:basedOn w:val="1"/>
    <w:qFormat/>
    <w:uiPriority w:val="0"/>
    <w:pPr>
      <w:widowControl w:val="0"/>
      <w:shd w:val="clear" w:color="auto" w:fill="auto"/>
      <w:spacing w:after="390" w:line="600"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44">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45">
    <w:name w:val="Other|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6">
    <w:name w:val="Body text|2"/>
    <w:basedOn w:val="1"/>
    <w:qFormat/>
    <w:uiPriority w:val="0"/>
    <w:pPr>
      <w:widowControl w:val="0"/>
      <w:shd w:val="clear" w:color="auto" w:fill="auto"/>
      <w:spacing w:after="320"/>
      <w:ind w:firstLine="480"/>
    </w:pPr>
    <w:rPr>
      <w:rFonts w:ascii="宋体" w:hAnsi="宋体" w:eastAsia="宋体" w:cs="宋体"/>
      <w:u w:val="none"/>
      <w:shd w:val="clear" w:color="auto" w:fill="auto"/>
      <w:lang w:val="zh-TW" w:eastAsia="zh-TW" w:bidi="zh-TW"/>
    </w:rPr>
  </w:style>
  <w:style w:type="paragraph" w:customStyle="1" w:styleId="47">
    <w:name w:val="Header or footer|1"/>
    <w:basedOn w:val="1"/>
    <w:qFormat/>
    <w:uiPriority w:val="0"/>
    <w:pPr>
      <w:widowControl w:val="0"/>
      <w:shd w:val="clear" w:color="auto" w:fill="auto"/>
      <w:jc w:val="center"/>
    </w:pPr>
    <w:rPr>
      <w:rFonts w:ascii="宋体" w:hAnsi="宋体" w:eastAsia="宋体" w:cs="宋体"/>
      <w:sz w:val="28"/>
      <w:szCs w:val="28"/>
      <w:u w:val="none"/>
      <w:shd w:val="clear" w:color="auto" w:fill="auto"/>
      <w:lang w:val="zh-TW" w:eastAsia="zh-TW" w:bidi="zh-TW"/>
    </w:rPr>
  </w:style>
  <w:style w:type="paragraph" w:customStyle="1" w:styleId="48">
    <w:name w:val="Footnote|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49">
    <w:name w:val="Table caption|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50">
    <w:name w:val="Body text|3"/>
    <w:basedOn w:val="1"/>
    <w:qFormat/>
    <w:uiPriority w:val="0"/>
    <w:pPr>
      <w:widowControl w:val="0"/>
      <w:shd w:val="clear" w:color="auto" w:fill="auto"/>
      <w:spacing w:line="363" w:lineRule="exact"/>
      <w:ind w:firstLine="140"/>
    </w:pPr>
    <w:rPr>
      <w:u w:val="none"/>
      <w:shd w:val="clear" w:color="auto" w:fill="auto"/>
    </w:rPr>
  </w:style>
  <w:style w:type="character" w:customStyle="1" w:styleId="51">
    <w:name w:val="标题 5 Char"/>
    <w:link w:val="6"/>
    <w:qFormat/>
    <w:uiPriority w:val="9"/>
  </w:style>
  <w:style w:type="character" w:customStyle="1" w:styleId="52">
    <w:name w:val="标题 8 Char"/>
    <w:link w:val="9"/>
    <w:qFormat/>
    <w:uiPriority w:val="9"/>
    <w:rPr>
      <w:rFonts w:ascii="Arial" w:hAnsi="Arial" w:eastAsia="仿宋_GB2312" w:cs="Times New Roman"/>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0</Words>
  <Characters>0</Characters>
  <Lines>1</Lines>
  <Paragraphs>1</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2021-09-09T02:22:00Z</dcterms:created>
  <dc:creator>岩</dc:creator>
  <cp:lastModifiedBy>MLee</cp:lastModifiedBy>
  <dcterms:modified xsi:type="dcterms:W3CDTF">2026-08-31T10:22:53Z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8FDFBB9DD2084B6B87FE1BA0B93B0000_13</vt:lpwstr>
  </property>
  <property fmtid="{D5CDD505-2E9C-101B-9397-08002B2CF9AE}" pid="4" name="KSOTemplateDocerSaveRecord">
    <vt:lpwstr>eyJoZGlkIjoiMjIxMjI5YjhlNTAxYzUyOTYyYWZlMGFjYmE4ZTczY2EiLCJ1c2VySWQiOiI0MzAyNjYyMjEifQ==</vt:lpwstr>
  </property>
</Properties>
</file>