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E0C09">
      <w:pPr>
        <w:pStyle w:val="15"/>
        <w:bidi w:val="0"/>
        <w:rPr>
          <w:rFonts w:hint="default"/>
          <w:lang w:val="en-US" w:eastAsia="zh-CN"/>
        </w:rPr>
      </w:pPr>
      <w:bookmarkStart w:id="0" w:name="_GoBack"/>
      <w:r>
        <w:rPr>
          <w:rFonts w:hint="default"/>
          <w:lang w:val="en-US" w:eastAsia="zh-CN"/>
        </w:rPr>
        <w:t>财政部、金融监管总局有关部门负责人就印发《会计师事务所职业责任保险实施办法》答记者问</w:t>
      </w:r>
    </w:p>
    <w:bookmarkEnd w:id="0"/>
    <w:p w14:paraId="3A0CA1F7">
      <w:pPr>
        <w:pStyle w:val="8"/>
        <w:bidi w:val="0"/>
        <w:rPr>
          <w:rFonts w:hint="default"/>
          <w:lang w:val="en-US" w:eastAsia="zh-CN"/>
        </w:rPr>
      </w:pPr>
      <w:r>
        <w:rPr>
          <w:rFonts w:hint="default"/>
          <w:lang w:val="en-US" w:eastAsia="zh-CN"/>
        </w:rPr>
        <w:t>发布时间：2026-08-27</w:t>
      </w:r>
      <w:r>
        <w:rPr>
          <w:rFonts w:hint="eastAsia"/>
          <w:lang w:val="en-US" w:eastAsia="zh-CN"/>
        </w:rPr>
        <w:t xml:space="preserve">                                        </w:t>
      </w:r>
      <w:r>
        <w:rPr>
          <w:rFonts w:hint="default"/>
          <w:lang w:val="en-US" w:eastAsia="zh-CN"/>
        </w:rPr>
        <w:t>来源：办公厅</w:t>
      </w:r>
    </w:p>
    <w:p w14:paraId="6E0937B9">
      <w:pPr>
        <w:ind w:firstLine="560" w:firstLineChars="200"/>
        <w:rPr>
          <w:rFonts w:hint="default"/>
          <w:lang w:val="en-US" w:eastAsia="zh-CN"/>
        </w:rPr>
      </w:pPr>
      <w:r>
        <w:rPr>
          <w:rFonts w:hint="default"/>
          <w:lang w:val="en-US" w:eastAsia="zh-CN"/>
        </w:rPr>
        <w:t>为进一步规范发展会计师事务所职业责任保险，保障委托人和其他利害关系人的合法权益，提升会计师事务所职业责任风险承担能力，财政部、金融监管总局联合印发了《会计师事务所职业责任保险实施办法》（财会〔2026〕12号，以下简称《办法》）。近日，财政部会计司、金融监管总局财产保险监管司有关负责人就相关问题回答了记者提问。</w:t>
      </w:r>
    </w:p>
    <w:p w14:paraId="014B6B60">
      <w:pPr>
        <w:pStyle w:val="2"/>
        <w:bidi w:val="0"/>
        <w:rPr>
          <w:rFonts w:hint="default"/>
          <w:lang w:val="en-US" w:eastAsia="zh-CN"/>
        </w:rPr>
      </w:pPr>
      <w:r>
        <w:rPr>
          <w:rFonts w:hint="default"/>
          <w:lang w:val="en-US" w:eastAsia="zh-CN"/>
        </w:rPr>
        <w:t>问：请介绍一下印发《办法》的背景。</w:t>
      </w:r>
    </w:p>
    <w:p w14:paraId="08F66EBB">
      <w:pPr>
        <w:ind w:firstLine="560" w:firstLineChars="200"/>
        <w:rPr>
          <w:rFonts w:hint="default"/>
          <w:lang w:val="en-US" w:eastAsia="zh-CN"/>
        </w:rPr>
      </w:pPr>
      <w:r>
        <w:rPr>
          <w:rFonts w:hint="default"/>
          <w:lang w:val="en-US" w:eastAsia="zh-CN"/>
        </w:rPr>
        <w:t>答：2015年7月，财政部和原银保监会印发《会计师事务所职业责任保险暂行办法》（财会〔2015〕13号，以下简称《暂行办法》），对规范会计师事务所投保职业责任保险行为、增强会计师事务所风险保障能力发挥了积极作用。近年来，随着我国市场经济体制与专业保险制度的不断完善和资本市场的快速发展，投资者的维权意识不断增强，注册会计师职业责任约束空前强化，职业责任保险机制日益受到重视。《国务院办公厅关于进一步规范财务审计秩序促进注册会计师行业健康发展的意见》（国办发〔2021〕30号，以下简称国办发30号文）提出，要完善职业责任保险制度，提升会计师事务所审计风险承担能力。为此，需结合近年来会计师事务所职业责任保险实践，科学修订《暂行办法》，保障委托人和其他利害关系人的合法权益，进一步规范发展会计师事务所职业责任保险，促进注册会计师行业高质量发展。</w:t>
      </w:r>
    </w:p>
    <w:p w14:paraId="18F87AF5">
      <w:pPr>
        <w:pStyle w:val="2"/>
        <w:bidi w:val="0"/>
        <w:rPr>
          <w:rFonts w:hint="default"/>
          <w:lang w:val="en-US" w:eastAsia="zh-CN"/>
        </w:rPr>
      </w:pPr>
      <w:r>
        <w:rPr>
          <w:rFonts w:hint="default"/>
          <w:lang w:val="en-US" w:eastAsia="zh-CN"/>
        </w:rPr>
        <w:t>问：本次修订的主要内容有哪些？</w:t>
      </w:r>
    </w:p>
    <w:p w14:paraId="3D1359EC">
      <w:pPr>
        <w:ind w:firstLine="560" w:firstLineChars="200"/>
        <w:rPr>
          <w:rFonts w:hint="default"/>
          <w:lang w:val="en-US" w:eastAsia="zh-CN"/>
        </w:rPr>
      </w:pPr>
      <w:r>
        <w:rPr>
          <w:rFonts w:hint="default"/>
          <w:lang w:val="en-US" w:eastAsia="zh-CN"/>
        </w:rPr>
        <w:t>答：《办法》本次修订的主要内容包括四个方面：</w:t>
      </w:r>
    </w:p>
    <w:p w14:paraId="38AB1758">
      <w:pPr>
        <w:ind w:firstLine="560" w:firstLineChars="200"/>
        <w:rPr>
          <w:rFonts w:hint="default"/>
          <w:lang w:val="en-US" w:eastAsia="zh-CN"/>
        </w:rPr>
      </w:pPr>
      <w:r>
        <w:rPr>
          <w:rFonts w:hint="default"/>
          <w:lang w:val="en-US" w:eastAsia="zh-CN"/>
        </w:rPr>
        <w:t>一是更加明确保护投资者的功能定位。《办法》明确，进一步规范发展职业责任保险，其目的在于保障委托人和其他利害关系人的合法权益，突出职业责任保险依法保障第三人利益的功能定位。</w:t>
      </w:r>
    </w:p>
    <w:p w14:paraId="402561D2">
      <w:pPr>
        <w:ind w:firstLine="560" w:firstLineChars="200"/>
        <w:rPr>
          <w:rFonts w:hint="default"/>
          <w:lang w:val="en-US" w:eastAsia="zh-CN"/>
        </w:rPr>
      </w:pPr>
      <w:r>
        <w:rPr>
          <w:rFonts w:hint="default"/>
          <w:lang w:val="en-US" w:eastAsia="zh-CN"/>
        </w:rPr>
        <w:t>二是更加有力保障涉及公共利益相关业务。按照国办发30号文要求，结合近年来资本市场风险状况，《办法》适当提高了重点业务领域的投保额度要求。对依法从事证券服务业务以及从事金融企业等涉及公共利益相关实体审计业务的会计师事务所，将基本投保额度从《暂行办法》的5000万元上调至1亿元；对于合伙人人数超过100名的会计师事务所，则按照每名合伙人100万元保险金额的更高标准执行。</w:t>
      </w:r>
    </w:p>
    <w:p w14:paraId="4082D287">
      <w:pPr>
        <w:ind w:firstLine="560" w:firstLineChars="200"/>
        <w:rPr>
          <w:rFonts w:hint="default"/>
          <w:lang w:val="en-US" w:eastAsia="zh-CN"/>
        </w:rPr>
      </w:pPr>
      <w:r>
        <w:rPr>
          <w:rFonts w:hint="default"/>
          <w:lang w:val="en-US" w:eastAsia="zh-CN"/>
        </w:rPr>
        <w:t>三是更加科学设置保险费率机制。《办法》细化了保险费率浮动机制的影响因素，明确将会计师事务所的注册会计师人数、执业年限、行政处罚记录、涉诉情况等影响风险的主要因素纳入费率调整机制中，促进会计师事务所加强风险管理和提升业务质量，实现“奖优罚劣”，同时有助于保险公司科学厘定费率，提升风险管控能力。</w:t>
      </w:r>
    </w:p>
    <w:p w14:paraId="4A32154B">
      <w:pPr>
        <w:ind w:firstLine="560" w:firstLineChars="200"/>
        <w:rPr>
          <w:rFonts w:hint="default"/>
          <w:lang w:val="en-US" w:eastAsia="zh-CN"/>
        </w:rPr>
      </w:pPr>
      <w:r>
        <w:rPr>
          <w:rFonts w:hint="default"/>
          <w:lang w:val="en-US" w:eastAsia="zh-CN"/>
        </w:rPr>
        <w:t>四是更加细化监督管理。《办法》要求开展职业责任保险业务的保险公司需具有相应的专业资质和承保能力，配备专业的风险管控人员，且最近三年综合偿付能力充足率不得低于180%等。《办法》强化信息共享，要求健全完善财政部门和保险监督管理机构、注册会计师协会、保险行业协会的信息沟通共享机制，加强监管协同。《办法》明确有关单位及其工作人员在监管中存在滥用职权、玩忽职守、徇私舞弊等违纪违法行为的，依法追究相应责任；构成犯罪的，依法追究刑事责任。</w:t>
      </w:r>
    </w:p>
    <w:p w14:paraId="42179C7C">
      <w:pPr>
        <w:pStyle w:val="2"/>
        <w:bidi w:val="0"/>
        <w:rPr>
          <w:rFonts w:hint="default"/>
          <w:lang w:val="en-US" w:eastAsia="zh-CN"/>
        </w:rPr>
      </w:pPr>
      <w:r>
        <w:rPr>
          <w:rFonts w:hint="default"/>
          <w:lang w:val="en-US" w:eastAsia="zh-CN"/>
        </w:rPr>
        <w:t>问：关于会计师事务所职业责任保险主险的累计赔偿限额是如何考虑的？</w:t>
      </w:r>
    </w:p>
    <w:p w14:paraId="725F1477">
      <w:pPr>
        <w:ind w:firstLine="560" w:firstLineChars="200"/>
        <w:rPr>
          <w:rFonts w:hint="default"/>
          <w:lang w:val="en-US" w:eastAsia="zh-CN"/>
        </w:rPr>
      </w:pPr>
      <w:r>
        <w:rPr>
          <w:rFonts w:hint="default"/>
          <w:lang w:val="en-US" w:eastAsia="zh-CN"/>
        </w:rPr>
        <w:t>答：此次修订，对于依法从事证券服务业务以及从事金融企业等涉及公共利益相关实体审计业务的会计师事务所，其投保的职业责任保险主险的累计赔偿限额要求调整为“100万元×合伙人人数、10000万元两者取较高”，从事其他业务的会计师事务所投保职业责任保险主险的累计赔偿限额要求保持不变。</w:t>
      </w:r>
    </w:p>
    <w:p w14:paraId="7AE9A994">
      <w:pPr>
        <w:ind w:firstLine="560" w:firstLineChars="200"/>
        <w:rPr>
          <w:rFonts w:hint="default"/>
          <w:lang w:val="en-US" w:eastAsia="zh-CN"/>
        </w:rPr>
      </w:pPr>
      <w:r>
        <w:rPr>
          <w:rFonts w:hint="default"/>
          <w:lang w:val="en-US" w:eastAsia="zh-CN"/>
        </w:rPr>
        <w:t>一是关于依法从事证券服务业务以及从事金融企业等涉及公共利益相关实体审计业务的会计师事务所。根据当前证券服务业务的风险状况，结合会计师事务所当前投保情况，采取“100万元×合伙人人数、10000万元两者取较高”的保额计算方式，既综合兼顾了当前大多数从事证券服务业务会计师事务所的投保能力，保证资本市场审计供给总体稳定，又适当提高了基本投保额度要求，督促引导会计师事务所增强风险意识、提升执业质量。</w:t>
      </w:r>
    </w:p>
    <w:p w14:paraId="51BBD865">
      <w:pPr>
        <w:ind w:firstLine="560" w:firstLineChars="200"/>
        <w:rPr>
          <w:rFonts w:hint="default"/>
          <w:lang w:val="en-US" w:eastAsia="zh-CN"/>
        </w:rPr>
      </w:pPr>
      <w:r>
        <w:rPr>
          <w:rFonts w:hint="default"/>
          <w:lang w:val="en-US" w:eastAsia="zh-CN"/>
        </w:rPr>
        <w:t>二是关于从事其他业务的会计师事务所。经分析现有投保状况，《暂行办法》“50万元×合伙人人数、上一年度审计业务收入两者取较高”的做法较好地平衡了不同规模、不同业务特点的中小会计师事务所的投保需求。因此，《办法》维持对从事其他业务会计师事务所投保额度的要求不变。结合关于职业风险基金留存额抵扣投保额度的规定，中小会计师事务所投保成本还将适当减轻。</w:t>
      </w:r>
    </w:p>
    <w:p w14:paraId="521CC310">
      <w:pPr>
        <w:pStyle w:val="2"/>
        <w:bidi w:val="0"/>
        <w:rPr>
          <w:rFonts w:hint="default"/>
          <w:lang w:val="en-US" w:eastAsia="zh-CN"/>
        </w:rPr>
      </w:pPr>
      <w:r>
        <w:rPr>
          <w:rFonts w:hint="default"/>
          <w:lang w:val="en-US" w:eastAsia="zh-CN"/>
        </w:rPr>
        <w:t>问：《办法》还需要关注哪些内容？</w:t>
      </w:r>
    </w:p>
    <w:p w14:paraId="28E35031">
      <w:pPr>
        <w:ind w:firstLine="560" w:firstLineChars="200"/>
        <w:rPr>
          <w:rFonts w:hint="default"/>
          <w:lang w:val="en-US" w:eastAsia="zh-CN"/>
        </w:rPr>
      </w:pPr>
      <w:r>
        <w:rPr>
          <w:rFonts w:hint="default"/>
          <w:lang w:val="en-US" w:eastAsia="zh-CN"/>
        </w:rPr>
        <w:t>答：一是关于保险合同订立原则和示范条款。《办法》规定，会计师事务所与保险公司订立职业责任保险合同，应当平等自愿、协商一致，遵循公平原则确定双方的权利和义务，合理确定可保风险，明确保险责任。国务院保险监督管理机构指导中国保险行业协会在充分征求国务院财政部门及相关单位意见的基础上，制定发布职业责任保险示范条款。保险公司已有同类或类似职业责任保险产品的，可以直接以示范条款替换现有条款，并履行备案程序。《办法》还明确了保险合同示范条款应当包含会计师事务所及其执业人员执业活动中疏忽、过失的释义，即何种过错可纳入保险范围，将通过示范条款进一步作出解释。</w:t>
      </w:r>
    </w:p>
    <w:p w14:paraId="3B99B161">
      <w:pPr>
        <w:ind w:firstLine="560" w:firstLineChars="200"/>
        <w:rPr>
          <w:rFonts w:hint="default"/>
          <w:lang w:val="en-US" w:eastAsia="zh-CN"/>
        </w:rPr>
      </w:pPr>
      <w:r>
        <w:rPr>
          <w:rFonts w:hint="default"/>
          <w:lang w:val="en-US" w:eastAsia="zh-CN"/>
        </w:rPr>
        <w:t>二是关于职业责任保险和职业风险基金的关系。会计师事务所投保的职业责任保险累计赔偿限额达到《办法》规定的相应金额，按照合伙协议或者公司章程约定，经履行职业风险补偿机制相关程序形成决议后，可以不再提取职业风险基金。会计师事务所提取职业风险基金的上年末累计留存额，可以抵扣应投保的职业责任保险累计赔偿限额。《办法》延续了依法尊重经营主体自主选择的做法，未对会计师事务所投保职业责任保险作出“一刀切”强制性规定，同时适当体现了鼓励会计师事务所通过投保职业责任保险等方式提升风险承担能力、完善风险保障机制的政策导向。</w:t>
      </w:r>
    </w:p>
    <w:p w14:paraId="3B4225F5">
      <w:pPr>
        <w:ind w:firstLine="560" w:firstLineChars="200"/>
        <w:rPr>
          <w:rFonts w:hint="default"/>
          <w:lang w:val="en-US" w:eastAsia="zh-CN"/>
        </w:rPr>
      </w:pPr>
      <w:r>
        <w:rPr>
          <w:rFonts w:hint="default"/>
          <w:lang w:val="en-US" w:eastAsia="zh-CN"/>
        </w:rPr>
        <w:t>三是关于投保方式。《办法》在会计师事务所自主投保的基础上，提出保险公司可以采用共保方式开展保险。自主投保‌是指由会计师事务所直接对接符合资质的保险公司，根据自身业务规模、风险等级协商确定保障方案。共保模式投保是指由两家及以上具备相应承保能力的保险公司组成共保体，共同承接会计师事务所职业责任保险业务，按约定比例分摊保险责任、保费和理赔风险的承保模式，可有效分散单家保险公司的大额承保风险和赔付压力。此外，《办法》还明确了在不妨碍市场竞争的前提下，有条件的地方可以探索集中投保。</w:t>
      </w:r>
    </w:p>
    <w:p w14:paraId="4AB25574">
      <w:pPr>
        <w:ind w:firstLine="560" w:firstLineChars="200"/>
        <w:rPr>
          <w:rFonts w:hint="default"/>
          <w:lang w:val="en-US" w:eastAsia="zh-CN"/>
        </w:rPr>
      </w:pPr>
      <w:r>
        <w:rPr>
          <w:rFonts w:hint="default"/>
          <w:lang w:val="en-US" w:eastAsia="zh-CN"/>
        </w:rPr>
        <w:t>四是关于职业责任保险专家委员会。目前一些地方自主探索职业责任保险专家委员会运作，取得积极效果。《办法》规定财政部门和保险监督管理机构可以指导有关注册会计师协会会同保险行业协会组织成立职业责任保险专家委员会，对保险合同条款或赔偿事项可能产生的争议依程序提供专家意见或建议，供司法机关或有关方面参考。专家委员会成员可以包括会计师事务所和保险公司相关方代表以及法律专家等专业人士，以充分反映各方意见观点，服务纠纷化解和争议解决。</w:t>
      </w:r>
    </w:p>
    <w:p w14:paraId="351EFE48">
      <w:pPr>
        <w:pStyle w:val="2"/>
        <w:bidi w:val="0"/>
        <w:rPr>
          <w:rFonts w:hint="default"/>
          <w:lang w:val="en-US" w:eastAsia="zh-CN"/>
        </w:rPr>
      </w:pPr>
      <w:r>
        <w:rPr>
          <w:rFonts w:hint="default"/>
          <w:lang w:val="en-US" w:eastAsia="zh-CN"/>
        </w:rPr>
        <w:t>问：当前市场上一方面较为关注会计师事务所投保后是否可能弱化执业审慎性、放松内控管理，另一方面关注会计师事务所职业责任保险产品供给不够完善、存在投保理赔争议等问题，请问《办法》如何统筹回应上述关切？</w:t>
      </w:r>
    </w:p>
    <w:p w14:paraId="38EF1647">
      <w:pPr>
        <w:ind w:firstLine="560" w:firstLineChars="200"/>
        <w:rPr>
          <w:rFonts w:hint="default"/>
          <w:lang w:val="en-US" w:eastAsia="zh-CN"/>
        </w:rPr>
      </w:pPr>
      <w:r>
        <w:rPr>
          <w:rFonts w:hint="default"/>
          <w:lang w:val="en-US" w:eastAsia="zh-CN"/>
        </w:rPr>
        <w:t>答：推行会计师事务所职业责任保险制度，核心是通过市场化风险分担机制，健全注册会计师行业风险缓释渠道、完善行业治理体系。注册会计师行业和保险行业均属于高度专业性行业，双方容易因专业限制、信息不对称产生风险认知偏差、责任判断分歧。</w:t>
      </w:r>
    </w:p>
    <w:p w14:paraId="10A948A9">
      <w:pPr>
        <w:ind w:firstLine="560" w:firstLineChars="200"/>
        <w:rPr>
          <w:rFonts w:hint="default"/>
          <w:lang w:val="en-US" w:eastAsia="zh-CN"/>
        </w:rPr>
      </w:pPr>
      <w:r>
        <w:rPr>
          <w:rFonts w:hint="default"/>
          <w:lang w:val="en-US" w:eastAsia="zh-CN"/>
        </w:rPr>
        <w:t>对于注册会计师行业，要清晰划定保险责任边界，持续压实会计师事务所执业主体责任。一是厘清保险保障范围。职业责任保险仅承保会计师事务所执业过程中因疏忽、过失引发的民事赔偿责任；对于主观故意造假、串通舞弊等行为，不属于保险保障范畴。二是树立正确风险理念。投保职业责任保险属于风险转移工具，并非执业风险的“兜底屏障”，会计师事务所不能因投保保险放松质量管控、降低执业审慎义务。三是强化内部治理要求。会计师事务所要持续健全内部质量管理体系，严格遵守执业准则，常态化完善全流程风险管理，坚守客观公正的执业底线。</w:t>
      </w:r>
    </w:p>
    <w:p w14:paraId="45C2DF4E">
      <w:pPr>
        <w:ind w:firstLine="560" w:firstLineChars="200"/>
        <w:rPr>
          <w:rFonts w:hint="default"/>
          <w:lang w:val="en-US" w:eastAsia="zh-CN"/>
        </w:rPr>
      </w:pPr>
      <w:r>
        <w:rPr>
          <w:rFonts w:hint="default"/>
          <w:lang w:val="en-US" w:eastAsia="zh-CN"/>
        </w:rPr>
        <w:t>对于保险行业，要立足市场供需匹配痛点，持续优化职业责任保险市场供给与服务质效。针对当前会计师事务所职业责任保险产品供给不够完善、存在投保理赔争议等问题，保险行业将统筹推进市场规范。一是建立标准化保险产品，在广泛听取各方意见基础上，加快推出行业示范条款，统一基础保障范围、核心责任要素，满足行业普遍性、基础性风险保障需求。二是稳定市场承保供给能力，引导保险机构合规开展共保合作，有序扩充承保承载力、拓宽市场覆盖面，同时规范共保经营秩序，防范非理性低价竞争。三是提升理赔规范化水平，引导保险机构深度参与职业责任保险专家委员会建设，完善理赔争议调处机制，从源头化解理赔分歧，推动形成愿保、敢保、能保的良好市场局面。</w:t>
      </w:r>
    </w:p>
    <w:p w14:paraId="383FA06C">
      <w:pPr>
        <w:pStyle w:val="2"/>
        <w:bidi w:val="0"/>
        <w:rPr>
          <w:rFonts w:hint="default"/>
          <w:lang w:val="en-US" w:eastAsia="zh-CN"/>
        </w:rPr>
      </w:pPr>
      <w:r>
        <w:rPr>
          <w:rFonts w:hint="default"/>
          <w:lang w:val="en-US" w:eastAsia="zh-CN"/>
        </w:rPr>
        <w:t>问：如何做好《办法》的贯彻实施？</w:t>
      </w:r>
    </w:p>
    <w:p w14:paraId="4E1B246B">
      <w:pPr>
        <w:ind w:firstLine="560" w:firstLineChars="200"/>
        <w:rPr>
          <w:rFonts w:hint="default"/>
          <w:lang w:val="en-US" w:eastAsia="zh-CN"/>
        </w:rPr>
      </w:pPr>
      <w:r>
        <w:rPr>
          <w:rFonts w:hint="default"/>
          <w:lang w:val="en-US" w:eastAsia="zh-CN"/>
        </w:rPr>
        <w:t>答：《办法》自2027年1月1日起施行，财政部、金融监管总局将在以下方面切实抓好《办法》的贯彻落实：一是加强宣传培训。利用《办法》施行过渡期，通过多种方式加强政策解读，引导准确理解把握有关要求，稳妥有序完成过渡。二是制定示范条款。推动中国保险行业协会在充分听取各方意见的基础上，制定发布职业责任保险示范条款，为各单位提供参考范本。三是加强监管协同。财政部、金融监管总局和相关行业协会建立完善沟通机制，推动信息共享，加强工作协同，共同促进会计师事务所职业责任保险健康规范发展。</w:t>
      </w:r>
    </w:p>
    <w:p w14:paraId="725FAFD4">
      <w:pPr>
        <w:ind w:firstLine="560" w:firstLineChars="200"/>
        <w:rPr>
          <w:rFonts w:hint="default"/>
          <w:lang w:val="en-US" w:eastAsia="zh-CN"/>
        </w:rPr>
      </w:pPr>
      <w:r>
        <w:rPr>
          <w:rFonts w:hint="default"/>
          <w:lang w:val="en-US" w:eastAsia="zh-CN"/>
        </w:rPr>
        <w:t>https://www.nfra.gov.cn/cn/view/pages/ItemDetail.html?docId=1269495&amp;itemId=915&amp;generaltype=0</w:t>
      </w:r>
    </w:p>
    <w:sectPr>
      <w:headerReference r:id="rId7" w:type="first"/>
      <w:footerReference r:id="rId10" w:type="first"/>
      <w:headerReference r:id="rId5" w:type="default"/>
      <w:footerReference r:id="rId8" w:type="default"/>
      <w:headerReference r:id="rId6" w:type="even"/>
      <w:footerReference r:id="rId9" w:type="even"/>
      <w:pgSz w:w="11906" w:h="16838"/>
      <w:pgMar w:top="1021" w:right="737" w:bottom="567" w:left="964" w:header="0" w:footer="340" w:gutter="0"/>
      <w:lnNumType w:countBy="0" w:restart="continuous"/>
      <w:cols w:space="720" w:num="1"/>
      <w:docGrid w:type="lines" w:linePitch="381" w:charSpace="0"/>
    </w:sectPr>
  </w:body>
</w:document>
</file>

<file path=word/customizations.xml><?xml version="1.0" encoding="utf-8"?>
<wne:tcg xmlns:r="http://schemas.openxmlformats.org/officeDocument/2006/relationships" xmlns:wne="http://schemas.microsoft.com/office/word/2006/wordml">
  <wne:keymaps>
    <wne:keymap wne:kcmPrimary="0432">
      <wne:acd wne:acdName="acd0"/>
    </wne:keymap>
    <wne:keymap wne:kcmPrimary="0073">
      <wne:acd wne:acdName="acd1"/>
    </wne:keymap>
    <wne:keymap wne:kcmPrimary="0072">
      <wne:acd wne:acdName="acd2"/>
    </wne:keymap>
    <wne:keymap wne:kcmPrimary="0431">
      <wne:acd wne:acdName="acd3"/>
    </wne:keymap>
    <wne:keymap wne:kcmPrimary="0433">
      <wne:acd wne:acdName="acd4"/>
    </wne:keymap>
  </wne:keymaps>
  <wne:acds>
    <wne:acd wne:argValue="AQAAAD4A" wne:acdName="acd0" wne:fciIndexBasedOn="0065"/>
    <wne:acd wne:argValue="AQAAAAMA" wne:acdName="acd1" wne:fciIndexBasedOn="0065"/>
    <wne:acd wne:argValue="AQAAAAIA" wne:acdName="acd2" wne:fciIndexBasedOn="0065"/>
    <wne:acd wne:argValue="AQAAAAcA" wne:acdName="acd3" wne:fciIndexBasedOn="0065"/>
    <wne:acd wne:argValue="AQAAAAQA" wne:acdName="acd4"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7BA71">
    <w:pPr>
      <w:pStyle w:val="10"/>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p w14:paraId="04D3F727">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54834">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0A2F5">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01441">
    <w:pPr>
      <w:pStyle w:val="11"/>
      <w:pBdr>
        <w:bottom w:val="none" w:color="auto" w:sz="0" w:space="1"/>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0FB91">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B4D0E">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MjI5YjhlNTAxYzUyOTYyYWZlMGFjYmE4ZTczY2EifQ=="/>
  </w:docVars>
  <w:rsids>
    <w:rsidRoot w:val="008646BD"/>
    <w:rsid w:val="000952D0"/>
    <w:rsid w:val="001A2DA0"/>
    <w:rsid w:val="001C34A5"/>
    <w:rsid w:val="00200674"/>
    <w:rsid w:val="002015BF"/>
    <w:rsid w:val="00213952"/>
    <w:rsid w:val="00266005"/>
    <w:rsid w:val="002837A7"/>
    <w:rsid w:val="002B0CB8"/>
    <w:rsid w:val="002B58EF"/>
    <w:rsid w:val="002D0912"/>
    <w:rsid w:val="00356EC6"/>
    <w:rsid w:val="003D4685"/>
    <w:rsid w:val="003E1B9B"/>
    <w:rsid w:val="00400ACF"/>
    <w:rsid w:val="00435CBF"/>
    <w:rsid w:val="00445C46"/>
    <w:rsid w:val="00446D85"/>
    <w:rsid w:val="004629C9"/>
    <w:rsid w:val="00474356"/>
    <w:rsid w:val="0049009B"/>
    <w:rsid w:val="004B411A"/>
    <w:rsid w:val="004E2A21"/>
    <w:rsid w:val="00502BE0"/>
    <w:rsid w:val="00527965"/>
    <w:rsid w:val="00541495"/>
    <w:rsid w:val="0056140E"/>
    <w:rsid w:val="00592654"/>
    <w:rsid w:val="005A735E"/>
    <w:rsid w:val="005D325A"/>
    <w:rsid w:val="005E1220"/>
    <w:rsid w:val="006B1EF5"/>
    <w:rsid w:val="006C53F4"/>
    <w:rsid w:val="006C6AA9"/>
    <w:rsid w:val="00762811"/>
    <w:rsid w:val="00856EBE"/>
    <w:rsid w:val="008646BD"/>
    <w:rsid w:val="00871C17"/>
    <w:rsid w:val="008D3059"/>
    <w:rsid w:val="009940CD"/>
    <w:rsid w:val="009C24DA"/>
    <w:rsid w:val="009D5A6E"/>
    <w:rsid w:val="00A131F8"/>
    <w:rsid w:val="00A23FE0"/>
    <w:rsid w:val="00A306C1"/>
    <w:rsid w:val="00A37658"/>
    <w:rsid w:val="00AB326C"/>
    <w:rsid w:val="00C00734"/>
    <w:rsid w:val="00C00AF2"/>
    <w:rsid w:val="00C26FAA"/>
    <w:rsid w:val="00C33B6B"/>
    <w:rsid w:val="00C60FF7"/>
    <w:rsid w:val="00C64727"/>
    <w:rsid w:val="00D26B81"/>
    <w:rsid w:val="00D50192"/>
    <w:rsid w:val="00D56554"/>
    <w:rsid w:val="00D97296"/>
    <w:rsid w:val="00E0155F"/>
    <w:rsid w:val="00E02056"/>
    <w:rsid w:val="00E86AF6"/>
    <w:rsid w:val="00EB649E"/>
    <w:rsid w:val="00EC5ABB"/>
    <w:rsid w:val="00F016CB"/>
    <w:rsid w:val="00F17701"/>
    <w:rsid w:val="00F50F80"/>
    <w:rsid w:val="00F57B68"/>
    <w:rsid w:val="00FC6509"/>
    <w:rsid w:val="01AA6BB1"/>
    <w:rsid w:val="02054F52"/>
    <w:rsid w:val="0383219D"/>
    <w:rsid w:val="03E5615F"/>
    <w:rsid w:val="04BE52E0"/>
    <w:rsid w:val="04C52596"/>
    <w:rsid w:val="04E5597F"/>
    <w:rsid w:val="05C9270C"/>
    <w:rsid w:val="05CC0449"/>
    <w:rsid w:val="05CC6BA7"/>
    <w:rsid w:val="05F56545"/>
    <w:rsid w:val="06961A26"/>
    <w:rsid w:val="06AB5303"/>
    <w:rsid w:val="072E100E"/>
    <w:rsid w:val="075325DA"/>
    <w:rsid w:val="07D41004"/>
    <w:rsid w:val="08232C96"/>
    <w:rsid w:val="093C70F8"/>
    <w:rsid w:val="09CC2E5E"/>
    <w:rsid w:val="0A3D2F70"/>
    <w:rsid w:val="0B9079F1"/>
    <w:rsid w:val="0B943B18"/>
    <w:rsid w:val="0DD94583"/>
    <w:rsid w:val="0E1238D7"/>
    <w:rsid w:val="0E592DD6"/>
    <w:rsid w:val="0EBE39E4"/>
    <w:rsid w:val="0F033741"/>
    <w:rsid w:val="0F9E1127"/>
    <w:rsid w:val="0FC26D8E"/>
    <w:rsid w:val="10225A02"/>
    <w:rsid w:val="109003E2"/>
    <w:rsid w:val="10D02130"/>
    <w:rsid w:val="11284EE7"/>
    <w:rsid w:val="122C71D3"/>
    <w:rsid w:val="126555E2"/>
    <w:rsid w:val="12B6109D"/>
    <w:rsid w:val="135C6A68"/>
    <w:rsid w:val="13A543FC"/>
    <w:rsid w:val="14AC3169"/>
    <w:rsid w:val="14BA55A9"/>
    <w:rsid w:val="15313E4A"/>
    <w:rsid w:val="16E465E6"/>
    <w:rsid w:val="17B571BE"/>
    <w:rsid w:val="183B3D17"/>
    <w:rsid w:val="186567B7"/>
    <w:rsid w:val="187A04AD"/>
    <w:rsid w:val="188602CE"/>
    <w:rsid w:val="191F6B75"/>
    <w:rsid w:val="19470B19"/>
    <w:rsid w:val="19DB3E43"/>
    <w:rsid w:val="19E646A3"/>
    <w:rsid w:val="1A3F168A"/>
    <w:rsid w:val="1ACD4BC9"/>
    <w:rsid w:val="1AD00105"/>
    <w:rsid w:val="1C1F5C60"/>
    <w:rsid w:val="1C26202E"/>
    <w:rsid w:val="1CFA082A"/>
    <w:rsid w:val="1D2B08CD"/>
    <w:rsid w:val="1D75769C"/>
    <w:rsid w:val="1E486D5E"/>
    <w:rsid w:val="20E515DF"/>
    <w:rsid w:val="20EE4514"/>
    <w:rsid w:val="21490716"/>
    <w:rsid w:val="226D40AF"/>
    <w:rsid w:val="22A660F0"/>
    <w:rsid w:val="23350630"/>
    <w:rsid w:val="239C0C8D"/>
    <w:rsid w:val="242B3DB3"/>
    <w:rsid w:val="2458023C"/>
    <w:rsid w:val="24891F4C"/>
    <w:rsid w:val="24DD1B30"/>
    <w:rsid w:val="24FB777E"/>
    <w:rsid w:val="269C20DC"/>
    <w:rsid w:val="26BE469D"/>
    <w:rsid w:val="28341D78"/>
    <w:rsid w:val="284055FE"/>
    <w:rsid w:val="284C442A"/>
    <w:rsid w:val="28500425"/>
    <w:rsid w:val="288233CE"/>
    <w:rsid w:val="29481F8B"/>
    <w:rsid w:val="299E2259"/>
    <w:rsid w:val="29AE54C4"/>
    <w:rsid w:val="2A20733C"/>
    <w:rsid w:val="2A36166C"/>
    <w:rsid w:val="2A5B6A65"/>
    <w:rsid w:val="2AC85DD5"/>
    <w:rsid w:val="2B983D5E"/>
    <w:rsid w:val="2BD17CE5"/>
    <w:rsid w:val="2C1B2534"/>
    <w:rsid w:val="2C5661E7"/>
    <w:rsid w:val="2CC90378"/>
    <w:rsid w:val="2DDA75F8"/>
    <w:rsid w:val="2E451107"/>
    <w:rsid w:val="2E561F32"/>
    <w:rsid w:val="2F167534"/>
    <w:rsid w:val="30D427EB"/>
    <w:rsid w:val="31604062"/>
    <w:rsid w:val="31AC3498"/>
    <w:rsid w:val="31BA36E4"/>
    <w:rsid w:val="34163C6F"/>
    <w:rsid w:val="34E21617"/>
    <w:rsid w:val="34FC0B26"/>
    <w:rsid w:val="35CC7FE4"/>
    <w:rsid w:val="360A0131"/>
    <w:rsid w:val="370B0758"/>
    <w:rsid w:val="387E58D5"/>
    <w:rsid w:val="38D5360F"/>
    <w:rsid w:val="3B005163"/>
    <w:rsid w:val="3B566601"/>
    <w:rsid w:val="3B700A68"/>
    <w:rsid w:val="3BC5648D"/>
    <w:rsid w:val="3C131F35"/>
    <w:rsid w:val="3C8B707E"/>
    <w:rsid w:val="3D0B60DD"/>
    <w:rsid w:val="3D242F7A"/>
    <w:rsid w:val="3E9C40F3"/>
    <w:rsid w:val="3F047193"/>
    <w:rsid w:val="40B15178"/>
    <w:rsid w:val="4139196E"/>
    <w:rsid w:val="415848E1"/>
    <w:rsid w:val="417A5F93"/>
    <w:rsid w:val="418935AC"/>
    <w:rsid w:val="4296377D"/>
    <w:rsid w:val="42F8070A"/>
    <w:rsid w:val="430E0353"/>
    <w:rsid w:val="433C38D6"/>
    <w:rsid w:val="441C68B9"/>
    <w:rsid w:val="446948F1"/>
    <w:rsid w:val="455F2176"/>
    <w:rsid w:val="45B9632A"/>
    <w:rsid w:val="46931CE2"/>
    <w:rsid w:val="47407E1B"/>
    <w:rsid w:val="477B0D92"/>
    <w:rsid w:val="47A516B2"/>
    <w:rsid w:val="480F418D"/>
    <w:rsid w:val="483F5039"/>
    <w:rsid w:val="485C7A85"/>
    <w:rsid w:val="486F5D2C"/>
    <w:rsid w:val="4B077B9F"/>
    <w:rsid w:val="4CF97814"/>
    <w:rsid w:val="4D797ECA"/>
    <w:rsid w:val="4E7271B8"/>
    <w:rsid w:val="4EB31BF9"/>
    <w:rsid w:val="4F216E80"/>
    <w:rsid w:val="4F6B7653"/>
    <w:rsid w:val="4FEE4718"/>
    <w:rsid w:val="505020B9"/>
    <w:rsid w:val="513841CB"/>
    <w:rsid w:val="514A0E57"/>
    <w:rsid w:val="515B6E68"/>
    <w:rsid w:val="52025F45"/>
    <w:rsid w:val="52511EB8"/>
    <w:rsid w:val="52687459"/>
    <w:rsid w:val="528945A2"/>
    <w:rsid w:val="53AA5870"/>
    <w:rsid w:val="54581D88"/>
    <w:rsid w:val="54992FDE"/>
    <w:rsid w:val="5599644C"/>
    <w:rsid w:val="56A05C5E"/>
    <w:rsid w:val="56CD336C"/>
    <w:rsid w:val="57691CAA"/>
    <w:rsid w:val="579B39F0"/>
    <w:rsid w:val="57A37E38"/>
    <w:rsid w:val="58700445"/>
    <w:rsid w:val="587662C1"/>
    <w:rsid w:val="58E45E5C"/>
    <w:rsid w:val="5966249A"/>
    <w:rsid w:val="599D54F4"/>
    <w:rsid w:val="59C57696"/>
    <w:rsid w:val="5ABE63C0"/>
    <w:rsid w:val="5B5F3C17"/>
    <w:rsid w:val="5C0F18E6"/>
    <w:rsid w:val="5D36633D"/>
    <w:rsid w:val="5D942074"/>
    <w:rsid w:val="5E8D152A"/>
    <w:rsid w:val="5F110691"/>
    <w:rsid w:val="5F42540D"/>
    <w:rsid w:val="605308F0"/>
    <w:rsid w:val="60F01468"/>
    <w:rsid w:val="613B531F"/>
    <w:rsid w:val="61537BFA"/>
    <w:rsid w:val="616E77F5"/>
    <w:rsid w:val="61941FCD"/>
    <w:rsid w:val="61A372B8"/>
    <w:rsid w:val="61CC184F"/>
    <w:rsid w:val="61FB7F6E"/>
    <w:rsid w:val="626A293A"/>
    <w:rsid w:val="632C62D6"/>
    <w:rsid w:val="63E140F1"/>
    <w:rsid w:val="65F73711"/>
    <w:rsid w:val="66801568"/>
    <w:rsid w:val="6710609A"/>
    <w:rsid w:val="67697562"/>
    <w:rsid w:val="688F60F2"/>
    <w:rsid w:val="695B7490"/>
    <w:rsid w:val="69C218FE"/>
    <w:rsid w:val="6BDB68DE"/>
    <w:rsid w:val="6C270DD3"/>
    <w:rsid w:val="6C705350"/>
    <w:rsid w:val="6D872A5A"/>
    <w:rsid w:val="6DC836A7"/>
    <w:rsid w:val="6E1F25FD"/>
    <w:rsid w:val="6E413E28"/>
    <w:rsid w:val="6F370898"/>
    <w:rsid w:val="6F4638FD"/>
    <w:rsid w:val="70956FE4"/>
    <w:rsid w:val="71020CE1"/>
    <w:rsid w:val="73F7433F"/>
    <w:rsid w:val="74C55E96"/>
    <w:rsid w:val="756F626F"/>
    <w:rsid w:val="75930F1E"/>
    <w:rsid w:val="76FA56D9"/>
    <w:rsid w:val="775748F9"/>
    <w:rsid w:val="77BF12F7"/>
    <w:rsid w:val="78264085"/>
    <w:rsid w:val="78AE6AA2"/>
    <w:rsid w:val="79060B26"/>
    <w:rsid w:val="79665442"/>
    <w:rsid w:val="798E17BF"/>
    <w:rsid w:val="79D16624"/>
    <w:rsid w:val="79E44119"/>
    <w:rsid w:val="7A283BED"/>
    <w:rsid w:val="7A5A1A94"/>
    <w:rsid w:val="7AA0221D"/>
    <w:rsid w:val="7B705706"/>
    <w:rsid w:val="7C8440E2"/>
    <w:rsid w:val="7D324444"/>
    <w:rsid w:val="7D470D1C"/>
    <w:rsid w:val="7DCC36B1"/>
    <w:rsid w:val="7E0E1F5B"/>
    <w:rsid w:val="7E39495F"/>
    <w:rsid w:val="7F3A0F43"/>
    <w:rsid w:val="7F875CA6"/>
    <w:rsid w:val="7FDF55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200" w:firstLineChars="200"/>
    </w:pPr>
    <w:rPr>
      <w:rFonts w:ascii="仿宋_GB2312" w:hAnsi="仿宋_GB2312" w:eastAsia="仿宋_GB2312" w:cs="Times New Roman"/>
      <w:kern w:val="2"/>
      <w:sz w:val="28"/>
      <w:szCs w:val="22"/>
      <w:lang w:val="en-US" w:eastAsia="zh-CN" w:bidi="ar-SA"/>
    </w:rPr>
  </w:style>
  <w:style w:type="paragraph" w:styleId="2">
    <w:name w:val="heading 1"/>
    <w:basedOn w:val="1"/>
    <w:next w:val="1"/>
    <w:link w:val="25"/>
    <w:qFormat/>
    <w:uiPriority w:val="9"/>
    <w:pPr>
      <w:keepNext/>
      <w:keepLines/>
      <w:spacing w:line="440" w:lineRule="exact"/>
      <w:ind w:firstLine="560" w:firstLineChars="200"/>
      <w:outlineLvl w:val="0"/>
    </w:pPr>
    <w:rPr>
      <w:rFonts w:ascii="黑体" w:hAnsi="黑体" w:eastAsia="黑体"/>
      <w:bCs/>
      <w:kern w:val="44"/>
      <w:szCs w:val="44"/>
    </w:rPr>
  </w:style>
  <w:style w:type="paragraph" w:styleId="3">
    <w:name w:val="heading 2"/>
    <w:basedOn w:val="1"/>
    <w:next w:val="1"/>
    <w:link w:val="28"/>
    <w:unhideWhenUsed/>
    <w:qFormat/>
    <w:uiPriority w:val="9"/>
    <w:pPr>
      <w:spacing w:before="0" w:beforeAutospacing="0" w:after="0" w:afterAutospacing="0"/>
      <w:jc w:val="left"/>
      <w:outlineLvl w:val="1"/>
    </w:pPr>
    <w:rPr>
      <w:rFonts w:hint="eastAsia" w:ascii="楷体_GB2312" w:hAnsi="楷体_GB2312" w:eastAsia="楷体_GB2312" w:cs="宋体"/>
      <w:b/>
      <w:bCs/>
      <w:kern w:val="0"/>
      <w:szCs w:val="36"/>
      <w:lang w:bidi="ar"/>
    </w:rPr>
  </w:style>
  <w:style w:type="paragraph" w:styleId="4">
    <w:name w:val="heading 3"/>
    <w:basedOn w:val="1"/>
    <w:next w:val="1"/>
    <w:link w:val="29"/>
    <w:unhideWhenUsed/>
    <w:qFormat/>
    <w:uiPriority w:val="9"/>
    <w:pPr>
      <w:keepNext/>
      <w:keepLines/>
      <w:spacing w:line="440" w:lineRule="exact"/>
      <w:outlineLvl w:val="2"/>
    </w:pPr>
    <w:rPr>
      <w:b/>
      <w:bCs/>
      <w:szCs w:val="32"/>
    </w:rPr>
  </w:style>
  <w:style w:type="paragraph" w:styleId="5">
    <w:name w:val="heading 4"/>
    <w:basedOn w:val="1"/>
    <w:next w:val="1"/>
    <w:link w:val="30"/>
    <w:unhideWhenUsed/>
    <w:qFormat/>
    <w:uiPriority w:val="9"/>
    <w:pPr>
      <w:keepNext/>
      <w:keepLines/>
      <w:spacing w:beforeLines="0" w:beforeAutospacing="0" w:afterLines="0" w:afterAutospacing="0" w:line="440" w:lineRule="exact"/>
      <w:outlineLvl w:val="3"/>
    </w:pPr>
  </w:style>
  <w:style w:type="paragraph" w:styleId="6">
    <w:name w:val="heading 5"/>
    <w:basedOn w:val="1"/>
    <w:next w:val="1"/>
    <w:link w:val="51"/>
    <w:unhideWhenUsed/>
    <w:qFormat/>
    <w:uiPriority w:val="9"/>
    <w:pPr>
      <w:keepNext/>
      <w:keepLines/>
      <w:spacing w:beforeLines="0" w:beforeAutospacing="0" w:afterLines="0" w:afterAutospacing="0" w:line="440" w:lineRule="exact"/>
      <w:ind w:right="560" w:rightChars="200"/>
      <w:jc w:val="right"/>
      <w:outlineLvl w:val="4"/>
    </w:pPr>
  </w:style>
  <w:style w:type="paragraph" w:styleId="7">
    <w:name w:val="heading 6"/>
    <w:basedOn w:val="1"/>
    <w:next w:val="1"/>
    <w:unhideWhenUsed/>
    <w:qFormat/>
    <w:uiPriority w:val="9"/>
    <w:pPr>
      <w:keepNext/>
      <w:keepLines/>
      <w:spacing w:before="50" w:beforeLines="50" w:beforeAutospacing="0" w:after="50" w:afterLines="50" w:afterAutospacing="0" w:line="440" w:lineRule="exact"/>
      <w:ind w:right="0" w:rightChars="0" w:firstLine="0" w:firstLineChars="0"/>
      <w:jc w:val="center"/>
      <w:outlineLvl w:val="5"/>
    </w:pPr>
    <w:rPr>
      <w:rFonts w:cs="仿宋_GB2312"/>
    </w:rPr>
  </w:style>
  <w:style w:type="paragraph" w:styleId="8">
    <w:name w:val="heading 7"/>
    <w:basedOn w:val="1"/>
    <w:next w:val="1"/>
    <w:unhideWhenUsed/>
    <w:qFormat/>
    <w:uiPriority w:val="9"/>
    <w:pPr>
      <w:keepNext/>
      <w:keepLines/>
      <w:spacing w:before="50" w:beforeLines="50" w:beforeAutospacing="0" w:after="50" w:afterLines="50" w:afterAutospacing="0" w:line="440" w:lineRule="exact"/>
      <w:ind w:firstLine="0" w:firstLineChars="0"/>
      <w:jc w:val="center"/>
      <w:outlineLvl w:val="6"/>
    </w:pPr>
    <w:rPr>
      <w:rFonts w:hAnsi="仿宋_GB2312"/>
    </w:rPr>
  </w:style>
  <w:style w:type="paragraph" w:styleId="9">
    <w:name w:val="heading 8"/>
    <w:basedOn w:val="1"/>
    <w:next w:val="1"/>
    <w:link w:val="52"/>
    <w:unhideWhenUsed/>
    <w:qFormat/>
    <w:uiPriority w:val="9"/>
    <w:pPr>
      <w:keepNext/>
      <w:keepLines/>
      <w:spacing w:beforeLines="0" w:beforeAutospacing="0" w:afterLines="0" w:afterAutospacing="0" w:line="240" w:lineRule="auto"/>
      <w:ind w:firstLine="0" w:firstLineChars="0"/>
      <w:jc w:val="center"/>
      <w:outlineLvl w:val="7"/>
    </w:pPr>
    <w:rPr>
      <w:rFonts w:ascii="Arial" w:hAnsi="Arial" w:eastAsia="仿宋_GB2312" w:cs="Times New Roman"/>
      <w:sz w:val="24"/>
      <w:szCs w:val="22"/>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0">
    <w:name w:val="footer"/>
    <w:basedOn w:val="1"/>
    <w:link w:val="31"/>
    <w:unhideWhenUsed/>
    <w:qFormat/>
    <w:uiPriority w:val="99"/>
    <w:pPr>
      <w:tabs>
        <w:tab w:val="center" w:pos="4153"/>
        <w:tab w:val="right" w:pos="8306"/>
      </w:tabs>
      <w:snapToGrid w:val="0"/>
    </w:pPr>
    <w:rPr>
      <w:sz w:val="18"/>
      <w:szCs w:val="18"/>
    </w:rPr>
  </w:style>
  <w:style w:type="paragraph" w:styleId="11">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link w:val="33"/>
    <w:qFormat/>
    <w:uiPriority w:val="11"/>
    <w:pPr>
      <w:outlineLvl w:val="1"/>
    </w:pPr>
    <w:rPr>
      <w:b/>
      <w:bCs/>
      <w:kern w:val="28"/>
      <w:szCs w:val="32"/>
    </w:rPr>
  </w:style>
  <w:style w:type="paragraph" w:styleId="1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5">
    <w:name w:val="Title"/>
    <w:basedOn w:val="1"/>
    <w:next w:val="1"/>
    <w:link w:val="27"/>
    <w:qFormat/>
    <w:uiPriority w:val="10"/>
    <w:pPr>
      <w:spacing w:line="440" w:lineRule="exact"/>
      <w:ind w:firstLine="0" w:firstLineChars="0"/>
      <w:jc w:val="center"/>
      <w:outlineLvl w:val="0"/>
    </w:pPr>
    <w:rPr>
      <w:rFonts w:ascii="华文中宋" w:hAnsi="华文中宋" w:eastAsia="华文中宋" w:cs="Times New Roman"/>
      <w:b/>
      <w:bCs/>
      <w:sz w:val="32"/>
      <w:szCs w:val="32"/>
    </w:rPr>
  </w:style>
  <w:style w:type="table" w:styleId="17">
    <w:name w:val="Table Grid"/>
    <w:basedOn w:val="1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rFonts w:eastAsia="仿宋_GB2312"/>
      <w:b/>
      <w:bCs/>
      <w:color w:val="7030A0"/>
      <w:spacing w:val="-8"/>
      <w:w w:val="96"/>
      <w:sz w:val="28"/>
    </w:rPr>
  </w:style>
  <w:style w:type="character" w:styleId="20">
    <w:name w:val="FollowedHyperlink"/>
    <w:basedOn w:val="18"/>
    <w:unhideWhenUsed/>
    <w:qFormat/>
    <w:uiPriority w:val="99"/>
    <w:rPr>
      <w:color w:val="404040"/>
      <w:u w:val="none"/>
    </w:rPr>
  </w:style>
  <w:style w:type="character" w:styleId="21">
    <w:name w:val="Emphasis"/>
    <w:basedOn w:val="18"/>
    <w:qFormat/>
    <w:uiPriority w:val="20"/>
    <w:rPr>
      <w:rFonts w:eastAsia="华文楷体"/>
      <w:iCs/>
      <w:sz w:val="28"/>
    </w:rPr>
  </w:style>
  <w:style w:type="character" w:styleId="22">
    <w:name w:val="line number"/>
    <w:basedOn w:val="18"/>
    <w:unhideWhenUsed/>
    <w:qFormat/>
    <w:uiPriority w:val="99"/>
  </w:style>
  <w:style w:type="character" w:styleId="23">
    <w:name w:val="HTML Variable"/>
    <w:basedOn w:val="18"/>
    <w:unhideWhenUsed/>
    <w:qFormat/>
    <w:uiPriority w:val="99"/>
  </w:style>
  <w:style w:type="character" w:styleId="24">
    <w:name w:val="Hyperlink"/>
    <w:basedOn w:val="18"/>
    <w:unhideWhenUsed/>
    <w:qFormat/>
    <w:uiPriority w:val="99"/>
    <w:rPr>
      <w:color w:val="404040"/>
      <w:u w:val="none"/>
    </w:rPr>
  </w:style>
  <w:style w:type="character" w:customStyle="1" w:styleId="25">
    <w:name w:val="标题 1 字符"/>
    <w:basedOn w:val="18"/>
    <w:link w:val="2"/>
    <w:qFormat/>
    <w:uiPriority w:val="9"/>
    <w:rPr>
      <w:rFonts w:ascii="黑体" w:hAnsi="黑体" w:eastAsia="黑体"/>
      <w:bCs/>
      <w:kern w:val="44"/>
      <w:sz w:val="28"/>
      <w:szCs w:val="44"/>
    </w:rPr>
  </w:style>
  <w:style w:type="character" w:customStyle="1" w:styleId="26">
    <w:name w:val="标题 3 Char1"/>
    <w:link w:val="4"/>
    <w:qFormat/>
    <w:uiPriority w:val="9"/>
    <w:rPr>
      <w:rFonts w:ascii="仿宋_GB2312" w:hAnsi="仿宋_GB2312" w:eastAsia="仿宋_GB2312"/>
      <w:b/>
    </w:rPr>
  </w:style>
  <w:style w:type="character" w:customStyle="1" w:styleId="27">
    <w:name w:val="标题 字符"/>
    <w:basedOn w:val="18"/>
    <w:link w:val="15"/>
    <w:qFormat/>
    <w:uiPriority w:val="10"/>
    <w:rPr>
      <w:rFonts w:ascii="华文中宋" w:hAnsi="华文中宋" w:eastAsia="华文中宋" w:cs="Times New Roman"/>
      <w:b/>
      <w:bCs/>
      <w:sz w:val="32"/>
      <w:szCs w:val="32"/>
    </w:rPr>
  </w:style>
  <w:style w:type="character" w:customStyle="1" w:styleId="28">
    <w:name w:val="标题 2 字符"/>
    <w:basedOn w:val="18"/>
    <w:link w:val="3"/>
    <w:qFormat/>
    <w:uiPriority w:val="9"/>
    <w:rPr>
      <w:rFonts w:ascii="楷体_GB2312" w:hAnsi="楷体_GB2312" w:eastAsia="楷体_GB2312" w:cs="Times New Roman"/>
      <w:b/>
      <w:bCs/>
      <w:sz w:val="28"/>
      <w:szCs w:val="32"/>
    </w:rPr>
  </w:style>
  <w:style w:type="character" w:customStyle="1" w:styleId="29">
    <w:name w:val="标题 3 字符"/>
    <w:basedOn w:val="18"/>
    <w:link w:val="4"/>
    <w:semiHidden/>
    <w:qFormat/>
    <w:uiPriority w:val="9"/>
    <w:rPr>
      <w:rFonts w:ascii="仿宋_GB2312" w:hAnsi="仿宋_GB2312" w:eastAsia="仿宋_GB2312"/>
      <w:b/>
      <w:bCs/>
      <w:kern w:val="2"/>
      <w:sz w:val="28"/>
      <w:szCs w:val="32"/>
    </w:rPr>
  </w:style>
  <w:style w:type="character" w:customStyle="1" w:styleId="30">
    <w:name w:val="标题 4 Char1"/>
    <w:link w:val="5"/>
    <w:qFormat/>
    <w:uiPriority w:val="9"/>
    <w:rPr>
      <w:rFonts w:ascii="仿宋_GB2312" w:hAnsi="仿宋_GB2312" w:eastAsia="仿宋_GB2312"/>
    </w:rPr>
  </w:style>
  <w:style w:type="character" w:customStyle="1" w:styleId="31">
    <w:name w:val="页脚 字符"/>
    <w:basedOn w:val="18"/>
    <w:link w:val="10"/>
    <w:qFormat/>
    <w:uiPriority w:val="99"/>
    <w:rPr>
      <w:sz w:val="18"/>
      <w:szCs w:val="18"/>
    </w:rPr>
  </w:style>
  <w:style w:type="character" w:customStyle="1" w:styleId="32">
    <w:name w:val="页眉 字符"/>
    <w:basedOn w:val="18"/>
    <w:link w:val="11"/>
    <w:qFormat/>
    <w:uiPriority w:val="99"/>
    <w:rPr>
      <w:sz w:val="18"/>
      <w:szCs w:val="18"/>
    </w:rPr>
  </w:style>
  <w:style w:type="character" w:customStyle="1" w:styleId="33">
    <w:name w:val="副标题 字符"/>
    <w:basedOn w:val="18"/>
    <w:link w:val="12"/>
    <w:qFormat/>
    <w:uiPriority w:val="11"/>
    <w:rPr>
      <w:rFonts w:ascii="仿宋_GB2312" w:eastAsia="仿宋_GB2312"/>
      <w:b/>
      <w:bCs/>
      <w:kern w:val="28"/>
      <w:sz w:val="28"/>
      <w:szCs w:val="32"/>
    </w:rPr>
  </w:style>
  <w:style w:type="paragraph" w:styleId="34">
    <w:name w:val="Quote"/>
    <w:basedOn w:val="1"/>
    <w:next w:val="1"/>
    <w:link w:val="35"/>
    <w:qFormat/>
    <w:uiPriority w:val="29"/>
    <w:pPr>
      <w:ind w:firstLine="486"/>
    </w:pPr>
    <w:rPr>
      <w:rFonts w:eastAsia="华文楷体"/>
      <w:iCs/>
      <w:spacing w:val="-16"/>
      <w:w w:val="98"/>
    </w:rPr>
  </w:style>
  <w:style w:type="character" w:customStyle="1" w:styleId="35">
    <w:name w:val="引用 字符"/>
    <w:basedOn w:val="18"/>
    <w:link w:val="34"/>
    <w:qFormat/>
    <w:uiPriority w:val="29"/>
    <w:rPr>
      <w:rFonts w:ascii="仿宋_GB2312" w:eastAsia="华文楷体"/>
      <w:iCs/>
      <w:spacing w:val="-16"/>
      <w:w w:val="98"/>
      <w:sz w:val="28"/>
    </w:rPr>
  </w:style>
  <w:style w:type="paragraph" w:styleId="36">
    <w:name w:val="No Spacing"/>
    <w:qFormat/>
    <w:uiPriority w:val="1"/>
    <w:pPr>
      <w:widowControl w:val="0"/>
      <w:spacing w:before="5" w:beforeLines="5" w:after="5" w:afterLines="5" w:line="400" w:lineRule="exact"/>
      <w:ind w:firstLine="200" w:firstLineChars="200"/>
    </w:pPr>
    <w:rPr>
      <w:rFonts w:ascii="仿宋_GB2312" w:hAnsi="等线" w:eastAsia="仿宋_GB2312" w:cs="Times New Roman"/>
      <w:kern w:val="2"/>
      <w:sz w:val="28"/>
      <w:szCs w:val="22"/>
      <w:lang w:val="en-US" w:eastAsia="zh-CN" w:bidi="ar-SA"/>
    </w:rPr>
  </w:style>
  <w:style w:type="character" w:customStyle="1" w:styleId="37">
    <w:name w:val="不明显强调1"/>
    <w:basedOn w:val="18"/>
    <w:qFormat/>
    <w:uiPriority w:val="19"/>
    <w:rPr>
      <w:i/>
      <w:iCs/>
      <w:color w:val="3F3F3F"/>
    </w:rPr>
  </w:style>
  <w:style w:type="table" w:customStyle="1" w:styleId="38">
    <w:name w:val="Table Normal"/>
    <w:unhideWhenUsed/>
    <w:qFormat/>
    <w:uiPriority w:val="0"/>
    <w:tblPr>
      <w:tblCellMar>
        <w:top w:w="0" w:type="dxa"/>
        <w:left w:w="0" w:type="dxa"/>
        <w:bottom w:w="0" w:type="dxa"/>
        <w:right w:w="0" w:type="dxa"/>
      </w:tblCellMar>
    </w:tblPr>
  </w:style>
  <w:style w:type="paragraph" w:customStyle="1" w:styleId="39">
    <w:name w:val="title_m"/>
    <w:basedOn w:val="1"/>
    <w:qFormat/>
    <w:uiPriority w:val="0"/>
    <w:pPr>
      <w:jc w:val="center"/>
    </w:pPr>
    <w:rPr>
      <w:rFonts w:ascii="宋体" w:hAnsi="宋体" w:eastAsia="宋体" w:cs="宋体"/>
      <w:b/>
      <w:bCs/>
      <w:sz w:val="32"/>
      <w:szCs w:val="32"/>
    </w:rPr>
  </w:style>
  <w:style w:type="paragraph" w:customStyle="1" w:styleId="40">
    <w:name w:val="fulltext_text"/>
    <w:basedOn w:val="1"/>
    <w:qFormat/>
    <w:uiPriority w:val="0"/>
    <w:pPr>
      <w:spacing w:line="525" w:lineRule="atLeast"/>
    </w:pPr>
    <w:rPr>
      <w:rFonts w:ascii="宋体" w:hAnsi="宋体" w:eastAsia="宋体" w:cs="宋体"/>
      <w:sz w:val="24"/>
      <w:szCs w:val="24"/>
    </w:rPr>
  </w:style>
  <w:style w:type="character" w:customStyle="1" w:styleId="41">
    <w:name w:val="c_tiao"/>
    <w:basedOn w:val="18"/>
    <w:qFormat/>
    <w:uiPriority w:val="0"/>
    <w:rPr>
      <w:rFonts w:ascii="宋体" w:hAnsi="宋体" w:eastAsia="宋体" w:cs="宋体"/>
      <w:b/>
      <w:bCs/>
      <w:sz w:val="24"/>
      <w:szCs w:val="24"/>
    </w:rPr>
  </w:style>
  <w:style w:type="paragraph" w:customStyle="1" w:styleId="42">
    <w:name w:val="Body text|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3">
    <w:name w:val="Heading #1|1"/>
    <w:basedOn w:val="1"/>
    <w:qFormat/>
    <w:uiPriority w:val="0"/>
    <w:pPr>
      <w:widowControl w:val="0"/>
      <w:shd w:val="clear" w:color="auto" w:fill="auto"/>
      <w:spacing w:after="390" w:line="600" w:lineRule="exact"/>
      <w:jc w:val="center"/>
      <w:outlineLvl w:val="0"/>
    </w:pPr>
    <w:rPr>
      <w:rFonts w:ascii="宋体" w:hAnsi="宋体" w:eastAsia="宋体" w:cs="宋体"/>
      <w:sz w:val="40"/>
      <w:szCs w:val="40"/>
      <w:u w:val="none"/>
      <w:shd w:val="clear" w:color="auto" w:fill="auto"/>
      <w:lang w:val="zh-TW" w:eastAsia="zh-TW" w:bidi="zh-TW"/>
    </w:rPr>
  </w:style>
  <w:style w:type="paragraph" w:customStyle="1" w:styleId="44">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45">
    <w:name w:val="Other|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6">
    <w:name w:val="Body text|2"/>
    <w:basedOn w:val="1"/>
    <w:qFormat/>
    <w:uiPriority w:val="0"/>
    <w:pPr>
      <w:widowControl w:val="0"/>
      <w:shd w:val="clear" w:color="auto" w:fill="auto"/>
      <w:spacing w:after="320"/>
      <w:ind w:firstLine="480"/>
    </w:pPr>
    <w:rPr>
      <w:rFonts w:ascii="宋体" w:hAnsi="宋体" w:eastAsia="宋体" w:cs="宋体"/>
      <w:u w:val="none"/>
      <w:shd w:val="clear" w:color="auto" w:fill="auto"/>
      <w:lang w:val="zh-TW" w:eastAsia="zh-TW" w:bidi="zh-TW"/>
    </w:rPr>
  </w:style>
  <w:style w:type="paragraph" w:customStyle="1" w:styleId="47">
    <w:name w:val="Header or footer|1"/>
    <w:basedOn w:val="1"/>
    <w:qFormat/>
    <w:uiPriority w:val="0"/>
    <w:pPr>
      <w:widowControl w:val="0"/>
      <w:shd w:val="clear" w:color="auto" w:fill="auto"/>
      <w:jc w:val="center"/>
    </w:pPr>
    <w:rPr>
      <w:rFonts w:ascii="宋体" w:hAnsi="宋体" w:eastAsia="宋体" w:cs="宋体"/>
      <w:sz w:val="28"/>
      <w:szCs w:val="28"/>
      <w:u w:val="none"/>
      <w:shd w:val="clear" w:color="auto" w:fill="auto"/>
      <w:lang w:val="zh-TW" w:eastAsia="zh-TW" w:bidi="zh-TW"/>
    </w:rPr>
  </w:style>
  <w:style w:type="paragraph" w:customStyle="1" w:styleId="48">
    <w:name w:val="Footnote|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49">
    <w:name w:val="Table caption|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50">
    <w:name w:val="Body text|3"/>
    <w:basedOn w:val="1"/>
    <w:qFormat/>
    <w:uiPriority w:val="0"/>
    <w:pPr>
      <w:widowControl w:val="0"/>
      <w:shd w:val="clear" w:color="auto" w:fill="auto"/>
      <w:spacing w:line="363" w:lineRule="exact"/>
      <w:ind w:firstLine="140"/>
    </w:pPr>
    <w:rPr>
      <w:u w:val="none"/>
      <w:shd w:val="clear" w:color="auto" w:fill="auto"/>
    </w:rPr>
  </w:style>
  <w:style w:type="character" w:customStyle="1" w:styleId="51">
    <w:name w:val="标题 5 Char"/>
    <w:link w:val="6"/>
    <w:qFormat/>
    <w:uiPriority w:val="9"/>
  </w:style>
  <w:style w:type="character" w:customStyle="1" w:styleId="52">
    <w:name w:val="标题 8 Char"/>
    <w:link w:val="9"/>
    <w:qFormat/>
    <w:uiPriority w:val="9"/>
    <w:rPr>
      <w:rFonts w:ascii="Arial" w:hAnsi="Arial" w:eastAsia="仿宋_GB2312" w:cs="Times New Roman"/>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0</Words>
  <Characters>0</Characters>
  <Lines>1</Lines>
  <Paragraphs>1</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2021-09-09T02:22:00Z</dcterms:created>
  <dc:creator>岩</dc:creator>
  <cp:lastModifiedBy>MLee</cp:lastModifiedBy>
  <dcterms:modified xsi:type="dcterms:W3CDTF">2026-08-28T09:33:33Z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FC0C69D9734442B2A54A6BEAC53AD1F4_13</vt:lpwstr>
  </property>
  <property fmtid="{D5CDD505-2E9C-101B-9397-08002B2CF9AE}" pid="4" name="KSOTemplateDocerSaveRecord">
    <vt:lpwstr>eyJoZGlkIjoiMjIxMjI5YjhlNTAxYzUyOTYyYWZlMGFjYmE4ZTczY2EiLCJ1c2VySWQiOiI0MzAyNjYyMjEifQ==</vt:lpwstr>
  </property>
</Properties>
</file>