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37AF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2B72755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_GBK" w:hAnsi="方正小标宋_GBK" w:eastAsia="方正小标宋_GBK" w:cs="方正小标宋_GBK"/>
          <w:sz w:val="44"/>
          <w:szCs w:val="44"/>
          <w:highlight w:val="none"/>
          <w:lang w:val="en-US" w:eastAsia="zh-CN"/>
        </w:rPr>
      </w:pPr>
    </w:p>
    <w:p w14:paraId="2FFCC9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2026年技术转移机构建设项目资金</w:t>
      </w:r>
    </w:p>
    <w:p w14:paraId="7BE9C8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申报指南</w:t>
      </w:r>
    </w:p>
    <w:p w14:paraId="4E5038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p>
    <w:p w14:paraId="51819A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根据《中关村国家自主创新示范区优化创新创业生态环境支持资金管理办法》（京科发〔202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号）“第六条 支持技术转移机构建设”等相关要求，结合2026年工作实际，制定本申报指南。</w:t>
      </w:r>
    </w:p>
    <w:p w14:paraId="22B60B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一、申报对象</w:t>
      </w:r>
    </w:p>
    <w:p w14:paraId="21387B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申报单位应为登记、注册在中关村示范区范围内开展、服务科技创新活动的高等院校、科研机构、医疗卫生机构，企业和社会组织等创新主体。</w:t>
      </w:r>
    </w:p>
    <w:p w14:paraId="3A1165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登记注册在北京市其他区域，开展、服务科技创新活动，促进中关村示范区发展的创新主体参照执行。</w:t>
      </w:r>
    </w:p>
    <w:p w14:paraId="649AEF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二、申报要求</w:t>
      </w:r>
    </w:p>
    <w:p w14:paraId="7F74D3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面向符合条件的技术转移机构统一组织申报，按照分类支持、梯度培育、择优遴选的原则组织实施。申报方向分为高校院所方向和市场化机构方向。高校院所方向由高等院校、科研机构、医疗卫生机构设立的内设技术转移机构或具有独立法人资格的技术转移机构申报；市场化机构方向由企业、社会组织等建设的面向社会开展技术转移服务的技术转移机构申报。</w:t>
      </w:r>
    </w:p>
    <w:p w14:paraId="724C27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（一）基本条件</w:t>
      </w:r>
    </w:p>
    <w:p w14:paraId="4E91BE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申报单位应同时具备以下条件：</w:t>
      </w:r>
    </w:p>
    <w:p w14:paraId="06F5C5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1.专业能力扎实、转化制度规范。高校院所方向应健全科技成果转化管理、成果披露、收益分配、勤勉尽责、重大事项决策等制度，推动符合条件的关</w:t>
      </w:r>
      <w:bookmarkStart w:id="0" w:name="_GoBack"/>
      <w:bookmarkEnd w:id="0"/>
      <w:r>
        <w:rPr>
          <w:rFonts w:hint="eastAsia" w:ascii="仿宋_GB2312" w:hAnsi="仿宋_GB2312" w:eastAsia="仿宋_GB2312" w:cs="仿宋_GB2312"/>
          <w:sz w:val="32"/>
          <w:szCs w:val="32"/>
          <w:highlight w:val="none"/>
        </w:rPr>
        <w:t>键改革机制实际落实；市场化机构方向应围绕成果评价、技术交易、医工转化、国际技术转移、投融资、企业设立及落地服务等，形成较为清晰的核心服务方向、专业优势、服务工具和业务流程。</w:t>
      </w:r>
    </w:p>
    <w:p w14:paraId="28A6B9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2.工作目标清晰、突出落地成效。制定推动科技成果转化落地的明确工作目标和工作计划，提高科技成果通过技术转让、许可、作价入股、创办或设立企业等方式在京转化落地的数量和质量。</w:t>
      </w:r>
    </w:p>
    <w:p w14:paraId="786DA7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3.人员配置合理、专业能力匹配。</w:t>
      </w:r>
      <w:r>
        <w:rPr>
          <w:rFonts w:hint="eastAsia" w:ascii="仿宋_GB2312" w:hAnsi="仿宋_GB2312" w:eastAsia="仿宋_GB2312" w:cs="仿宋_GB2312"/>
          <w:sz w:val="32"/>
          <w:szCs w:val="32"/>
          <w:highlight w:val="none"/>
          <w:lang w:val="en-US" w:eastAsia="zh-CN"/>
        </w:rPr>
        <w:t>加强技术转移队伍建设，</w:t>
      </w:r>
      <w:r>
        <w:rPr>
          <w:rFonts w:hint="eastAsia" w:ascii="仿宋_GB2312" w:hAnsi="仿宋_GB2312" w:eastAsia="仿宋_GB2312" w:cs="仿宋_GB2312"/>
          <w:sz w:val="32"/>
          <w:szCs w:val="32"/>
          <w:highlight w:val="none"/>
        </w:rPr>
        <w:t>配备专职技术转移队伍或专业服务团队，具备成果转化组织协调能力，</w:t>
      </w:r>
      <w:r>
        <w:rPr>
          <w:rFonts w:hint="eastAsia" w:ascii="仿宋_GB2312" w:hAnsi="仿宋_GB2312" w:eastAsia="仿宋_GB2312" w:cs="仿宋_GB2312"/>
          <w:sz w:val="32"/>
          <w:szCs w:val="32"/>
          <w:highlight w:val="none"/>
          <w:lang w:val="en-US" w:eastAsia="zh-CN"/>
        </w:rPr>
        <w:t>引进并培养</w:t>
      </w:r>
      <w:r>
        <w:rPr>
          <w:rFonts w:hint="eastAsia" w:ascii="仿宋_GB2312" w:hAnsi="仿宋_GB2312" w:eastAsia="仿宋_GB2312" w:cs="仿宋_GB2312"/>
          <w:sz w:val="32"/>
          <w:szCs w:val="32"/>
          <w:highlight w:val="none"/>
        </w:rPr>
        <w:t>技术经理人及法律、知识产权、财务、商业和技术等专业</w:t>
      </w:r>
      <w:r>
        <w:rPr>
          <w:rFonts w:hint="eastAsia" w:ascii="仿宋_GB2312" w:hAnsi="仿宋_GB2312" w:eastAsia="仿宋_GB2312" w:cs="仿宋_GB2312"/>
          <w:sz w:val="32"/>
          <w:szCs w:val="32"/>
          <w:highlight w:val="none"/>
          <w:lang w:val="en-US" w:eastAsia="zh-CN"/>
        </w:rPr>
        <w:t>人才</w:t>
      </w:r>
      <w:r>
        <w:rPr>
          <w:rFonts w:hint="eastAsia" w:ascii="仿宋_GB2312" w:hAnsi="仿宋_GB2312" w:eastAsia="仿宋_GB2312" w:cs="仿宋_GB2312"/>
          <w:sz w:val="32"/>
          <w:szCs w:val="32"/>
          <w:highlight w:val="none"/>
        </w:rPr>
        <w:t>。</w:t>
      </w:r>
    </w:p>
    <w:p w14:paraId="02DC73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成果资源较为丰富、来源渠道稳定。高校院所方向应持续开展本单位科技成果的披露、入库、筛选评价、分级遴选和动态管理；市场化机构方向应与高等院校、科研机构、医疗卫生机构、企业等成果源头单位建立稳定合作关系，形成持续的成果项目和服务需求来源，并围绕成果评价、需求对接、转化路径设计和在京落地等开展专业服务。</w:t>
      </w:r>
    </w:p>
    <w:p w14:paraId="3F7099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5.完成相关登记手续。申报单位应按《北京市技术转移机构及技术经理人登记办法》等有关规定完成技术转移机构登记、</w:t>
      </w:r>
      <w:r>
        <w:rPr>
          <w:rFonts w:hint="eastAsia" w:ascii="仿宋_GB2312" w:hAnsi="仿宋_GB2312" w:eastAsia="仿宋_GB2312" w:cs="仿宋_GB2312"/>
          <w:sz w:val="32"/>
          <w:szCs w:val="32"/>
          <w:highlight w:val="none"/>
          <w:lang w:val="en-US" w:eastAsia="zh-CN"/>
        </w:rPr>
        <w:t>技术经理人登记</w:t>
      </w:r>
      <w:r>
        <w:rPr>
          <w:rFonts w:hint="eastAsia" w:ascii="仿宋_GB2312" w:hAnsi="仿宋_GB2312" w:eastAsia="仿宋_GB2312" w:cs="仿宋_GB2312"/>
          <w:sz w:val="32"/>
          <w:szCs w:val="32"/>
          <w:highlight w:val="none"/>
        </w:rPr>
        <w:t>等相关工作。北京市技术转移机构及技术经理人登记网址：https://fwy.kw.beijing.gov.cn/cbtm/cbtmform。</w:t>
      </w:r>
    </w:p>
    <w:p w14:paraId="403008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（二）分类评价重点</w:t>
      </w:r>
    </w:p>
    <w:p w14:paraId="44224D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在满足基本条件的基础上，市科委、中关村管委会根据不同类型机构特点，坚持结果导向，重点评价项目实施期推动科技成果在京转化落地的核心任务，综合考察现有专业服务基础和其他目标任务。</w:t>
      </w:r>
    </w:p>
    <w:p w14:paraId="34D4BE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1.高校院所方向。重点评价项目实施期拟通过转让、许可方式实现的科技成果转化金额，以及通过作价入股等方式在京创办企业</w:t>
      </w:r>
      <w:r>
        <w:rPr>
          <w:rFonts w:hint="eastAsia" w:ascii="仿宋_GB2312" w:hAnsi="仿宋_GB2312" w:eastAsia="仿宋_GB2312" w:cs="仿宋_GB2312"/>
          <w:sz w:val="32"/>
          <w:szCs w:val="32"/>
          <w:highlight w:val="none"/>
          <w:lang w:val="en-US" w:eastAsia="zh-CN"/>
        </w:rPr>
        <w:t>数量</w:t>
      </w:r>
      <w:r>
        <w:rPr>
          <w:rFonts w:hint="eastAsia" w:ascii="仿宋_GB2312" w:hAnsi="仿宋_GB2312" w:eastAsia="仿宋_GB2312" w:cs="仿宋_GB2312"/>
          <w:sz w:val="32"/>
          <w:szCs w:val="32"/>
          <w:highlight w:val="none"/>
        </w:rPr>
        <w:t>等核心任务；综合评价科技成果转化制度建设、关键改革机制实际落实和专业人才队伍等工作基础，以及成果推荐推介及取得实质进展等任务，突出申报单位成果转化组织能力和成果在京落地成效。</w:t>
      </w:r>
    </w:p>
    <w:p w14:paraId="4363EE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2.市场化机构方向。重点评价项目实施期拟推动企业在京设立并实际承接科技成果，以及推动科技成果通过转让、许可方式在京转化等核心任务；综合评价专业服务项目、成果来源、专业人才队伍和既往服务成效等工作基础，以及客户服务和成果推介等任务，突出机构在成果转化项目中的实质服务作用和推动科技成果在京落地的实际能力。</w:t>
      </w:r>
    </w:p>
    <w:p w14:paraId="483544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三、支持内容</w:t>
      </w:r>
    </w:p>
    <w:p w14:paraId="0352D9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围绕提升科技成果转化专业化服务能力和在京转化落地成效，聚焦科技成果从发现筛选、培育熟化到交易实施、落地转化的关键环节，支持高等院校、科研机构、医疗卫生机构以及市场化机构等建设高水平、专业化、市场化技术转移机构，进一步完善覆盖成果转化全过程的技术转移服务体系，推动更多优质科技成果在京转化应用。</w:t>
      </w:r>
    </w:p>
    <w:p w14:paraId="4213A1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提升技术转移专业服务能力。支持高校院所方向完善成果转化管理制度和专业服务机制，落实符合条件的改革创新举措，加强专职人员和技术经理人队伍建设；支持市场化机构围绕成果评价、技术交易、医工转化、国际技术转移、投融资、企业设立及落地服务等核心业务，完善专业服务工具、标准规范和工作流程，加强专业人才培养使用和外部专业资源协同。</w:t>
      </w:r>
    </w:p>
    <w:p w14:paraId="7F7B86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强化成果项目发现、筛选和培育。支持高校院所方向围绕北京市重点产业领域，加强本单位科技成果的征集披露、入库管理、筛选评价、分级遴选和转化路径设计；支持市场化机构面向高等院校、科研机构、医疗卫生机构、企业等创新主体拓展成果项目和服务需求来源，加强成果来源、权属状态、成熟程度、应用场景、产业匹配度和在京落地条件研判，重点提升京外、境外成果项目获取和服务需求承接能力，形成持续更新的项目储备和分类推进机制。</w:t>
      </w:r>
    </w:p>
    <w:p w14:paraId="553CB8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强化科技成果在京转化服务。支持高校院所方向围绕现有成果储备和正在推进的项目，加强需求匹配、交易方案设计、投融资对接和企业孵化等服务，推动科技成果通过转让、许可、作价入股等方式在京转化；支持市场化机构发挥成果项目获取、供需匹配、交易组织和落地服务优势，推动京外、境外成果和北京本地成果在京设立企业，推动科技成果通过转让、许可方式与在京承接主体形成正式交易。</w:t>
      </w:r>
    </w:p>
    <w:p w14:paraId="1FE603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完善成果推介和持续服务机制。支持技术转移机构加强与概念验证平台、中试平台、孵化器、大学科技园、产业园区、投融资机构等载体的协同对接，组织或承办成果路演、供需对接和中关村“火花”活动，推动成果进入签约、验证、投融资或者在京落地阶段；建立健全对服务项目和客户开展后续跟踪、需求反馈、阶段进展管理和服务延伸的持续服务机制，提升成果转化跟踪服务和组织实施能力。</w:t>
      </w:r>
    </w:p>
    <w:p w14:paraId="20F35E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发挥示范带动作用。通过分类支持和择优遴选，引导基础较好的技术转移机构进一步提升专业化、市场化、规范化服务能力，在成果转化机制创新、服务模式探索、组织方式优化和科技成果在京落地等方面形成可复制、可推广的经验做法，发挥示范引领和辐射带动作用。</w:t>
      </w:r>
    </w:p>
    <w:p w14:paraId="60F7D2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四、支持方式与额度</w:t>
      </w:r>
    </w:p>
    <w:p w14:paraId="798F3E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取事前补助方式择优给予支持，支持周期不超过1年，单个项目支持金额不超过300万元，且项目自筹资金不低于市财政经费。根据申报单位类型、建设基础、服务能力、转化成效、建设任务及专家评审情况，结合年度预算安排实行分档支持。</w:t>
      </w:r>
    </w:p>
    <w:p w14:paraId="26226C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立项后签订支持合同和任务书。支持资金用于机构自身建设运营、发掘筛选适宜转化的科技成果、开展技术熟化、技术转化人员聘用与培训，以及组织各类转化活动等方面。</w:t>
      </w:r>
    </w:p>
    <w:p w14:paraId="71DFC7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五、申报材料及要求</w:t>
      </w:r>
    </w:p>
    <w:p w14:paraId="29DC76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（一）项目申报书</w:t>
      </w:r>
    </w:p>
    <w:p w14:paraId="704DB6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采用网上申报形式。申报单位应根据申报方向，选择填写《2026年技术转移机构建设项目申报书（高校院所方向）》或《2026年技术转移机构建设项目申报书（市场化机构方向）》，并在北京市科技计划综合管理平台（网址：https://mis.kw.beijing.gov.cn）按要求填报。申报书填写应聚焦技术转移机构的服务功能，定位清晰，目标明确，内容合理，措施具体；项目实施期考核指标应量化、可考核，并与现有基础、主要实施内容和预期成效相衔接；项目经费预算编制应当真实、合理。</w:t>
      </w:r>
    </w:p>
    <w:p w14:paraId="398D79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（二）佐证材料</w:t>
      </w:r>
    </w:p>
    <w:p w14:paraId="0D8D41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按申报系统附件目录提供。加盖公章的材料需原件扫描、内容清晰；文件名称根据对应目录名称进行设置；无法提供的佐证材料，须出具说明材料，由项目负责人签字并加盖单位公章。</w:t>
      </w:r>
    </w:p>
    <w:p w14:paraId="599B89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报单位应根据相应申报方向和评价重点，提供能够反映技术转移机构运行情况、专业人才队伍、制度建设及实际落实、成果或服务项目来源、代表性服务案例、技术交易、企业设立及成果承接、客户服务和成果推介等方面的佐证材料。市场化机构还应提供能够证明与委托方或服务对象之间委托关系、具体服务内容、交付成果和实际服务作用的专业服务合同、交付记录等材料。相关材料将作为分类评价和择优支持的重要依据。</w:t>
      </w:r>
    </w:p>
    <w:p w14:paraId="11B473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六、申报流程</w:t>
      </w:r>
    </w:p>
    <w:p w14:paraId="1728C0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1.申报单位登录“北京市科技计划综合管理平台——在线服务系统”（https://mis.kw.beijing.gov.cn）进行申报，填报申报书、提交所有佐证材料。</w:t>
      </w:r>
    </w:p>
    <w:p w14:paraId="5116E0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市科委、中关村管委会委托专业机构对申报材料的规范性和齐备情况进行初审，按照高校院所方向和市场化机构方向分别组织专家评审。专家依据相应评价体系，结合申报单位现有专业服务基础、项目实施方案和项目实施期目标任务进行综合评价，分类择优提出拟支持建议。对专业服务能力较强、成果转化落地成效突出、具有示范带动作用的机构，结合评审情况提出重点支持建议。</w:t>
      </w:r>
    </w:p>
    <w:p w14:paraId="5E8040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3.市科委、中关村管委会根据评审结果和年度资金安排，按程序研究确定拟支持项目名单，并在官方网站进行公示，公示期为5个工作日。</w:t>
      </w:r>
    </w:p>
    <w:p w14:paraId="7B3588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4.经公示无异议的项目，市科委、中关村管委会与项目承担单位签订项目任务书、资金支持</w:t>
      </w:r>
      <w:r>
        <w:rPr>
          <w:rFonts w:hint="eastAsia" w:ascii="仿宋_GB2312" w:hAnsi="仿宋_GB2312" w:eastAsia="仿宋_GB2312" w:cs="仿宋_GB2312"/>
          <w:sz w:val="32"/>
          <w:szCs w:val="32"/>
          <w:highlight w:val="none"/>
          <w:lang w:val="en-US" w:eastAsia="zh-CN"/>
        </w:rPr>
        <w:t>合同</w:t>
      </w:r>
      <w:r>
        <w:rPr>
          <w:rFonts w:hint="eastAsia" w:ascii="仿宋_GB2312" w:hAnsi="仿宋_GB2312" w:eastAsia="仿宋_GB2312" w:cs="仿宋_GB2312"/>
          <w:sz w:val="32"/>
          <w:szCs w:val="32"/>
          <w:highlight w:val="none"/>
        </w:rPr>
        <w:t>，按照相关规定拨付支持资金，并依据</w:t>
      </w:r>
      <w:r>
        <w:rPr>
          <w:rFonts w:hint="eastAsia" w:ascii="仿宋_GB2312" w:hAnsi="仿宋_GB2312" w:eastAsia="仿宋_GB2312" w:cs="仿宋_GB2312"/>
          <w:sz w:val="32"/>
          <w:szCs w:val="32"/>
          <w:highlight w:val="none"/>
          <w:lang w:val="en-US" w:eastAsia="zh-CN"/>
        </w:rPr>
        <w:t>合同</w:t>
      </w:r>
      <w:r>
        <w:rPr>
          <w:rFonts w:hint="eastAsia" w:ascii="仿宋_GB2312" w:hAnsi="仿宋_GB2312" w:eastAsia="仿宋_GB2312" w:cs="仿宋_GB2312"/>
          <w:sz w:val="32"/>
          <w:szCs w:val="32"/>
          <w:highlight w:val="none"/>
        </w:rPr>
        <w:t>加强对项目的管理。</w:t>
      </w:r>
    </w:p>
    <w:p w14:paraId="1A490E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七、其他事项</w:t>
      </w:r>
    </w:p>
    <w:p w14:paraId="64F54C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1.除“达标即享”外，同一申报单位同一内容的项目已通过其他渠道获取市财政资金支持的，不得重复申报。</w:t>
      </w:r>
    </w:p>
    <w:p w14:paraId="0A899C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申报单位应保证提交的项目申报材料真实、合法、有效，对申报材料真实性作出承诺并对此承担法律责任，项目申报内容不得涉及安全保密信息。申报单位不配合核查或经核查存在弄虚作假等行为的，取消申报资格。</w:t>
      </w:r>
    </w:p>
    <w:p w14:paraId="6F202B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3.在拨付支持资金前，如承担单位已吊销、注销，或注册地迁出本市行政区域，以及承担单位和相关人员在“信用中国”、科研诚信管理信息系统上被列为失信惩戒对象的，不再予以支持。</w:t>
      </w:r>
    </w:p>
    <w:p w14:paraId="7078D6F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4.市科委、中关村管委会从未指定、授权或委托任何机构或个人从事项目申报代理活动，相关机构或个人的代理行为与市科委、中关村管委会无关。</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50"/>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楷体_GB2312">
    <w:panose1 w:val="02010609030101010101"/>
    <w:charset w:val="86"/>
    <w:family w:val="modern"/>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6A66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D0FA156">
                          <w:r>
                            <w:fldChar w:fldCharType="begin"/>
                          </w:r>
                          <w:r>
                            <w:instrText xml:space="preserve"> PAGE  \* MERGEFORMAT </w:instrText>
                          </w:r>
                          <w:r>
                            <w:fldChar w:fldCharType="separate"/>
                          </w:r>
                          <w:r>
                            <w:t>9</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G0Yx1LmAQAAyQMA&#10;AA4AAAAAAAAAAQAgAAAAHgEAAGRycy9lMm9Eb2MueG1sUEsFBgAAAAAGAAYAWQEAAHYFAAAAAA==&#10;">
              <v:fill on="f" focussize="0,0"/>
              <v:stroke on="f"/>
              <v:imagedata o:title=""/>
              <o:lock v:ext="edit" aspectratio="f"/>
              <v:textbox inset="0mm,0mm,0mm,0mm" style="mso-fit-shape-to-text:t;">
                <w:txbxContent>
                  <w:p w14:paraId="7D0FA156">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4B8B43"/>
    <w:multiLevelType w:val="singleLevel"/>
    <w:tmpl w:val="104B8B43"/>
    <w:lvl w:ilvl="0" w:tentative="0">
      <w:start w:val="1"/>
      <w:numFmt w:val="chineseCounting"/>
      <w:pStyle w:val="12"/>
      <w:suff w:val="nothing"/>
      <w:lvlText w:val="（%1）"/>
      <w:lvlJc w:val="left"/>
      <w:pPr>
        <w:ind w:left="0" w:firstLine="397"/>
      </w:pPr>
      <w:rPr>
        <w:rFonts w:hint="eastAsia" w:ascii="Times New Roman" w:hAnsi="Times New Roman" w:eastAsia="楷体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NzE4OWFjNzM2ZTliZWUxYzdiZjU1ODhmNDdiMmIifQ=="/>
  </w:docVars>
  <w:rsids>
    <w:rsidRoot w:val="E37D8556"/>
    <w:rsid w:val="0AA90E84"/>
    <w:rsid w:val="0BEC3C1B"/>
    <w:rsid w:val="12061235"/>
    <w:rsid w:val="16B65E5D"/>
    <w:rsid w:val="1A497F22"/>
    <w:rsid w:val="1CF82397"/>
    <w:rsid w:val="1E895F67"/>
    <w:rsid w:val="22E72A57"/>
    <w:rsid w:val="2AA77CD8"/>
    <w:rsid w:val="2AAA7B43"/>
    <w:rsid w:val="3ED7BD0F"/>
    <w:rsid w:val="3FC7F88E"/>
    <w:rsid w:val="449E061B"/>
    <w:rsid w:val="462627B9"/>
    <w:rsid w:val="576B331C"/>
    <w:rsid w:val="5E5744F7"/>
    <w:rsid w:val="5E9A0005"/>
    <w:rsid w:val="5FBB1A8A"/>
    <w:rsid w:val="644A1429"/>
    <w:rsid w:val="6D1859BB"/>
    <w:rsid w:val="7BBB086A"/>
    <w:rsid w:val="7DFFB5DE"/>
    <w:rsid w:val="7E77A185"/>
    <w:rsid w:val="7EFFFA8D"/>
    <w:rsid w:val="8A45196E"/>
    <w:rsid w:val="A39B79EC"/>
    <w:rsid w:val="BD9D23E6"/>
    <w:rsid w:val="BFFFCA03"/>
    <w:rsid w:val="DBF7AF58"/>
    <w:rsid w:val="E37D8556"/>
    <w:rsid w:val="EC7FC377"/>
    <w:rsid w:val="F9B6BC23"/>
    <w:rsid w:val="FEBFB8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公文-二级标题"/>
    <w:basedOn w:val="1"/>
    <w:next w:val="1"/>
    <w:qFormat/>
    <w:uiPriority w:val="0"/>
    <w:pPr>
      <w:numPr>
        <w:ilvl w:val="0"/>
        <w:numId w:val="1"/>
      </w:numPr>
      <w:spacing w:line="560" w:lineRule="exact"/>
      <w:ind w:firstLine="640" w:firstLineChars="200"/>
      <w:outlineLvl w:val="1"/>
    </w:pPr>
    <w:rPr>
      <w:rFonts w:ascii="Times New Roman" w:hAnsi="Times New Roman" w:eastAsia="楷体_GB2312"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4310</Words>
  <Characters>4448</Characters>
  <Lines>0</Lines>
  <Paragraphs>0</Paragraphs>
  <TotalTime>178</TotalTime>
  <ScaleCrop>false</ScaleCrop>
  <LinksUpToDate>false</LinksUpToDate>
  <CharactersWithSpaces>4449</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2025-08-09T08:43:00Z</dcterms:created>
  <dc:creator>王磊</dc:creator>
  <cp:lastModifiedBy>王磊</cp:lastModifiedBy>
  <dcterms:modified xsi:type="dcterms:W3CDTF">2026-08-27T13:58:41Z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CE4625459B2E4A49A27290687E46D37F_41</vt:lpwstr>
  </property>
  <property fmtid="{D5CDD505-2E9C-101B-9397-08002B2CF9AE}" pid="4" name="KSOTemplateDocerSaveRecord">
    <vt:lpwstr>eyJoZGlkIjoiMDliMWE4Njc2MTAxNTNjNGFmMzNiMTg5NGFhNTNmZWIiLCJ1c2VySWQiOiIxMjEyMjgyMTg3In0=</vt:lpwstr>
  </property>
</Properties>
</file>