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1ED86D">
      <w:pPr>
        <w:ind w:left="0" w:leftChars="0" w:firstLine="0" w:firstLineChars="0"/>
        <w:jc w:val="both"/>
        <w:rPr>
          <w:rFonts w:hint="eastAsia" w:ascii="仿宋_GB2312" w:hAnsi="仿宋_GB2312" w:eastAsia="仿宋_GB2312" w:cs="仿宋_GB2312"/>
          <w:bCs/>
          <w:color w:val="000000"/>
          <w:sz w:val="32"/>
          <w:szCs w:val="32"/>
          <w:lang w:val="en-US" w:eastAsia="zh-CN"/>
        </w:rPr>
      </w:pPr>
      <w:r>
        <w:rPr>
          <w:rFonts w:hint="eastAsia" w:ascii="仿宋_GB2312" w:hAnsi="仿宋_GB2312" w:eastAsia="仿宋_GB2312" w:cs="仿宋_GB2312"/>
          <w:bCs/>
          <w:color w:val="000000"/>
          <w:sz w:val="32"/>
          <w:szCs w:val="32"/>
          <w:lang w:val="en-US" w:eastAsia="zh-CN"/>
        </w:rPr>
        <w:t>附件2</w:t>
      </w:r>
    </w:p>
    <w:p w14:paraId="650E2C09">
      <w:pPr>
        <w:ind w:left="0" w:leftChars="0" w:firstLine="0" w:firstLineChars="0"/>
        <w:jc w:val="both"/>
        <w:rPr>
          <w:rFonts w:hint="eastAsia" w:ascii="仿宋_GB2312" w:hAnsi="仿宋_GB2312" w:eastAsia="仿宋_GB2312" w:cs="仿宋_GB2312"/>
          <w:bCs/>
          <w:color w:val="000000"/>
          <w:sz w:val="32"/>
          <w:szCs w:val="32"/>
          <w:lang w:val="en-US" w:eastAsia="zh-CN"/>
        </w:rPr>
      </w:pPr>
      <w:bookmarkStart w:id="1" w:name="_GoBack"/>
      <w:bookmarkEnd w:id="1"/>
    </w:p>
    <w:p w14:paraId="6C976506">
      <w:pPr>
        <w:ind w:left="0" w:leftChars="0"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color w:val="000000"/>
          <w:sz w:val="44"/>
          <w:szCs w:val="44"/>
          <w:lang w:val="en-US" w:eastAsia="zh-CN"/>
        </w:rPr>
        <w:t>关于《</w:t>
      </w:r>
      <w:r>
        <w:rPr>
          <w:rFonts w:hint="eastAsia" w:ascii="方正小标宋简体" w:hAnsi="方正小标宋简体" w:eastAsia="方正小标宋简体" w:cs="方正小标宋简体"/>
          <w:sz w:val="44"/>
          <w:szCs w:val="44"/>
          <w:lang w:eastAsia="zh-CN"/>
        </w:rPr>
        <w:t>昌平区</w:t>
      </w:r>
      <w:r>
        <w:rPr>
          <w:rFonts w:hint="eastAsia" w:ascii="方正小标宋简体" w:hAnsi="方正小标宋简体" w:eastAsia="方正小标宋简体" w:cs="方正小标宋简体"/>
          <w:sz w:val="44"/>
          <w:szCs w:val="44"/>
        </w:rPr>
        <w:t>实体书店扶持项目管理办法</w:t>
      </w:r>
    </w:p>
    <w:p w14:paraId="66476FCB">
      <w:pPr>
        <w:ind w:left="0" w:leftChars="0" w:firstLine="0" w:firstLineChars="0"/>
        <w:jc w:val="center"/>
        <w:rPr>
          <w:rFonts w:ascii="黑体" w:hAnsi="黑体" w:eastAsia="黑体" w:cs="黑体"/>
          <w:color w:val="000000"/>
          <w:sz w:val="36"/>
          <w:szCs w:val="36"/>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修订</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bCs/>
          <w:color w:val="000000"/>
          <w:sz w:val="44"/>
          <w:szCs w:val="44"/>
          <w:lang w:val="en-US" w:eastAsia="zh-CN"/>
        </w:rPr>
        <w:t>（征求意见稿）》</w:t>
      </w:r>
      <w:r>
        <w:rPr>
          <w:rFonts w:hint="eastAsia" w:ascii="方正小标宋简体" w:hAnsi="方正小标宋简体" w:eastAsia="方正小标宋简体" w:cs="方正小标宋简体"/>
          <w:bCs/>
          <w:color w:val="000000"/>
          <w:sz w:val="44"/>
          <w:szCs w:val="44"/>
        </w:rPr>
        <w:t>的</w:t>
      </w:r>
      <w:r>
        <w:rPr>
          <w:rFonts w:hint="eastAsia" w:ascii="方正小标宋简体" w:hAnsi="方正小标宋简体" w:eastAsia="方正小标宋简体" w:cs="方正小标宋简体"/>
          <w:bCs/>
          <w:color w:val="000000"/>
          <w:sz w:val="44"/>
          <w:szCs w:val="44"/>
          <w:lang w:val="en-US" w:eastAsia="zh-CN"/>
        </w:rPr>
        <w:t>起草</w:t>
      </w:r>
      <w:r>
        <w:rPr>
          <w:rFonts w:hint="eastAsia" w:ascii="方正小标宋简体" w:hAnsi="方正小标宋简体" w:eastAsia="方正小标宋简体" w:cs="方正小标宋简体"/>
          <w:bCs/>
          <w:color w:val="000000"/>
          <w:sz w:val="44"/>
          <w:szCs w:val="44"/>
        </w:rPr>
        <w:t>说明</w:t>
      </w:r>
    </w:p>
    <w:p w14:paraId="147467CC">
      <w:pPr>
        <w:keepNext w:val="0"/>
        <w:keepLines w:val="0"/>
        <w:pageBreakBefore w:val="0"/>
        <w:widowControl w:val="0"/>
        <w:kinsoku/>
        <w:wordWrap/>
        <w:overflowPunct/>
        <w:topLinePunct w:val="0"/>
        <w:autoSpaceDE/>
        <w:autoSpaceDN/>
        <w:bidi w:val="0"/>
        <w:ind w:firstLine="640"/>
        <w:textAlignment w:val="auto"/>
        <w:rPr>
          <w:rFonts w:hint="eastAsia" w:ascii="黑体" w:hAnsi="黑体" w:eastAsia="黑体"/>
          <w:sz w:val="32"/>
          <w:szCs w:val="32"/>
        </w:rPr>
      </w:pPr>
    </w:p>
    <w:p w14:paraId="1280BC7C">
      <w:pPr>
        <w:keepNext w:val="0"/>
        <w:keepLines w:val="0"/>
        <w:pageBreakBefore w:val="0"/>
        <w:widowControl w:val="0"/>
        <w:kinsoku/>
        <w:wordWrap/>
        <w:overflowPunct/>
        <w:topLinePunct w:val="0"/>
        <w:autoSpaceDE/>
        <w:autoSpaceDN/>
        <w:bidi w:val="0"/>
        <w:ind w:firstLine="640"/>
        <w:textAlignment w:val="auto"/>
        <w:rPr>
          <w:rFonts w:hint="eastAsia"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eastAsia="zh-CN"/>
        </w:rPr>
        <w:t>文件</w:t>
      </w:r>
      <w:r>
        <w:rPr>
          <w:rFonts w:hint="eastAsia" w:ascii="黑体" w:hAnsi="黑体" w:eastAsia="黑体"/>
          <w:sz w:val="32"/>
          <w:szCs w:val="32"/>
        </w:rPr>
        <w:t>起草背景</w:t>
      </w:r>
    </w:p>
    <w:p w14:paraId="18518C34">
      <w:pPr>
        <w:keepNext w:val="0"/>
        <w:keepLines w:val="0"/>
        <w:pageBreakBefore w:val="0"/>
        <w:widowControl w:val="0"/>
        <w:kinsoku/>
        <w:wordWrap/>
        <w:overflowPunct/>
        <w:topLinePunct w:val="0"/>
        <w:autoSpaceDE/>
        <w:autoSpaceDN/>
        <w:bidi w:val="0"/>
        <w:adjustRightInd w:val="0"/>
        <w:snapToGrid w:val="0"/>
        <w:spacing w:after="0" w:line="560" w:lineRule="exact"/>
        <w:ind w:left="0" w:firstLine="640" w:firstLineChars="200"/>
        <w:textAlignment w:val="auto"/>
        <w:rPr>
          <w:rFonts w:hint="eastAsia"/>
          <w:sz w:val="32"/>
          <w:szCs w:val="32"/>
          <w:lang w:val="en-US" w:eastAsia="zh-CN"/>
        </w:rPr>
      </w:pPr>
      <w:r>
        <w:rPr>
          <w:rFonts w:hint="eastAsia" w:ascii="仿宋_GB2312" w:eastAsia="仿宋_GB2312"/>
          <w:sz w:val="32"/>
          <w:szCs w:val="32"/>
          <w:lang w:val="en-US" w:eastAsia="zh-CN"/>
        </w:rPr>
        <w:t>2025年，昌平区新闻出版局制定印发了《昌平区实体书店扶持项目管理办法（试行）》，试行期一年，明确了开办补贴、运营补贴两个扶持方向。试行</w:t>
      </w:r>
      <w:r>
        <w:rPr>
          <w:rFonts w:hint="eastAsia"/>
          <w:sz w:val="32"/>
          <w:szCs w:val="32"/>
          <w:lang w:val="en-US" w:eastAsia="zh-CN"/>
        </w:rPr>
        <w:t>期间</w:t>
      </w:r>
      <w:r>
        <w:rPr>
          <w:rFonts w:hint="eastAsia" w:ascii="仿宋_GB2312" w:eastAsia="仿宋_GB2312"/>
          <w:sz w:val="32"/>
          <w:szCs w:val="32"/>
          <w:lang w:val="en-US" w:eastAsia="zh-CN"/>
        </w:rPr>
        <w:t>，</w:t>
      </w:r>
      <w:r>
        <w:rPr>
          <w:rFonts w:hint="eastAsia"/>
          <w:sz w:val="32"/>
          <w:szCs w:val="32"/>
          <w:lang w:val="en-US" w:eastAsia="zh-CN"/>
        </w:rPr>
        <w:t>我局</w:t>
      </w:r>
      <w:r>
        <w:rPr>
          <w:rFonts w:hint="eastAsia" w:cs="仿宋_GB2312"/>
          <w:sz w:val="32"/>
          <w:szCs w:val="32"/>
          <w:lang w:val="en-US" w:eastAsia="zh-CN"/>
        </w:rPr>
        <w:t>结合</w:t>
      </w:r>
      <w:r>
        <w:rPr>
          <w:rFonts w:hint="eastAsia" w:ascii="仿宋_GB2312" w:eastAsia="仿宋_GB2312"/>
          <w:sz w:val="32"/>
          <w:szCs w:val="32"/>
          <w:lang w:val="en-US" w:eastAsia="zh-CN"/>
        </w:rPr>
        <w:t>2025年区级实体书店扶持项目评审实操情况</w:t>
      </w:r>
      <w:r>
        <w:rPr>
          <w:rFonts w:hint="eastAsia"/>
          <w:sz w:val="32"/>
          <w:szCs w:val="32"/>
          <w:lang w:val="en-US" w:eastAsia="zh-CN"/>
        </w:rPr>
        <w:t>，</w:t>
      </w:r>
      <w:r>
        <w:rPr>
          <w:rFonts w:hint="eastAsia" w:ascii="仿宋_GB2312" w:eastAsia="仿宋_GB2312"/>
          <w:sz w:val="32"/>
          <w:szCs w:val="32"/>
          <w:lang w:val="en-US" w:eastAsia="zh-CN"/>
        </w:rPr>
        <w:t>以及</w:t>
      </w:r>
      <w:r>
        <w:rPr>
          <w:rFonts w:hint="eastAsia"/>
          <w:sz w:val="32"/>
          <w:szCs w:val="32"/>
          <w:lang w:val="en-US" w:eastAsia="zh-CN"/>
        </w:rPr>
        <w:t>各</w:t>
      </w:r>
      <w:r>
        <w:rPr>
          <w:rFonts w:hint="eastAsia" w:ascii="仿宋_GB2312" w:eastAsia="仿宋_GB2312"/>
          <w:sz w:val="32"/>
          <w:szCs w:val="32"/>
          <w:lang w:val="en-US" w:eastAsia="zh-CN"/>
        </w:rPr>
        <w:t>镇</w:t>
      </w:r>
      <w:r>
        <w:rPr>
          <w:rFonts w:hint="eastAsia"/>
          <w:sz w:val="32"/>
          <w:szCs w:val="32"/>
          <w:lang w:val="en-US" w:eastAsia="zh-CN"/>
        </w:rPr>
        <w:t>（街道）、实体书店的</w:t>
      </w:r>
      <w:r>
        <w:rPr>
          <w:rFonts w:hint="eastAsia" w:ascii="仿宋_GB2312" w:eastAsia="仿宋_GB2312"/>
          <w:sz w:val="32"/>
          <w:szCs w:val="32"/>
          <w:lang w:val="en-US" w:eastAsia="zh-CN"/>
        </w:rPr>
        <w:t>反馈</w:t>
      </w:r>
      <w:r>
        <w:rPr>
          <w:rFonts w:hint="eastAsia"/>
          <w:sz w:val="32"/>
          <w:szCs w:val="32"/>
          <w:lang w:val="en-US" w:eastAsia="zh-CN"/>
        </w:rPr>
        <w:t>意见</w:t>
      </w:r>
      <w:r>
        <w:rPr>
          <w:rFonts w:hint="eastAsia" w:ascii="仿宋_GB2312" w:eastAsia="仿宋_GB2312"/>
          <w:sz w:val="32"/>
          <w:szCs w:val="32"/>
          <w:lang w:val="en-US" w:eastAsia="zh-CN"/>
        </w:rPr>
        <w:t>，对</w:t>
      </w:r>
      <w:r>
        <w:rPr>
          <w:rFonts w:hint="eastAsia"/>
          <w:sz w:val="32"/>
          <w:szCs w:val="32"/>
          <w:lang w:val="en-US" w:eastAsia="zh-CN"/>
        </w:rPr>
        <w:t>试行</w:t>
      </w:r>
      <w:r>
        <w:rPr>
          <w:rFonts w:hint="eastAsia" w:ascii="仿宋_GB2312" w:eastAsia="仿宋_GB2312"/>
          <w:sz w:val="32"/>
          <w:szCs w:val="32"/>
          <w:lang w:val="en-US" w:eastAsia="zh-CN"/>
        </w:rPr>
        <w:t>办法进行了全面评估</w:t>
      </w:r>
      <w:r>
        <w:rPr>
          <w:rFonts w:hint="eastAsia"/>
          <w:sz w:val="32"/>
          <w:szCs w:val="32"/>
          <w:lang w:val="en-US" w:eastAsia="zh-CN"/>
        </w:rPr>
        <w:t>。为提升区级扶持工作质效，持续推动我区实体书店稳定、健康发展，</w:t>
      </w:r>
      <w:r>
        <w:rPr>
          <w:rFonts w:hint="eastAsia" w:ascii="仿宋_GB2312" w:eastAsia="仿宋_GB2312"/>
          <w:sz w:val="32"/>
          <w:szCs w:val="32"/>
          <w:lang w:val="en-US" w:eastAsia="zh-CN"/>
        </w:rPr>
        <w:t>我局</w:t>
      </w:r>
      <w:r>
        <w:rPr>
          <w:rFonts w:hint="eastAsia"/>
          <w:sz w:val="32"/>
          <w:szCs w:val="32"/>
          <w:lang w:val="en-US" w:eastAsia="zh-CN"/>
        </w:rPr>
        <w:t>围绕完善扶持类别、明晰评审标准、优化属地职责及提升政策透明度等方面，进一步对相关条款进行了系统性修订完善。</w:t>
      </w:r>
    </w:p>
    <w:p w14:paraId="25B50281">
      <w:pPr>
        <w:keepNext w:val="0"/>
        <w:keepLines w:val="0"/>
        <w:pageBreakBefore w:val="0"/>
        <w:widowControl w:val="0"/>
        <w:kinsoku/>
        <w:wordWrap/>
        <w:overflowPunct/>
        <w:topLinePunct w:val="0"/>
        <w:autoSpaceDE/>
        <w:autoSpaceDN/>
        <w:bidi w:val="0"/>
        <w:ind w:firstLine="64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w:t>
      </w:r>
      <w:bookmarkStart w:id="0" w:name="OLE_LINK1"/>
      <w:r>
        <w:rPr>
          <w:rFonts w:hint="eastAsia" w:ascii="黑体" w:hAnsi="黑体" w:eastAsia="黑体"/>
          <w:sz w:val="32"/>
          <w:szCs w:val="32"/>
          <w:lang w:eastAsia="zh-CN"/>
        </w:rPr>
        <w:t>文件编制情况</w:t>
      </w:r>
    </w:p>
    <w:p w14:paraId="6F90AC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eastAsia="仿宋_GB2312"/>
          <w:sz w:val="32"/>
          <w:szCs w:val="32"/>
          <w:lang w:val="en-US" w:eastAsia="zh-CN"/>
        </w:rPr>
        <w:t>本次修订主要依据</w:t>
      </w:r>
      <w:r>
        <w:rPr>
          <w:rFonts w:hint="eastAsia"/>
          <w:sz w:val="32"/>
          <w:szCs w:val="32"/>
          <w:lang w:val="en-US" w:eastAsia="zh-CN"/>
        </w:rPr>
        <w:t>《北京市关于深入推进新时代书香京城建设的实施意见》《北京市实体书店扶持项目管理办法》及市、区财政资金管理有关规定，紧扣“优布局、强功能”目标，认真总结我区实体书店扶持工作开展经验，并对全区实体书店建设现状、学校等关键节点周边“15分钟阅读服务圈”资源供给情况开展了专项调研。在学习借鉴市级管理办法有关经验基础上，我局确立了“普惠扶持与重点扶持相结合、支持新建与引导长久经营相结合”的修订思路，着力推动区级扶持与市级扶持形成梯度互补。修订过程中，我局先后征求了市委宣传部、区市场监管局（公平竞争审查）、区司法局（合法性审核）等相关部门、镇（街道）及法律顾问意见，</w:t>
      </w:r>
      <w:r>
        <w:rPr>
          <w:rFonts w:hint="eastAsia" w:ascii="仿宋_GB2312" w:hAnsi="仿宋_GB2312" w:eastAsia="仿宋_GB2312" w:cs="仿宋_GB2312"/>
          <w:sz w:val="32"/>
          <w:szCs w:val="32"/>
          <w:highlight w:val="none"/>
          <w:lang w:eastAsia="zh-CN"/>
        </w:rPr>
        <w:t>经过多轮</w:t>
      </w:r>
      <w:r>
        <w:rPr>
          <w:rFonts w:hint="eastAsia" w:cs="仿宋_GB2312"/>
          <w:sz w:val="32"/>
          <w:szCs w:val="32"/>
          <w:highlight w:val="none"/>
          <w:lang w:val="en-US" w:eastAsia="zh-CN"/>
        </w:rPr>
        <w:t>讨论</w:t>
      </w:r>
      <w:r>
        <w:rPr>
          <w:rFonts w:hint="eastAsia" w:ascii="仿宋_GB2312" w:hAnsi="仿宋_GB2312" w:eastAsia="仿宋_GB2312" w:cs="仿宋_GB2312"/>
          <w:sz w:val="32"/>
          <w:szCs w:val="32"/>
          <w:highlight w:val="none"/>
          <w:lang w:eastAsia="zh-CN"/>
        </w:rPr>
        <w:t>修改，形成了</w:t>
      </w:r>
      <w:r>
        <w:rPr>
          <w:rFonts w:hint="eastAsia" w:cs="仿宋_GB2312"/>
          <w:sz w:val="32"/>
          <w:szCs w:val="32"/>
          <w:highlight w:val="none"/>
          <w:lang w:val="en-US" w:eastAsia="zh-CN"/>
        </w:rPr>
        <w:t>本次《昌平区实体书店扶持项目管理办法（修订）（征求意见稿）》</w:t>
      </w:r>
      <w:r>
        <w:rPr>
          <w:rFonts w:hint="eastAsia" w:ascii="仿宋_GB2312" w:hAnsi="仿宋_GB2312" w:eastAsia="仿宋_GB2312" w:cs="仿宋_GB2312"/>
          <w:sz w:val="32"/>
          <w:szCs w:val="32"/>
          <w:lang w:val="en-US" w:eastAsia="zh-CN"/>
        </w:rPr>
        <w:t>（以下简称《</w:t>
      </w:r>
      <w:r>
        <w:rPr>
          <w:rFonts w:hint="eastAsia" w:cs="仿宋_GB2312"/>
          <w:sz w:val="32"/>
          <w:szCs w:val="32"/>
          <w:highlight w:val="none"/>
          <w:lang w:val="en-US" w:eastAsia="zh-CN"/>
        </w:rPr>
        <w:t>管理</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highlight w:val="none"/>
          <w:lang w:eastAsia="zh-CN"/>
        </w:rPr>
        <w:t>。</w:t>
      </w:r>
    </w:p>
    <w:p w14:paraId="0E89CA09">
      <w:pPr>
        <w:keepNext w:val="0"/>
        <w:keepLines w:val="0"/>
        <w:pageBreakBefore w:val="0"/>
        <w:widowControl w:val="0"/>
        <w:kinsoku/>
        <w:wordWrap/>
        <w:overflowPunct/>
        <w:topLinePunct w:val="0"/>
        <w:autoSpaceDE/>
        <w:autoSpaceDN/>
        <w:bidi w:val="0"/>
        <w:ind w:firstLine="64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三、文件主要内容</w:t>
      </w:r>
    </w:p>
    <w:p w14:paraId="155526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sz w:val="32"/>
          <w:szCs w:val="32"/>
          <w:lang w:val="en-US" w:eastAsia="zh-CN"/>
        </w:rPr>
        <w:t>《</w:t>
      </w:r>
      <w:r>
        <w:rPr>
          <w:rFonts w:hint="eastAsia" w:cs="仿宋_GB2312"/>
          <w:sz w:val="32"/>
          <w:szCs w:val="32"/>
          <w:highlight w:val="none"/>
          <w:lang w:val="en-US" w:eastAsia="zh-CN"/>
        </w:rPr>
        <w:t>管理</w:t>
      </w:r>
      <w:r>
        <w:rPr>
          <w:rFonts w:hint="eastAsia" w:ascii="仿宋_GB2312" w:hAnsi="仿宋_GB2312" w:eastAsia="仿宋_GB2312" w:cs="仿宋_GB2312"/>
          <w:sz w:val="32"/>
          <w:szCs w:val="32"/>
          <w:lang w:val="en-US" w:eastAsia="zh-CN"/>
        </w:rPr>
        <w:t>办法》</w:t>
      </w:r>
      <w:r>
        <w:rPr>
          <w:rFonts w:hint="eastAsia" w:ascii="仿宋_GB2312" w:hAnsi="仿宋_GB2312" w:eastAsia="仿宋_GB2312" w:cs="仿宋_GB2312"/>
          <w:sz w:val="32"/>
          <w:szCs w:val="32"/>
          <w:highlight w:val="none"/>
          <w:lang w:val="en-US" w:eastAsia="zh-CN"/>
        </w:rPr>
        <w:t>旨在</w:t>
      </w:r>
      <w:r>
        <w:rPr>
          <w:rFonts w:hint="eastAsia" w:ascii="仿宋_GB2312" w:hAnsi="仿宋_GB2312" w:eastAsia="仿宋_GB2312" w:cs="仿宋_GB2312"/>
          <w:sz w:val="32"/>
          <w:szCs w:val="32"/>
          <w:lang w:val="en-US" w:eastAsia="zh-CN"/>
        </w:rPr>
        <w:t>通过政策引导，鼓励社会力量立足区域规划与市民需求开办实体书店</w:t>
      </w:r>
      <w:r>
        <w:rPr>
          <w:rFonts w:hint="eastAsia" w:cs="仿宋_GB2312"/>
          <w:sz w:val="32"/>
          <w:szCs w:val="32"/>
          <w:lang w:val="en-US" w:eastAsia="zh-CN"/>
        </w:rPr>
        <w:t>，大力推广“书店+”模式，推动实体书店从传统图书卖场向集阅读学习、文化体验、社交休闲于一体的复合型文化空间转型，主动融入基层公共文化服务体系，构建“书香昌平”建设新格局</w:t>
      </w:r>
      <w:r>
        <w:rPr>
          <w:rFonts w:hint="eastAsia" w:ascii="仿宋_GB2312" w:hAnsi="仿宋_GB2312" w:eastAsia="仿宋_GB2312" w:cs="仿宋_GB2312"/>
          <w:sz w:val="32"/>
          <w:szCs w:val="32"/>
          <w:lang w:val="en-US" w:eastAsia="zh-CN"/>
        </w:rPr>
        <w:t>。</w:t>
      </w:r>
      <w:r>
        <w:rPr>
          <w:rFonts w:hint="eastAsia" w:cs="仿宋_GB2312"/>
          <w:sz w:val="32"/>
          <w:szCs w:val="32"/>
          <w:lang w:val="en-US" w:eastAsia="zh-CN"/>
        </w:rPr>
        <w:t>本</w:t>
      </w:r>
      <w:r>
        <w:rPr>
          <w:rFonts w:hint="eastAsia" w:ascii="仿宋_GB2312" w:hAnsi="仿宋_GB2312" w:eastAsia="仿宋_GB2312" w:cs="仿宋_GB2312"/>
          <w:sz w:val="32"/>
          <w:szCs w:val="32"/>
          <w:lang w:val="en-US" w:eastAsia="zh-CN"/>
        </w:rPr>
        <w:t>办法包括总则、扶持</w:t>
      </w:r>
      <w:r>
        <w:rPr>
          <w:rFonts w:hint="eastAsia" w:cs="仿宋_GB2312"/>
          <w:sz w:val="32"/>
          <w:szCs w:val="32"/>
          <w:lang w:val="en-US" w:eastAsia="zh-CN"/>
        </w:rPr>
        <w:t>目标</w:t>
      </w:r>
      <w:r>
        <w:rPr>
          <w:rFonts w:hint="eastAsia" w:ascii="仿宋_GB2312" w:hAnsi="仿宋_GB2312" w:eastAsia="仿宋_GB2312" w:cs="仿宋_GB2312"/>
          <w:sz w:val="32"/>
          <w:szCs w:val="32"/>
          <w:lang w:val="en-US" w:eastAsia="zh-CN"/>
        </w:rPr>
        <w:t>方向方式、申报</w:t>
      </w:r>
      <w:r>
        <w:rPr>
          <w:rFonts w:hint="eastAsia" w:cs="仿宋_GB2312"/>
          <w:sz w:val="32"/>
          <w:szCs w:val="32"/>
          <w:lang w:val="en-US" w:eastAsia="zh-CN"/>
        </w:rPr>
        <w:t>认定</w:t>
      </w:r>
      <w:r>
        <w:rPr>
          <w:rFonts w:hint="eastAsia" w:ascii="仿宋_GB2312" w:hAnsi="仿宋_GB2312" w:eastAsia="仿宋_GB2312" w:cs="仿宋_GB2312"/>
          <w:sz w:val="32"/>
          <w:szCs w:val="32"/>
          <w:lang w:val="en-US" w:eastAsia="zh-CN"/>
        </w:rPr>
        <w:t>条件、申报与评审、监督和管理以及附则</w:t>
      </w:r>
      <w:r>
        <w:rPr>
          <w:rFonts w:hint="eastAsia" w:ascii="仿宋_GB2312" w:hAnsi="仿宋_GB2312" w:eastAsia="仿宋_GB2312" w:cs="仿宋_GB2312"/>
          <w:sz w:val="32"/>
          <w:szCs w:val="32"/>
          <w:highlight w:val="none"/>
          <w:lang w:val="en-US" w:eastAsia="zh-CN"/>
        </w:rPr>
        <w:t>，共六章</w:t>
      </w:r>
      <w:r>
        <w:rPr>
          <w:rFonts w:hint="eastAsia" w:cs="仿宋_GB2312"/>
          <w:sz w:val="32"/>
          <w:szCs w:val="32"/>
          <w:highlight w:val="none"/>
          <w:lang w:val="en-US" w:eastAsia="zh-CN"/>
        </w:rPr>
        <w:t>十九条</w:t>
      </w:r>
      <w:r>
        <w:rPr>
          <w:rFonts w:hint="eastAsia" w:ascii="仿宋_GB2312" w:hAnsi="仿宋_GB2312" w:eastAsia="仿宋_GB2312" w:cs="仿宋_GB2312"/>
          <w:sz w:val="32"/>
          <w:szCs w:val="32"/>
          <w:lang w:val="en-US" w:eastAsia="zh-CN"/>
        </w:rPr>
        <w:t>。</w:t>
      </w:r>
      <w:r>
        <w:rPr>
          <w:rFonts w:hint="eastAsia" w:cs="仿宋_GB2312"/>
          <w:sz w:val="32"/>
          <w:szCs w:val="32"/>
          <w:lang w:val="en-US" w:eastAsia="zh-CN"/>
        </w:rPr>
        <w:t>相较2025年试行版本，</w:t>
      </w:r>
      <w:r>
        <w:rPr>
          <w:rFonts w:hint="eastAsia" w:ascii="仿宋_GB2312" w:eastAsia="仿宋_GB2312"/>
          <w:sz w:val="32"/>
          <w:szCs w:val="32"/>
          <w:lang w:val="en-US" w:eastAsia="zh-CN"/>
        </w:rPr>
        <w:t>重点从</w:t>
      </w:r>
      <w:r>
        <w:rPr>
          <w:rFonts w:hint="eastAsia"/>
          <w:sz w:val="32"/>
          <w:szCs w:val="32"/>
          <w:lang w:val="en-US" w:eastAsia="zh-CN"/>
        </w:rPr>
        <w:t>以下</w:t>
      </w:r>
      <w:r>
        <w:rPr>
          <w:rFonts w:hint="eastAsia" w:ascii="仿宋_GB2312" w:eastAsia="仿宋_GB2312"/>
          <w:sz w:val="32"/>
          <w:szCs w:val="32"/>
          <w:lang w:val="en-US" w:eastAsia="zh-CN"/>
        </w:rPr>
        <w:t>四个方面</w:t>
      </w:r>
      <w:r>
        <w:rPr>
          <w:rFonts w:hint="eastAsia"/>
          <w:sz w:val="32"/>
          <w:szCs w:val="32"/>
          <w:lang w:val="en-US" w:eastAsia="zh-CN"/>
        </w:rPr>
        <w:t>进行了</w:t>
      </w:r>
      <w:r>
        <w:rPr>
          <w:rFonts w:hint="eastAsia" w:ascii="仿宋_GB2312" w:eastAsia="仿宋_GB2312"/>
          <w:sz w:val="32"/>
          <w:szCs w:val="32"/>
          <w:lang w:val="en-US" w:eastAsia="zh-CN"/>
        </w:rPr>
        <w:t>优化</w:t>
      </w:r>
      <w:bookmarkEnd w:id="0"/>
      <w:r>
        <w:rPr>
          <w:rFonts w:hint="eastAsia"/>
          <w:sz w:val="32"/>
          <w:szCs w:val="32"/>
          <w:lang w:val="en-US" w:eastAsia="zh-CN"/>
        </w:rPr>
        <w:t>：</w:t>
      </w:r>
      <w:r>
        <w:rPr>
          <w:rFonts w:hint="eastAsia" w:ascii="仿宋_GB2312" w:eastAsia="仿宋_GB2312"/>
          <w:b/>
          <w:bCs/>
          <w:sz w:val="32"/>
          <w:szCs w:val="32"/>
          <w:lang w:val="en-US" w:eastAsia="zh-CN"/>
        </w:rPr>
        <w:t>一是</w:t>
      </w:r>
      <w:r>
        <w:rPr>
          <w:rFonts w:hint="eastAsia"/>
          <w:b/>
          <w:bCs/>
          <w:sz w:val="32"/>
          <w:szCs w:val="32"/>
          <w:lang w:val="en-US" w:eastAsia="zh-CN"/>
        </w:rPr>
        <w:t>强化价值</w:t>
      </w:r>
      <w:r>
        <w:rPr>
          <w:rFonts w:hint="eastAsia" w:ascii="仿宋_GB2312" w:eastAsia="仿宋_GB2312"/>
          <w:b/>
          <w:bCs/>
          <w:sz w:val="32"/>
          <w:szCs w:val="32"/>
          <w:lang w:val="en-US" w:eastAsia="zh-CN"/>
        </w:rPr>
        <w:t>引领</w:t>
      </w:r>
      <w:r>
        <w:rPr>
          <w:rFonts w:hint="eastAsia"/>
          <w:b/>
          <w:bCs/>
          <w:sz w:val="32"/>
          <w:szCs w:val="32"/>
          <w:lang w:val="en-US" w:eastAsia="zh-CN"/>
        </w:rPr>
        <w:t>，</w:t>
      </w:r>
      <w:r>
        <w:rPr>
          <w:rFonts w:hint="eastAsia" w:ascii="仿宋_GB2312" w:eastAsia="仿宋_GB2312"/>
          <w:sz w:val="32"/>
          <w:szCs w:val="32"/>
          <w:lang w:val="en-US" w:eastAsia="zh-CN"/>
        </w:rPr>
        <w:t>明确要求实体书店必须设置习近平新时代中国特色社会主义思想专题、专栏或专柜，打造身边的“红色阅读角”，</w:t>
      </w:r>
      <w:r>
        <w:rPr>
          <w:rFonts w:hint="eastAsia"/>
          <w:sz w:val="32"/>
          <w:szCs w:val="32"/>
          <w:lang w:val="en-US" w:eastAsia="zh-CN"/>
        </w:rPr>
        <w:t>筑牢“书香昌平”建设的思想根基</w:t>
      </w:r>
      <w:r>
        <w:rPr>
          <w:rFonts w:hint="eastAsia" w:ascii="仿宋_GB2312" w:eastAsia="仿宋_GB2312"/>
          <w:sz w:val="32"/>
          <w:szCs w:val="32"/>
          <w:lang w:val="en-US" w:eastAsia="zh-CN"/>
        </w:rPr>
        <w:t>。</w:t>
      </w:r>
      <w:r>
        <w:rPr>
          <w:rFonts w:hint="eastAsia" w:ascii="仿宋_GB2312" w:eastAsia="仿宋_GB2312"/>
          <w:b/>
          <w:bCs/>
          <w:sz w:val="32"/>
          <w:szCs w:val="32"/>
          <w:lang w:val="en-US" w:eastAsia="zh-CN"/>
        </w:rPr>
        <w:t>二是</w:t>
      </w:r>
      <w:r>
        <w:rPr>
          <w:rFonts w:hint="eastAsia"/>
          <w:b/>
          <w:bCs/>
          <w:sz w:val="32"/>
          <w:szCs w:val="32"/>
          <w:lang w:val="en-US" w:eastAsia="zh-CN"/>
        </w:rPr>
        <w:t>完善</w:t>
      </w:r>
      <w:r>
        <w:rPr>
          <w:rFonts w:hint="eastAsia" w:ascii="仿宋_GB2312" w:eastAsia="仿宋_GB2312"/>
          <w:b/>
          <w:bCs/>
          <w:sz w:val="32"/>
          <w:szCs w:val="32"/>
          <w:lang w:val="en-US" w:eastAsia="zh-CN"/>
        </w:rPr>
        <w:t>奖励类别</w:t>
      </w:r>
      <w:r>
        <w:rPr>
          <w:rFonts w:hint="eastAsia"/>
          <w:b/>
          <w:bCs/>
          <w:sz w:val="32"/>
          <w:szCs w:val="32"/>
          <w:lang w:val="en-US" w:eastAsia="zh-CN"/>
        </w:rPr>
        <w:t>，</w:t>
      </w:r>
      <w:r>
        <w:rPr>
          <w:rFonts w:hint="eastAsia" w:ascii="仿宋_GB2312" w:eastAsia="仿宋_GB2312"/>
          <w:sz w:val="32"/>
          <w:szCs w:val="32"/>
          <w:lang w:val="en-US" w:eastAsia="zh-CN"/>
        </w:rPr>
        <w:t>在保留开办奖励、运营奖励</w:t>
      </w:r>
      <w:r>
        <w:rPr>
          <w:rFonts w:hint="eastAsia"/>
          <w:sz w:val="32"/>
          <w:szCs w:val="32"/>
          <w:lang w:val="en-US" w:eastAsia="zh-CN"/>
        </w:rPr>
        <w:t>的</w:t>
      </w:r>
      <w:r>
        <w:rPr>
          <w:rFonts w:hint="eastAsia" w:ascii="仿宋_GB2312" w:eastAsia="仿宋_GB2312"/>
          <w:sz w:val="32"/>
          <w:szCs w:val="32"/>
          <w:lang w:val="en-US" w:eastAsia="zh-CN"/>
        </w:rPr>
        <w:t>基础上，新增市级配套奖励、优质书吧奖励，</w:t>
      </w:r>
      <w:r>
        <w:rPr>
          <w:rFonts w:hint="eastAsia"/>
          <w:sz w:val="32"/>
          <w:szCs w:val="32"/>
          <w:lang w:val="en-US" w:eastAsia="zh-CN"/>
        </w:rPr>
        <w:t>形成</w:t>
      </w:r>
      <w:r>
        <w:rPr>
          <w:rFonts w:hint="eastAsia" w:ascii="仿宋_GB2312" w:eastAsia="仿宋_GB2312"/>
          <w:sz w:val="32"/>
          <w:szCs w:val="32"/>
          <w:lang w:val="en-US" w:eastAsia="zh-CN"/>
        </w:rPr>
        <w:t>四类</w:t>
      </w:r>
      <w:r>
        <w:rPr>
          <w:rFonts w:hint="eastAsia"/>
          <w:sz w:val="32"/>
          <w:szCs w:val="32"/>
          <w:lang w:val="en-US" w:eastAsia="zh-CN"/>
        </w:rPr>
        <w:t>梯度</w:t>
      </w:r>
      <w:r>
        <w:rPr>
          <w:rFonts w:hint="eastAsia" w:ascii="仿宋_GB2312" w:eastAsia="仿宋_GB2312"/>
          <w:sz w:val="32"/>
          <w:szCs w:val="32"/>
          <w:lang w:val="en-US" w:eastAsia="zh-CN"/>
        </w:rPr>
        <w:t>扶持体系</w:t>
      </w:r>
      <w:r>
        <w:rPr>
          <w:rFonts w:hint="eastAsia"/>
          <w:sz w:val="32"/>
          <w:szCs w:val="32"/>
          <w:lang w:val="en-US" w:eastAsia="zh-CN"/>
        </w:rPr>
        <w:t>。其中，市级配套奖励指对获评市级</w:t>
      </w:r>
      <w:r>
        <w:rPr>
          <w:rFonts w:hint="eastAsia" w:ascii="仿宋_GB2312" w:hAnsi="仿宋_GB2312" w:eastAsia="仿宋_GB2312" w:cs="仿宋_GB2312"/>
          <w:sz w:val="32"/>
          <w:szCs w:val="32"/>
          <w:highlight w:val="none"/>
          <w:lang w:eastAsia="zh-CN"/>
        </w:rPr>
        <w:t>扶持</w:t>
      </w:r>
      <w:r>
        <w:rPr>
          <w:rFonts w:hint="eastAsia" w:cs="仿宋_GB2312"/>
          <w:sz w:val="32"/>
          <w:szCs w:val="32"/>
          <w:highlight w:val="none"/>
          <w:lang w:val="en-US" w:eastAsia="zh-CN"/>
        </w:rPr>
        <w:t>资金</w:t>
      </w:r>
      <w:r>
        <w:rPr>
          <w:rFonts w:hint="eastAsia" w:ascii="仿宋_GB2312" w:hAnsi="仿宋_GB2312" w:eastAsia="仿宋_GB2312" w:cs="仿宋_GB2312"/>
          <w:sz w:val="32"/>
          <w:szCs w:val="32"/>
          <w:highlight w:val="none"/>
          <w:lang w:eastAsia="zh-CN"/>
        </w:rPr>
        <w:t>且</w:t>
      </w:r>
      <w:r>
        <w:rPr>
          <w:rFonts w:hint="eastAsia" w:ascii="仿宋_GB2312" w:hAnsi="仿宋_GB2312" w:eastAsia="仿宋_GB2312" w:cs="仿宋_GB2312"/>
          <w:sz w:val="32"/>
          <w:szCs w:val="32"/>
          <w:highlight w:val="none"/>
          <w:lang w:val="en-US" w:eastAsia="zh-CN"/>
        </w:rPr>
        <w:t>经营稳定</w:t>
      </w:r>
      <w:r>
        <w:rPr>
          <w:rFonts w:hint="eastAsia"/>
          <w:sz w:val="32"/>
          <w:szCs w:val="32"/>
          <w:lang w:val="en-US" w:eastAsia="zh-CN"/>
        </w:rPr>
        <w:t>的书店给予区级配套扶持，放大市级扶持项目优秀</w:t>
      </w:r>
      <w:r>
        <w:rPr>
          <w:rFonts w:hint="eastAsia" w:ascii="仿宋_GB2312" w:eastAsia="仿宋_GB2312"/>
          <w:sz w:val="32"/>
          <w:szCs w:val="32"/>
          <w:lang w:val="en-US" w:eastAsia="zh-CN"/>
        </w:rPr>
        <w:t>示范效应</w:t>
      </w:r>
      <w:r>
        <w:rPr>
          <w:rFonts w:hint="eastAsia"/>
          <w:sz w:val="32"/>
          <w:szCs w:val="32"/>
          <w:lang w:val="en-US" w:eastAsia="zh-CN"/>
        </w:rPr>
        <w:t>；优质书吧奖励指对面积小于30平方米但运营规范、品质突出的小微书店给予扶持，有序弥补小微阅读空间缺口，助力构建多层次、广覆盖阅读服务网络</w:t>
      </w:r>
      <w:r>
        <w:rPr>
          <w:rFonts w:hint="eastAsia" w:ascii="仿宋_GB2312" w:eastAsia="仿宋_GB2312"/>
          <w:sz w:val="32"/>
          <w:szCs w:val="32"/>
          <w:lang w:val="en-US" w:eastAsia="zh-CN"/>
        </w:rPr>
        <w:t>。</w:t>
      </w:r>
      <w:r>
        <w:rPr>
          <w:rFonts w:hint="eastAsia"/>
          <w:b/>
          <w:bCs/>
          <w:sz w:val="32"/>
          <w:szCs w:val="32"/>
          <w:lang w:val="en-US" w:eastAsia="zh-CN"/>
        </w:rPr>
        <w:t>三是明晰</w:t>
      </w:r>
      <w:r>
        <w:rPr>
          <w:rFonts w:hint="eastAsia" w:ascii="仿宋_GB2312" w:eastAsia="仿宋_GB2312"/>
          <w:b/>
          <w:bCs/>
          <w:sz w:val="32"/>
          <w:szCs w:val="32"/>
          <w:lang w:val="en-US" w:eastAsia="zh-CN"/>
        </w:rPr>
        <w:t>评审标准</w:t>
      </w:r>
      <w:r>
        <w:rPr>
          <w:rFonts w:hint="eastAsia"/>
          <w:b/>
          <w:bCs/>
          <w:sz w:val="32"/>
          <w:szCs w:val="32"/>
          <w:lang w:val="en-US" w:eastAsia="zh-CN"/>
        </w:rPr>
        <w:t>，</w:t>
      </w:r>
      <w:r>
        <w:rPr>
          <w:rFonts w:hint="eastAsia"/>
          <w:sz w:val="32"/>
          <w:szCs w:val="32"/>
          <w:lang w:val="en-US" w:eastAsia="zh-CN"/>
        </w:rPr>
        <w:t>对标市级申报条件，从严</w:t>
      </w:r>
      <w:r>
        <w:rPr>
          <w:rFonts w:hint="eastAsia" w:ascii="仿宋_GB2312" w:eastAsia="仿宋_GB2312"/>
          <w:sz w:val="32"/>
          <w:szCs w:val="32"/>
          <w:lang w:val="en-US" w:eastAsia="zh-CN"/>
        </w:rPr>
        <w:t>收紧</w:t>
      </w:r>
      <w:r>
        <w:rPr>
          <w:rFonts w:hint="eastAsia" w:ascii="仿宋_GB2312" w:hAnsi="仿宋_GB2312" w:eastAsia="仿宋_GB2312" w:cs="仿宋_GB2312"/>
          <w:sz w:val="32"/>
          <w:szCs w:val="32"/>
          <w:highlight w:val="none"/>
          <w:lang w:eastAsia="zh-CN"/>
        </w:rPr>
        <w:t>图</w:t>
      </w:r>
      <w:r>
        <w:rPr>
          <w:rFonts w:hint="eastAsia" w:ascii="仿宋_GB2312" w:eastAsia="仿宋_GB2312"/>
          <w:sz w:val="32"/>
          <w:szCs w:val="32"/>
          <w:lang w:val="en-US" w:eastAsia="zh-CN"/>
        </w:rPr>
        <w:t>书册数及品种下限</w:t>
      </w:r>
      <w:r>
        <w:rPr>
          <w:rFonts w:hint="eastAsia"/>
          <w:sz w:val="32"/>
          <w:szCs w:val="32"/>
          <w:lang w:val="en-US" w:eastAsia="zh-CN"/>
        </w:rPr>
        <w:t>等硬性申报要求；细化</w:t>
      </w:r>
      <w:r>
        <w:rPr>
          <w:rFonts w:hint="eastAsia" w:ascii="仿宋_GB2312" w:eastAsia="仿宋_GB2312"/>
          <w:sz w:val="32"/>
          <w:szCs w:val="32"/>
          <w:lang w:val="en-US" w:eastAsia="zh-CN"/>
        </w:rPr>
        <w:t>经营面积认定规则，</w:t>
      </w:r>
      <w:r>
        <w:rPr>
          <w:rFonts w:hint="eastAsia"/>
          <w:sz w:val="32"/>
          <w:szCs w:val="32"/>
          <w:lang w:val="en-US" w:eastAsia="zh-CN"/>
        </w:rPr>
        <w:t>并建立“区域位置、书店环境、书籍品质、服务能力、经营收入”五维评分体系，综合考量书店运营能力及公共服务品质；明确“非公共开放、位置隐蔽难以到达”等不予扶持负面清单，让书店自评有尺、群众监督有据，最大限度减少自由裁量空间。</w:t>
      </w:r>
      <w:r>
        <w:rPr>
          <w:rFonts w:hint="eastAsia"/>
          <w:b/>
          <w:bCs/>
          <w:sz w:val="32"/>
          <w:szCs w:val="32"/>
          <w:lang w:val="en-US" w:eastAsia="zh-CN"/>
        </w:rPr>
        <w:t>四是优化评审流程，</w:t>
      </w:r>
      <w:r>
        <w:rPr>
          <w:rFonts w:hint="eastAsia"/>
          <w:sz w:val="32"/>
          <w:szCs w:val="32"/>
          <w:lang w:val="en-US" w:eastAsia="zh-CN"/>
        </w:rPr>
        <w:t>镇（街道）依职责对申报主体及项目材料进行初审，不再参与现场踏勘环节，切实为基层减负。本办法扶持资金实行“事后奖励”机制，即申报主体先行合规运营再按期参与区级项目申报，经评审合格后给予奖励。同一申报主体在同一年度内可分别申报市级和区级扶持项目，两者互不排斥；但在区级层面，同一申报主体同一年度内只能享受一个奖励类别（注：市级配套奖励优先），不可同时申报多项区级奖励。昌平区实体书店扶持项目由区新闻出版局负责组织实施，本办法由区新闻出版局负责解释。</w:t>
      </w:r>
    </w:p>
    <w:p w14:paraId="7FAF21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Noto Music">
    <w:panose1 w:val="020B0502040504020204"/>
    <w:charset w:val="00"/>
    <w:family w:val="auto"/>
    <w:pitch w:val="default"/>
    <w:sig w:usb0="00000003" w:usb1="02006000" w:usb2="01000000" w:usb3="00000000" w:csb0="0000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632CE">
    <w:pPr>
      <w:pStyle w:val="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DC948">
                          <w:pPr>
                            <w:pStyle w:val="8"/>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6DC948">
                    <w:pPr>
                      <w:pStyle w:val="8"/>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w:t>
                    </w:r>
                    <w:r>
                      <w:rPr>
                        <w:rFonts w:hint="eastAsia" w:ascii="宋体" w:hAnsi="宋体" w:eastAsia="宋体" w:cs="宋体"/>
                        <w:sz w:val="24"/>
                        <w:szCs w:val="24"/>
                        <w:lang w:eastAsia="zh-CN"/>
                      </w:rPr>
                      <w:fldChar w:fldCharType="begin"/>
                    </w:r>
                    <w:r>
                      <w:rPr>
                        <w:rFonts w:hint="eastAsia" w:ascii="宋体" w:hAnsi="宋体" w:eastAsia="宋体" w:cs="宋体"/>
                        <w:sz w:val="24"/>
                        <w:szCs w:val="24"/>
                        <w:lang w:eastAsia="zh-CN"/>
                      </w:rPr>
                      <w:instrText xml:space="preserve"> PAGE  \* MERGEFORMAT </w:instrText>
                    </w:r>
                    <w:r>
                      <w:rPr>
                        <w:rFonts w:hint="eastAsia" w:ascii="宋体" w:hAnsi="宋体" w:eastAsia="宋体" w:cs="宋体"/>
                        <w:sz w:val="24"/>
                        <w:szCs w:val="24"/>
                        <w:lang w:eastAsia="zh-CN"/>
                      </w:rPr>
                      <w:fldChar w:fldCharType="separate"/>
                    </w:r>
                    <w:r>
                      <w:rPr>
                        <w:rFonts w:hint="eastAsia" w:ascii="宋体" w:hAnsi="宋体" w:eastAsia="宋体" w:cs="宋体"/>
                        <w:sz w:val="24"/>
                        <w:szCs w:val="24"/>
                        <w:lang w:eastAsia="zh-CN"/>
                      </w:rPr>
                      <w:t>1</w:t>
                    </w:r>
                    <w:r>
                      <w:rPr>
                        <w:rFonts w:hint="eastAsia" w:ascii="宋体" w:hAnsi="宋体" w:eastAsia="宋体" w:cs="宋体"/>
                        <w:sz w:val="24"/>
                        <w:szCs w:val="24"/>
                        <w:lang w:eastAsia="zh-CN"/>
                      </w:rPr>
                      <w:fldChar w:fldCharType="end"/>
                    </w:r>
                    <w:r>
                      <w:rPr>
                        <w:rFonts w:hint="eastAsia" w:ascii="宋体" w:hAnsi="宋体" w:eastAsia="宋体" w:cs="宋体"/>
                        <w:sz w:val="24"/>
                        <w:szCs w:val="24"/>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7FB2A">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98FEE9">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97A0B">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25F91">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2729B">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E5C"/>
    <w:rsid w:val="0029551C"/>
    <w:rsid w:val="003B688C"/>
    <w:rsid w:val="004D5E5C"/>
    <w:rsid w:val="00713682"/>
    <w:rsid w:val="00987566"/>
    <w:rsid w:val="01352915"/>
    <w:rsid w:val="03F35D89"/>
    <w:rsid w:val="04DE2227"/>
    <w:rsid w:val="06197741"/>
    <w:rsid w:val="06451A56"/>
    <w:rsid w:val="0726107B"/>
    <w:rsid w:val="07B258AF"/>
    <w:rsid w:val="09223108"/>
    <w:rsid w:val="0A632D18"/>
    <w:rsid w:val="0A821DCB"/>
    <w:rsid w:val="0ACA5A42"/>
    <w:rsid w:val="0BE83128"/>
    <w:rsid w:val="0CD67490"/>
    <w:rsid w:val="0D423614"/>
    <w:rsid w:val="0E034675"/>
    <w:rsid w:val="0E1A3B33"/>
    <w:rsid w:val="0E7C1CF1"/>
    <w:rsid w:val="0F4C2045"/>
    <w:rsid w:val="0FFA799C"/>
    <w:rsid w:val="10185BF4"/>
    <w:rsid w:val="10BE30FF"/>
    <w:rsid w:val="10D70685"/>
    <w:rsid w:val="11EF6DB2"/>
    <w:rsid w:val="12471A71"/>
    <w:rsid w:val="12A1781C"/>
    <w:rsid w:val="130D5EA7"/>
    <w:rsid w:val="13F33E2B"/>
    <w:rsid w:val="145C5D27"/>
    <w:rsid w:val="15027401"/>
    <w:rsid w:val="15390D1E"/>
    <w:rsid w:val="155B6F0B"/>
    <w:rsid w:val="15CD51E0"/>
    <w:rsid w:val="16953CE8"/>
    <w:rsid w:val="16F91A40"/>
    <w:rsid w:val="17A7720B"/>
    <w:rsid w:val="17EA1B06"/>
    <w:rsid w:val="195B1BCF"/>
    <w:rsid w:val="1A2E1582"/>
    <w:rsid w:val="1A2E2619"/>
    <w:rsid w:val="1AF85407"/>
    <w:rsid w:val="1B046BC6"/>
    <w:rsid w:val="1B4F5259"/>
    <w:rsid w:val="1B5C7015"/>
    <w:rsid w:val="1C3E660C"/>
    <w:rsid w:val="1DD97567"/>
    <w:rsid w:val="1DEA091A"/>
    <w:rsid w:val="1E526C0D"/>
    <w:rsid w:val="1E5A1F80"/>
    <w:rsid w:val="1EFA4321"/>
    <w:rsid w:val="1F3031B6"/>
    <w:rsid w:val="1F9D1872"/>
    <w:rsid w:val="1FB32080"/>
    <w:rsid w:val="1FC8791A"/>
    <w:rsid w:val="20215745"/>
    <w:rsid w:val="211C149B"/>
    <w:rsid w:val="2151507E"/>
    <w:rsid w:val="21743566"/>
    <w:rsid w:val="21AA032B"/>
    <w:rsid w:val="229921EE"/>
    <w:rsid w:val="23082A64"/>
    <w:rsid w:val="236B742B"/>
    <w:rsid w:val="2380246A"/>
    <w:rsid w:val="2492140C"/>
    <w:rsid w:val="25EB037C"/>
    <w:rsid w:val="263C0693"/>
    <w:rsid w:val="27826579"/>
    <w:rsid w:val="278D7A9E"/>
    <w:rsid w:val="292A511A"/>
    <w:rsid w:val="2A8B6DA8"/>
    <w:rsid w:val="2B1206B6"/>
    <w:rsid w:val="2B230073"/>
    <w:rsid w:val="2BE95057"/>
    <w:rsid w:val="2C4B74B9"/>
    <w:rsid w:val="2C701959"/>
    <w:rsid w:val="2CA12717"/>
    <w:rsid w:val="2CF30BCC"/>
    <w:rsid w:val="2D7828F8"/>
    <w:rsid w:val="2DA46ABB"/>
    <w:rsid w:val="2E845E9E"/>
    <w:rsid w:val="2F2D33F3"/>
    <w:rsid w:val="2F536F61"/>
    <w:rsid w:val="2F6B051D"/>
    <w:rsid w:val="2FA73957"/>
    <w:rsid w:val="2FEB75F2"/>
    <w:rsid w:val="30C3032E"/>
    <w:rsid w:val="310B2447"/>
    <w:rsid w:val="31B936FA"/>
    <w:rsid w:val="326E42CA"/>
    <w:rsid w:val="327B101F"/>
    <w:rsid w:val="329B0193"/>
    <w:rsid w:val="336F2D7E"/>
    <w:rsid w:val="33E92119"/>
    <w:rsid w:val="34145801"/>
    <w:rsid w:val="34D73F78"/>
    <w:rsid w:val="357A7244"/>
    <w:rsid w:val="35E212D7"/>
    <w:rsid w:val="35EE6463"/>
    <w:rsid w:val="36E96223"/>
    <w:rsid w:val="36F92244"/>
    <w:rsid w:val="37557806"/>
    <w:rsid w:val="377D2E34"/>
    <w:rsid w:val="38063178"/>
    <w:rsid w:val="399A2EF2"/>
    <w:rsid w:val="39F7373E"/>
    <w:rsid w:val="3A4A1178"/>
    <w:rsid w:val="3A5B1C85"/>
    <w:rsid w:val="3AF328C6"/>
    <w:rsid w:val="3B196D9D"/>
    <w:rsid w:val="3B6649A7"/>
    <w:rsid w:val="3C5304C4"/>
    <w:rsid w:val="3CBB2D96"/>
    <w:rsid w:val="3CF61143"/>
    <w:rsid w:val="3DBA2EE3"/>
    <w:rsid w:val="3DE47B36"/>
    <w:rsid w:val="3E295549"/>
    <w:rsid w:val="3E546750"/>
    <w:rsid w:val="3E602562"/>
    <w:rsid w:val="3E8527A2"/>
    <w:rsid w:val="3EAE5A4E"/>
    <w:rsid w:val="3EBA796D"/>
    <w:rsid w:val="3F0E4123"/>
    <w:rsid w:val="3FA23805"/>
    <w:rsid w:val="3FF3A5A7"/>
    <w:rsid w:val="403A30ED"/>
    <w:rsid w:val="40C52CD1"/>
    <w:rsid w:val="413D3606"/>
    <w:rsid w:val="41C1665E"/>
    <w:rsid w:val="41D44CF2"/>
    <w:rsid w:val="430D71E7"/>
    <w:rsid w:val="439B7EDF"/>
    <w:rsid w:val="44CB7E22"/>
    <w:rsid w:val="45C31AEE"/>
    <w:rsid w:val="46B50F23"/>
    <w:rsid w:val="47AC7AAA"/>
    <w:rsid w:val="48AC56FF"/>
    <w:rsid w:val="49A27012"/>
    <w:rsid w:val="49ED7D72"/>
    <w:rsid w:val="49FB22CA"/>
    <w:rsid w:val="4A34714B"/>
    <w:rsid w:val="4ABF2584"/>
    <w:rsid w:val="4B365A74"/>
    <w:rsid w:val="4B6B71A0"/>
    <w:rsid w:val="4C455C43"/>
    <w:rsid w:val="4C883FBE"/>
    <w:rsid w:val="4C986370"/>
    <w:rsid w:val="4D133237"/>
    <w:rsid w:val="4D4F260F"/>
    <w:rsid w:val="4E4A1167"/>
    <w:rsid w:val="4E53210E"/>
    <w:rsid w:val="4E9F5B5A"/>
    <w:rsid w:val="4F3007F7"/>
    <w:rsid w:val="4F7768C3"/>
    <w:rsid w:val="4FEE641D"/>
    <w:rsid w:val="50AF1F6D"/>
    <w:rsid w:val="51F03BFE"/>
    <w:rsid w:val="52906023"/>
    <w:rsid w:val="52E07D38"/>
    <w:rsid w:val="53403FEA"/>
    <w:rsid w:val="5364772A"/>
    <w:rsid w:val="53832D10"/>
    <w:rsid w:val="53E922AB"/>
    <w:rsid w:val="54365683"/>
    <w:rsid w:val="54AD3819"/>
    <w:rsid w:val="556B2C99"/>
    <w:rsid w:val="55F7710A"/>
    <w:rsid w:val="561E2184"/>
    <w:rsid w:val="576541D3"/>
    <w:rsid w:val="59742FF6"/>
    <w:rsid w:val="5A184FB2"/>
    <w:rsid w:val="5A7E7EEF"/>
    <w:rsid w:val="5AAC27D3"/>
    <w:rsid w:val="5AD73617"/>
    <w:rsid w:val="5B1809F6"/>
    <w:rsid w:val="5B1A1B69"/>
    <w:rsid w:val="5B2374DE"/>
    <w:rsid w:val="5B8C2A0A"/>
    <w:rsid w:val="5BD32C9F"/>
    <w:rsid w:val="5C0A0310"/>
    <w:rsid w:val="5C371CD2"/>
    <w:rsid w:val="5C3E0531"/>
    <w:rsid w:val="5C791D66"/>
    <w:rsid w:val="5DBC7B57"/>
    <w:rsid w:val="5ECC1F13"/>
    <w:rsid w:val="60D333C6"/>
    <w:rsid w:val="61137C66"/>
    <w:rsid w:val="61412D22"/>
    <w:rsid w:val="61692332"/>
    <w:rsid w:val="616E24E6"/>
    <w:rsid w:val="61C94321"/>
    <w:rsid w:val="6208751A"/>
    <w:rsid w:val="633204AF"/>
    <w:rsid w:val="633637F7"/>
    <w:rsid w:val="63D970DD"/>
    <w:rsid w:val="640A312F"/>
    <w:rsid w:val="642D6C90"/>
    <w:rsid w:val="6496506A"/>
    <w:rsid w:val="64BC293F"/>
    <w:rsid w:val="652307F7"/>
    <w:rsid w:val="65305D31"/>
    <w:rsid w:val="65502B13"/>
    <w:rsid w:val="6654284C"/>
    <w:rsid w:val="669D5667"/>
    <w:rsid w:val="66D41C46"/>
    <w:rsid w:val="680F2382"/>
    <w:rsid w:val="682457E4"/>
    <w:rsid w:val="6937126B"/>
    <w:rsid w:val="69C77840"/>
    <w:rsid w:val="69F56662"/>
    <w:rsid w:val="6A4D309A"/>
    <w:rsid w:val="6A681EEC"/>
    <w:rsid w:val="6A814161"/>
    <w:rsid w:val="6AA7290C"/>
    <w:rsid w:val="6B1D51CB"/>
    <w:rsid w:val="6B6134A0"/>
    <w:rsid w:val="6D1F1AF0"/>
    <w:rsid w:val="6D8E5EC9"/>
    <w:rsid w:val="6DA26904"/>
    <w:rsid w:val="6E1C5D52"/>
    <w:rsid w:val="6E5F0347"/>
    <w:rsid w:val="6E7B105F"/>
    <w:rsid w:val="6E821439"/>
    <w:rsid w:val="6E9923A8"/>
    <w:rsid w:val="6F0137F4"/>
    <w:rsid w:val="6F3569B1"/>
    <w:rsid w:val="6F46571E"/>
    <w:rsid w:val="6F73762C"/>
    <w:rsid w:val="704A4E48"/>
    <w:rsid w:val="70604445"/>
    <w:rsid w:val="711B16CF"/>
    <w:rsid w:val="71F9130C"/>
    <w:rsid w:val="72EE509C"/>
    <w:rsid w:val="73103A48"/>
    <w:rsid w:val="733F188D"/>
    <w:rsid w:val="73914ED2"/>
    <w:rsid w:val="73EB232C"/>
    <w:rsid w:val="74314DE6"/>
    <w:rsid w:val="74A964C0"/>
    <w:rsid w:val="74AF6DBC"/>
    <w:rsid w:val="74FB0741"/>
    <w:rsid w:val="759D3A64"/>
    <w:rsid w:val="765B603D"/>
    <w:rsid w:val="77113855"/>
    <w:rsid w:val="772A1582"/>
    <w:rsid w:val="77BA671B"/>
    <w:rsid w:val="782A7532"/>
    <w:rsid w:val="784D3606"/>
    <w:rsid w:val="78743289"/>
    <w:rsid w:val="790C1947"/>
    <w:rsid w:val="796A3742"/>
    <w:rsid w:val="7A680BCB"/>
    <w:rsid w:val="7B651AF2"/>
    <w:rsid w:val="7B762E74"/>
    <w:rsid w:val="7BA7581D"/>
    <w:rsid w:val="7BC825AE"/>
    <w:rsid w:val="7BDB4440"/>
    <w:rsid w:val="7DB91F2F"/>
    <w:rsid w:val="7DEA7FB9"/>
    <w:rsid w:val="7E5F4C97"/>
    <w:rsid w:val="7FF2F8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880" w:firstLineChars="200"/>
      <w:jc w:val="both"/>
    </w:pPr>
    <w:rPr>
      <w:rFonts w:ascii="仿宋_GB2312" w:hAnsi="仿宋_GB2312" w:eastAsia="仿宋_GB2312" w:cs="仿宋_GB2312"/>
      <w:kern w:val="2"/>
      <w:sz w:val="32"/>
      <w:szCs w:val="32"/>
      <w:lang w:val="en-US" w:eastAsia="zh-CN" w:bidi="ar-SA"/>
    </w:rPr>
  </w:style>
  <w:style w:type="paragraph" w:styleId="2">
    <w:name w:val="heading 1"/>
    <w:basedOn w:val="1"/>
    <w:next w:val="1"/>
    <w:qFormat/>
    <w:uiPriority w:val="0"/>
    <w:pPr>
      <w:spacing w:beforeAutospacing="1" w:after="100" w:afterAutospacing="1"/>
      <w:jc w:val="left"/>
      <w:outlineLvl w:val="0"/>
    </w:pPr>
    <w:rPr>
      <w:rFonts w:hint="eastAsia" w:ascii="宋体" w:hAnsi="宋体" w:eastAsia="宋体" w:cs="Times New Roman"/>
      <w:b/>
      <w:bCs/>
      <w:kern w:val="44"/>
      <w:sz w:val="48"/>
      <w:szCs w:val="4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qFormat/>
    <w:uiPriority w:val="0"/>
    <w:pPr>
      <w:jc w:val="left"/>
    </w:pPr>
  </w:style>
  <w:style w:type="paragraph" w:styleId="5">
    <w:name w:val="Body Text"/>
    <w:basedOn w:val="1"/>
    <w:next w:val="1"/>
    <w:qFormat/>
    <w:uiPriority w:val="1"/>
    <w:rPr>
      <w:rFonts w:ascii="宋体" w:hAnsi="宋体" w:eastAsia="宋体" w:cs="宋体"/>
      <w:sz w:val="32"/>
      <w:szCs w:val="32"/>
    </w:rPr>
  </w:style>
  <w:style w:type="paragraph" w:styleId="6">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7">
    <w:name w:val="Balloon Text"/>
    <w:basedOn w:val="1"/>
    <w:link w:val="15"/>
    <w:qFormat/>
    <w:uiPriority w:val="0"/>
    <w:pPr>
      <w:spacing w:line="240" w:lineRule="auto"/>
    </w:pPr>
    <w:rPr>
      <w:sz w:val="18"/>
      <w:szCs w:val="18"/>
    </w:rPr>
  </w:style>
  <w:style w:type="paragraph" w:styleId="8">
    <w:name w:val="footer"/>
    <w:basedOn w:val="1"/>
    <w:link w:val="16"/>
    <w:qFormat/>
    <w:uiPriority w:val="99"/>
    <w:pPr>
      <w:tabs>
        <w:tab w:val="center" w:pos="4153"/>
        <w:tab w:val="right" w:pos="8306"/>
      </w:tabs>
      <w:jc w:val="left"/>
    </w:pPr>
    <w:rPr>
      <w:sz w:val="18"/>
    </w:rPr>
  </w:style>
  <w:style w:type="paragraph" w:styleId="9">
    <w:name w:val="header"/>
    <w:basedOn w:val="1"/>
    <w:link w:val="17"/>
    <w:qFormat/>
    <w:uiPriority w:val="0"/>
    <w:pPr>
      <w:pBdr>
        <w:bottom w:val="single" w:color="auto" w:sz="6" w:space="1"/>
      </w:pBdr>
      <w:tabs>
        <w:tab w:val="center" w:pos="4153"/>
        <w:tab w:val="right" w:pos="8306"/>
      </w:tabs>
      <w:spacing w:line="240" w:lineRule="atLeast"/>
      <w:jc w:val="center"/>
    </w:pPr>
    <w:rPr>
      <w:sz w:val="18"/>
      <w:szCs w:val="18"/>
    </w:rPr>
  </w:style>
  <w:style w:type="paragraph" w:styleId="10">
    <w:name w:val="footnote text"/>
    <w:basedOn w:val="1"/>
    <w:qFormat/>
    <w:uiPriority w:val="0"/>
    <w:pPr>
      <w:snapToGrid w:val="0"/>
      <w:jc w:val="left"/>
    </w:pPr>
    <w:rPr>
      <w:rFonts w:ascii="宋体" w:hAnsi="Calibri"/>
      <w:kern w:val="0"/>
      <w:sz w:val="18"/>
      <w:szCs w:val="18"/>
    </w:rPr>
  </w:style>
  <w:style w:type="paragraph" w:styleId="11">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customStyle="1" w:styleId="15">
    <w:name w:val="批注框文本 Char"/>
    <w:basedOn w:val="13"/>
    <w:link w:val="7"/>
    <w:qFormat/>
    <w:uiPriority w:val="0"/>
    <w:rPr>
      <w:rFonts w:ascii="仿宋_GB2312" w:hAnsi="仿宋_GB2312" w:eastAsia="仿宋_GB2312" w:cs="仿宋_GB2312"/>
      <w:kern w:val="2"/>
      <w:sz w:val="18"/>
      <w:szCs w:val="18"/>
    </w:rPr>
  </w:style>
  <w:style w:type="character" w:customStyle="1" w:styleId="16">
    <w:name w:val="页脚 Char"/>
    <w:basedOn w:val="13"/>
    <w:link w:val="8"/>
    <w:qFormat/>
    <w:uiPriority w:val="99"/>
    <w:rPr>
      <w:rFonts w:ascii="仿宋_GB2312" w:hAnsi="仿宋_GB2312" w:eastAsia="仿宋_GB2312" w:cs="仿宋_GB2312"/>
      <w:kern w:val="2"/>
      <w:sz w:val="18"/>
      <w:szCs w:val="32"/>
    </w:rPr>
  </w:style>
  <w:style w:type="character" w:customStyle="1" w:styleId="17">
    <w:name w:val="页眉 Char"/>
    <w:basedOn w:val="13"/>
    <w:link w:val="9"/>
    <w:qFormat/>
    <w:uiPriority w:val="0"/>
    <w:rPr>
      <w:rFonts w:ascii="仿宋_GB2312" w:hAnsi="仿宋_GB2312" w:eastAsia="仿宋_GB2312" w:cs="仿宋_GB2312"/>
      <w:kern w:val="2"/>
      <w:sz w:val="18"/>
      <w:szCs w:val="18"/>
    </w:rPr>
  </w:style>
  <w:style w:type="paragraph" w:customStyle="1" w:styleId="18">
    <w:name w:val="A正文"/>
    <w:basedOn w:val="1"/>
    <w:qFormat/>
    <w:uiPriority w:val="0"/>
    <w:pPr>
      <w:ind w:firstLine="200"/>
    </w:pPr>
  </w:style>
  <w:style w:type="paragraph" w:customStyle="1" w:styleId="19">
    <w:name w:val="样式1"/>
    <w:basedOn w:val="1"/>
    <w:next w:val="1"/>
    <w:qFormat/>
    <w:uiPriority w:val="0"/>
    <w:rPr>
      <w:rFonts w:ascii="Calibri" w:hAnsi="Calibri"/>
    </w:rPr>
  </w:style>
  <w:style w:type="paragraph" w:customStyle="1" w:styleId="20">
    <w:name w:val="toc 1_b958cacf-7e5f-454f-8c5b-6e15b77831f9"/>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21">
    <w:name w:val="_Style 2"/>
    <w:qFormat/>
    <w:uiPriority w:val="34"/>
    <w:pPr>
      <w:ind w:firstLine="420" w:firstLineChars="200"/>
    </w:pPr>
    <w:rPr>
      <w:rFonts w:ascii="Times New Roman" w:hAnsi="Times New Roman" w:eastAsia="宋体" w:cs="Times New Roman"/>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5416</Words>
  <Characters>5520</Characters>
  <Lines>30</Lines>
  <Paragraphs>8</Paragraphs>
  <TotalTime>1</TotalTime>
  <ScaleCrop>false</ScaleCrop>
  <LinksUpToDate>false</LinksUpToDate>
  <CharactersWithSpaces>5758</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2025-04-27T16:24:00Z</dcterms:created>
  <dc:creator>Administrator</dc:creator>
  <cp:lastModifiedBy>HIGC</cp:lastModifiedBy>
  <cp:lastPrinted>2026-08-12T11:35:00Z</cp:lastPrinted>
  <dcterms:modified xsi:type="dcterms:W3CDTF">2026-08-25T13:29:47Z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eyJoZGlkIjoiMTc0ZGVlYWQ3NThkOGFjYzE1Y2Q4M2FjZTE3NmNhZjUiLCJ1c2VySWQiOiI5ODc4MjAyNTgifQ==</vt:lpwstr>
  </property>
  <property fmtid="{D5CDD505-2E9C-101B-9397-08002B2CF9AE}" pid="4" name="ICV">
    <vt:lpwstr>F9F75C20F53414973A288D6AD3A2B313_43</vt:lpwstr>
  </property>
</Properties>
</file>