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CA2DC">
      <w:pPr>
        <w:overflowPunct w:val="0"/>
        <w:spacing w:after="156" w:afterLines="50" w:line="580" w:lineRule="exact"/>
        <w:jc w:val="center"/>
        <w:rPr>
          <w:rFonts w:ascii="Times New Roman" w:hAnsi="Times New Roman" w:eastAsia="方正小标宋简体" w:cs="Times New Roman"/>
          <w:sz w:val="36"/>
          <w:szCs w:val="36"/>
        </w:rPr>
      </w:pPr>
    </w:p>
    <w:p w14:paraId="7B135679">
      <w:pPr>
        <w:overflowPunct w:val="0"/>
        <w:spacing w:after="156" w:afterLines="50" w:line="580" w:lineRule="exact"/>
        <w:jc w:val="center"/>
        <w:rPr>
          <w:rFonts w:ascii="Times New Roman" w:hAnsi="Times New Roman" w:eastAsia="方正小标宋简体" w:cs="Times New Roman"/>
          <w:sz w:val="36"/>
          <w:szCs w:val="36"/>
        </w:rPr>
      </w:pPr>
    </w:p>
    <w:p w14:paraId="0699C9A0">
      <w:pPr>
        <w:overflowPunct w:val="0"/>
        <w:spacing w:after="156" w:afterLines="50" w:line="580" w:lineRule="exact"/>
        <w:jc w:val="center"/>
        <w:rPr>
          <w:rFonts w:ascii="Times New Roman" w:hAnsi="Times New Roman" w:eastAsia="方正小标宋简体" w:cs="Times New Roman"/>
          <w:sz w:val="36"/>
          <w:szCs w:val="36"/>
        </w:rPr>
      </w:pPr>
    </w:p>
    <w:p w14:paraId="63B2ED8A">
      <w:pPr>
        <w:overflowPunct w:val="0"/>
        <w:spacing w:after="156" w:afterLines="50" w:line="580" w:lineRule="exact"/>
        <w:jc w:val="center"/>
        <w:rPr>
          <w:rFonts w:ascii="Times New Roman" w:hAnsi="Times New Roman" w:eastAsia="方正小标宋简体" w:cs="Times New Roman"/>
          <w:sz w:val="48"/>
          <w:szCs w:val="36"/>
        </w:rPr>
      </w:pPr>
    </w:p>
    <w:p w14:paraId="336EAE53">
      <w:pPr>
        <w:overflowPunct w:val="0"/>
        <w:spacing w:after="156" w:afterLines="50" w:line="580" w:lineRule="exact"/>
        <w:jc w:val="center"/>
        <w:rPr>
          <w:rFonts w:ascii="Times New Roman" w:hAnsi="Times New Roman" w:eastAsia="方正小标宋简体" w:cs="Times New Roman"/>
          <w:sz w:val="48"/>
          <w:szCs w:val="36"/>
        </w:rPr>
      </w:pPr>
      <w:bookmarkStart w:id="0" w:name="OLE_LINK49"/>
      <w:bookmarkStart w:id="1" w:name="OLE_LINK50"/>
      <w:r>
        <w:rPr>
          <w:rFonts w:hint="eastAsia" w:ascii="Times New Roman" w:hAnsi="Times New Roman" w:eastAsia="方正小标宋简体" w:cs="Times New Roman"/>
          <w:sz w:val="48"/>
          <w:szCs w:val="36"/>
        </w:rPr>
        <w:t>北京市大兴区“十五五”能源发展规划</w:t>
      </w:r>
    </w:p>
    <w:bookmarkEnd w:id="0"/>
    <w:bookmarkEnd w:id="1"/>
    <w:p w14:paraId="2B344EC0">
      <w:pPr>
        <w:overflowPunct w:val="0"/>
        <w:spacing w:after="312" w:afterLines="100" w:line="580" w:lineRule="exact"/>
        <w:jc w:val="center"/>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征求意见稿</w:t>
      </w:r>
      <w:r>
        <w:rPr>
          <w:rFonts w:hint="eastAsia" w:ascii="Times New Roman" w:hAnsi="Times New Roman" w:eastAsia="楷体_GB2312" w:cs="Times New Roman"/>
          <w:sz w:val="32"/>
          <w:szCs w:val="32"/>
          <w:lang w:eastAsia="zh-CN"/>
        </w:rPr>
        <w:t>）</w:t>
      </w:r>
    </w:p>
    <w:p w14:paraId="76F78B39">
      <w:pPr>
        <w:overflowPunct w:val="0"/>
        <w:spacing w:after="312" w:afterLines="100" w:line="580" w:lineRule="exact"/>
        <w:jc w:val="center"/>
        <w:rPr>
          <w:rFonts w:ascii="Times New Roman" w:hAnsi="Times New Roman" w:eastAsia="楷体_GB2312" w:cs="Times New Roman"/>
          <w:sz w:val="32"/>
          <w:szCs w:val="32"/>
        </w:rPr>
      </w:pPr>
      <w:bookmarkStart w:id="67" w:name="_GoBack"/>
      <w:bookmarkEnd w:id="67"/>
    </w:p>
    <w:p w14:paraId="4AC27B02">
      <w:pPr>
        <w:overflowPunct w:val="0"/>
        <w:spacing w:after="312" w:afterLines="100" w:line="580" w:lineRule="exact"/>
        <w:jc w:val="center"/>
        <w:rPr>
          <w:rFonts w:ascii="Times New Roman" w:hAnsi="Times New Roman" w:eastAsia="楷体_GB2312" w:cs="Times New Roman"/>
          <w:sz w:val="32"/>
          <w:szCs w:val="32"/>
        </w:rPr>
      </w:pPr>
    </w:p>
    <w:p w14:paraId="27CC899A">
      <w:pPr>
        <w:overflowPunct w:val="0"/>
        <w:spacing w:after="312" w:afterLines="100" w:line="580" w:lineRule="exact"/>
        <w:jc w:val="center"/>
        <w:rPr>
          <w:rFonts w:ascii="Times New Roman" w:hAnsi="Times New Roman" w:eastAsia="楷体_GB2312" w:cs="Times New Roman"/>
          <w:sz w:val="32"/>
          <w:szCs w:val="32"/>
        </w:rPr>
      </w:pPr>
    </w:p>
    <w:p w14:paraId="6DAED239">
      <w:pPr>
        <w:overflowPunct w:val="0"/>
        <w:spacing w:after="312" w:afterLines="100" w:line="580" w:lineRule="exact"/>
        <w:jc w:val="center"/>
        <w:rPr>
          <w:rFonts w:ascii="Times New Roman" w:hAnsi="Times New Roman" w:eastAsia="楷体_GB2312" w:cs="Times New Roman"/>
          <w:sz w:val="32"/>
          <w:szCs w:val="32"/>
        </w:rPr>
      </w:pPr>
    </w:p>
    <w:p w14:paraId="71AE7AE2">
      <w:pPr>
        <w:overflowPunct w:val="0"/>
        <w:spacing w:after="312" w:afterLines="100" w:line="580" w:lineRule="exact"/>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北京市大兴区发展和改革委员会</w:t>
      </w:r>
    </w:p>
    <w:p w14:paraId="0B51FE8C">
      <w:pPr>
        <w:overflowPunct w:val="0"/>
        <w:spacing w:after="312" w:afterLines="100" w:line="58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w:t>
      </w:r>
      <w:r>
        <w:rPr>
          <w:rFonts w:ascii="Times New Roman" w:hAnsi="Times New Roman" w:eastAsia="楷体_GB2312" w:cs="Times New Roman"/>
          <w:sz w:val="32"/>
          <w:szCs w:val="32"/>
        </w:rPr>
        <w:t>026年8</w:t>
      </w:r>
      <w:r>
        <w:rPr>
          <w:rFonts w:hint="eastAsia" w:ascii="Times New Roman" w:hAnsi="Times New Roman" w:eastAsia="楷体_GB2312" w:cs="Times New Roman"/>
          <w:sz w:val="32"/>
          <w:szCs w:val="32"/>
        </w:rPr>
        <w:t>月）</w:t>
      </w:r>
    </w:p>
    <w:p w14:paraId="6C2B78C6">
      <w:pPr>
        <w:overflowPunct w:val="0"/>
        <w:spacing w:after="312" w:afterLines="100" w:line="580" w:lineRule="exact"/>
        <w:jc w:val="center"/>
        <w:rPr>
          <w:rFonts w:ascii="Times New Roman" w:hAnsi="Times New Roman" w:eastAsia="楷体_GB2312" w:cs="Times New Roman"/>
          <w:sz w:val="32"/>
          <w:szCs w:val="32"/>
        </w:rPr>
      </w:pPr>
    </w:p>
    <w:p w14:paraId="30A0B6D0">
      <w:pPr>
        <w:overflowPunct w:val="0"/>
        <w:spacing w:after="312" w:afterLines="100" w:line="580" w:lineRule="exact"/>
        <w:jc w:val="center"/>
        <w:rPr>
          <w:rFonts w:ascii="Times New Roman" w:hAnsi="Times New Roman" w:eastAsia="楷体_GB2312" w:cs="Times New Roman"/>
          <w:sz w:val="32"/>
          <w:szCs w:val="32"/>
        </w:rPr>
        <w:sectPr>
          <w:footerReference r:id="rId3" w:type="default"/>
          <w:pgSz w:w="11906" w:h="16838"/>
          <w:pgMar w:top="1984" w:right="1616" w:bottom="1814" w:left="1616" w:header="851" w:footer="992" w:gutter="0"/>
          <w:pgNumType w:fmt="numberInDash"/>
          <w:cols w:space="0" w:num="1"/>
          <w:docGrid w:type="lines" w:linePitch="312" w:charSpace="0"/>
        </w:sectPr>
      </w:pPr>
    </w:p>
    <w:sdt>
      <w:sdtPr>
        <w:rPr>
          <w:rFonts w:asciiTheme="minorHAnsi" w:hAnsiTheme="minorHAnsi" w:eastAsiaTheme="minorEastAsia" w:cstheme="minorBidi"/>
          <w:sz w:val="21"/>
          <w:szCs w:val="24"/>
          <w:lang w:val="zh-CN"/>
        </w:rPr>
        <w:id w:val="-105977196"/>
      </w:sdtPr>
      <w:sdtEndPr>
        <w:rPr>
          <w:rFonts w:asciiTheme="minorHAnsi" w:hAnsiTheme="minorHAnsi" w:eastAsiaTheme="minorEastAsia" w:cstheme="minorBidi"/>
          <w:b/>
          <w:bCs/>
          <w:sz w:val="21"/>
          <w:szCs w:val="24"/>
          <w:lang w:val="zh-CN"/>
        </w:rPr>
      </w:sdtEndPr>
      <w:sdtContent>
        <w:p w14:paraId="63A16EA4">
          <w:pPr>
            <w:pStyle w:val="31"/>
          </w:pPr>
          <w:r>
            <w:rPr>
              <w:lang w:val="zh-CN"/>
            </w:rPr>
            <w:t>目</w:t>
          </w:r>
          <w:r>
            <w:rPr>
              <w:rFonts w:hint="eastAsia"/>
              <w:lang w:val="zh-CN"/>
            </w:rPr>
            <w:t xml:space="preserve"> </w:t>
          </w:r>
          <w:r>
            <w:rPr>
              <w:lang w:val="zh-CN"/>
            </w:rPr>
            <w:t xml:space="preserve"> 录</w:t>
          </w:r>
        </w:p>
        <w:p w14:paraId="595BE7EA">
          <w:pPr>
            <w:pStyle w:val="19"/>
            <w:tabs>
              <w:tab w:val="right" w:leader="dot" w:pos="8664"/>
            </w:tabs>
            <w:spacing w:line="360" w:lineRule="exact"/>
            <w:rPr>
              <w:rStyle w:val="26"/>
              <w:rFonts w:ascii="Times New Roman" w:hAnsi="Times New Roman" w:cs="Times New Roman"/>
              <w:sz w:val="32"/>
              <w:szCs w:val="32"/>
              <w:u w:val="none"/>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TOC \o "1-3" \h \z \u </w:instrText>
          </w:r>
          <w:r>
            <w:rPr>
              <w:rFonts w:ascii="Times New Roman" w:hAnsi="Times New Roman" w:cs="Times New Roman"/>
              <w:sz w:val="32"/>
              <w:szCs w:val="32"/>
            </w:rPr>
            <w:fldChar w:fldCharType="separate"/>
          </w:r>
          <w:r>
            <w:fldChar w:fldCharType="begin"/>
          </w:r>
          <w:r>
            <w:instrText xml:space="preserve"> HYPERLINK \l "_Toc235370244" </w:instrText>
          </w:r>
          <w:r>
            <w:fldChar w:fldCharType="separate"/>
          </w:r>
          <w:r>
            <w:rPr>
              <w:rStyle w:val="26"/>
              <w:rFonts w:hint="eastAsia" w:ascii="Times New Roman" w:hAnsi="Times New Roman" w:eastAsia="黑体" w:cs="Times New Roman"/>
              <w:sz w:val="32"/>
              <w:szCs w:val="32"/>
            </w:rPr>
            <w:t>一、总体要求</w:t>
          </w:r>
          <w:r>
            <w:rPr>
              <w:rStyle w:val="26"/>
              <w:rFonts w:ascii="Times New Roman" w:hAnsi="Times New Roman" w:cs="Times New Roman"/>
              <w:sz w:val="32"/>
              <w:szCs w:val="32"/>
              <w:u w:val="none"/>
            </w:rPr>
            <w:tab/>
          </w:r>
          <w:r>
            <w:rPr>
              <w:rStyle w:val="26"/>
              <w:rFonts w:ascii="Times New Roman" w:hAnsi="Times New Roman" w:cs="Times New Roman"/>
              <w:sz w:val="32"/>
              <w:szCs w:val="32"/>
              <w:u w:val="none"/>
            </w:rPr>
            <w:fldChar w:fldCharType="begin"/>
          </w:r>
          <w:r>
            <w:rPr>
              <w:rStyle w:val="26"/>
              <w:rFonts w:ascii="Times New Roman" w:hAnsi="Times New Roman" w:cs="Times New Roman"/>
              <w:sz w:val="32"/>
              <w:szCs w:val="32"/>
              <w:u w:val="none"/>
            </w:rPr>
            <w:instrText xml:space="preserve"> PAGEREF _Toc235370244 \h </w:instrText>
          </w:r>
          <w:r>
            <w:rPr>
              <w:rStyle w:val="26"/>
              <w:rFonts w:ascii="Times New Roman" w:hAnsi="Times New Roman" w:cs="Times New Roman"/>
              <w:sz w:val="32"/>
              <w:szCs w:val="32"/>
              <w:u w:val="none"/>
            </w:rPr>
            <w:fldChar w:fldCharType="separate"/>
          </w:r>
          <w:r>
            <w:rPr>
              <w:rStyle w:val="26"/>
              <w:rFonts w:ascii="Times New Roman" w:hAnsi="Times New Roman" w:cs="Times New Roman"/>
              <w:sz w:val="32"/>
              <w:szCs w:val="32"/>
              <w:u w:val="none"/>
            </w:rPr>
            <w:t>- 2 -</w:t>
          </w:r>
          <w:r>
            <w:rPr>
              <w:rStyle w:val="26"/>
              <w:rFonts w:ascii="Times New Roman" w:hAnsi="Times New Roman" w:cs="Times New Roman"/>
              <w:sz w:val="32"/>
              <w:szCs w:val="32"/>
              <w:u w:val="none"/>
            </w:rPr>
            <w:fldChar w:fldCharType="end"/>
          </w:r>
          <w:r>
            <w:rPr>
              <w:rStyle w:val="26"/>
              <w:rFonts w:ascii="Times New Roman" w:hAnsi="Times New Roman" w:cs="Times New Roman"/>
              <w:sz w:val="32"/>
              <w:szCs w:val="32"/>
              <w:u w:val="none"/>
            </w:rPr>
            <w:fldChar w:fldCharType="end"/>
          </w:r>
        </w:p>
        <w:p w14:paraId="7E1D88ED">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"_Toc235370245" </w:instrText>
          </w:r>
          <w:r>
            <w:fldChar w:fldCharType="separate"/>
          </w:r>
          <w:r>
            <w:rPr>
              <w:rStyle w:val="26"/>
              <w:rFonts w:hint="eastAsia" w:ascii="Times New Roman" w:hAnsi="Times New Roman" w:eastAsia="黑体" w:cs="Times New Roman"/>
              <w:sz w:val="32"/>
              <w:szCs w:val="32"/>
            </w:rPr>
            <w:t>二、能源安全韧性保障提升行动</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_Toc235370245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- 4 -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6D947A56">
          <w:pPr>
            <w:pStyle w:val="20"/>
            <w:tabs>
              <w:tab w:val="right" w:leader="dot" w:pos="8664"/>
            </w:tabs>
            <w:spacing w:line="360" w:lineRule="exact"/>
            <w:rPr>
              <w:rFonts w:ascii="Times New Roman" w:hAnsi="Times New Roman" w:eastAsia="楷体_GB2312" w:cs="Times New Roman"/>
              <w:sz w:val="32"/>
              <w:szCs w:val="32"/>
            </w:rPr>
          </w:pPr>
          <w:r>
            <w:fldChar w:fldCharType="begin"/>
          </w:r>
          <w:r>
            <w:instrText xml:space="preserve"> HYPERLINK \l "_Toc235370246" </w:instrText>
          </w:r>
          <w:r>
            <w:fldChar w:fldCharType="separate"/>
          </w:r>
          <w:r>
            <w:rPr>
              <w:rStyle w:val="26"/>
              <w:rFonts w:hint="eastAsia" w:ascii="Times New Roman" w:hAnsi="Times New Roman" w:eastAsia="楷体_GB2312" w:cs="Times New Roman"/>
              <w:sz w:val="32"/>
              <w:szCs w:val="32"/>
            </w:rPr>
            <w:t>（一）推进新型电网建设</w:t>
          </w:r>
          <w:r>
            <w:rPr>
              <w:rFonts w:ascii="Times New Roman" w:hAnsi="Times New Roman" w:eastAsia="楷体_GB2312" w:cs="Times New Roman"/>
              <w:sz w:val="32"/>
              <w:szCs w:val="32"/>
            </w:rPr>
            <w:tab/>
          </w:r>
          <w:r>
            <w:rPr>
              <w:rFonts w:ascii="Times New Roman" w:hAnsi="Times New Roman" w:eastAsia="楷体_GB2312" w:cs="Times New Roman"/>
              <w:sz w:val="32"/>
              <w:szCs w:val="32"/>
            </w:rPr>
            <w:fldChar w:fldCharType="begin"/>
          </w:r>
          <w:r>
            <w:rPr>
              <w:rFonts w:ascii="Times New Roman" w:hAnsi="Times New Roman" w:eastAsia="楷体_GB2312" w:cs="Times New Roman"/>
              <w:sz w:val="32"/>
              <w:szCs w:val="32"/>
            </w:rPr>
            <w:instrText xml:space="preserve"> PAGEREF _Toc235370246 \h </w:instrText>
          </w:r>
          <w:r>
            <w:rPr>
              <w:rFonts w:ascii="Times New Roman" w:hAnsi="Times New Roman" w:eastAsia="楷体_GB2312" w:cs="Times New Roman"/>
              <w:sz w:val="32"/>
              <w:szCs w:val="32"/>
            </w:rPr>
            <w:fldChar w:fldCharType="separate"/>
          </w:r>
          <w:r>
            <w:rPr>
              <w:rFonts w:ascii="Times New Roman" w:hAnsi="Times New Roman" w:eastAsia="楷体_GB2312" w:cs="Times New Roman"/>
              <w:sz w:val="32"/>
              <w:szCs w:val="32"/>
            </w:rPr>
            <w:t>- 4 -</w:t>
          </w:r>
          <w:r>
            <w:rPr>
              <w:rFonts w:ascii="Times New Roman" w:hAnsi="Times New Roman" w:eastAsia="楷体_GB2312" w:cs="Times New Roman"/>
              <w:sz w:val="32"/>
              <w:szCs w:val="32"/>
            </w:rPr>
            <w:fldChar w:fldCharType="end"/>
          </w:r>
          <w:r>
            <w:rPr>
              <w:rFonts w:ascii="Times New Roman" w:hAnsi="Times New Roman" w:eastAsia="楷体_GB2312" w:cs="Times New Roman"/>
              <w:sz w:val="32"/>
              <w:szCs w:val="32"/>
            </w:rPr>
            <w:fldChar w:fldCharType="end"/>
          </w:r>
        </w:p>
        <w:p w14:paraId="3206F3D4">
          <w:pPr>
            <w:pStyle w:val="20"/>
            <w:tabs>
              <w:tab w:val="right" w:leader="dot" w:pos="8664"/>
            </w:tabs>
            <w:spacing w:line="360" w:lineRule="exact"/>
            <w:rPr>
              <w:rFonts w:ascii="Times New Roman" w:hAnsi="Times New Roman" w:eastAsia="楷体_GB2312" w:cs="Times New Roman"/>
              <w:sz w:val="32"/>
              <w:szCs w:val="32"/>
            </w:rPr>
          </w:pPr>
          <w:r>
            <w:fldChar w:fldCharType="begin"/>
          </w:r>
          <w:r>
            <w:instrText xml:space="preserve"> HYPERLINK \l "_Toc235370247" </w:instrText>
          </w:r>
          <w:r>
            <w:fldChar w:fldCharType="separate"/>
          </w:r>
          <w:r>
            <w:rPr>
              <w:rStyle w:val="26"/>
              <w:rFonts w:hint="eastAsia" w:ascii="Times New Roman" w:hAnsi="Times New Roman" w:eastAsia="楷体_GB2312" w:cs="Times New Roman"/>
              <w:sz w:val="32"/>
              <w:szCs w:val="32"/>
            </w:rPr>
            <w:t>（二）加强化石能源供应保障</w:t>
          </w:r>
          <w:r>
            <w:rPr>
              <w:rFonts w:ascii="Times New Roman" w:hAnsi="Times New Roman" w:eastAsia="楷体_GB2312" w:cs="Times New Roman"/>
              <w:sz w:val="32"/>
              <w:szCs w:val="32"/>
            </w:rPr>
            <w:tab/>
          </w:r>
          <w:r>
            <w:rPr>
              <w:rFonts w:ascii="Times New Roman" w:hAnsi="Times New Roman" w:eastAsia="楷体_GB2312" w:cs="Times New Roman"/>
              <w:sz w:val="32"/>
              <w:szCs w:val="32"/>
            </w:rPr>
            <w:fldChar w:fldCharType="begin"/>
          </w:r>
          <w:r>
            <w:rPr>
              <w:rFonts w:ascii="Times New Roman" w:hAnsi="Times New Roman" w:eastAsia="楷体_GB2312" w:cs="Times New Roman"/>
              <w:sz w:val="32"/>
              <w:szCs w:val="32"/>
            </w:rPr>
            <w:instrText xml:space="preserve"> PAGEREF _Toc235370247 \h </w:instrText>
          </w:r>
          <w:r>
            <w:rPr>
              <w:rFonts w:ascii="Times New Roman" w:hAnsi="Times New Roman" w:eastAsia="楷体_GB2312" w:cs="Times New Roman"/>
              <w:sz w:val="32"/>
              <w:szCs w:val="32"/>
            </w:rPr>
            <w:fldChar w:fldCharType="separate"/>
          </w:r>
          <w:r>
            <w:rPr>
              <w:rFonts w:ascii="Times New Roman" w:hAnsi="Times New Roman" w:eastAsia="楷体_GB2312" w:cs="Times New Roman"/>
              <w:sz w:val="32"/>
              <w:szCs w:val="32"/>
            </w:rPr>
            <w:t>- 5 -</w:t>
          </w:r>
          <w:r>
            <w:rPr>
              <w:rFonts w:ascii="Times New Roman" w:hAnsi="Times New Roman" w:eastAsia="楷体_GB2312" w:cs="Times New Roman"/>
              <w:sz w:val="32"/>
              <w:szCs w:val="32"/>
            </w:rPr>
            <w:fldChar w:fldCharType="end"/>
          </w:r>
          <w:r>
            <w:rPr>
              <w:rFonts w:ascii="Times New Roman" w:hAnsi="Times New Roman" w:eastAsia="楷体_GB2312" w:cs="Times New Roman"/>
              <w:sz w:val="32"/>
              <w:szCs w:val="32"/>
            </w:rPr>
            <w:fldChar w:fldCharType="end"/>
          </w:r>
        </w:p>
        <w:p w14:paraId="2FA5F543">
          <w:pPr>
            <w:pStyle w:val="20"/>
            <w:tabs>
              <w:tab w:val="right" w:leader="dot" w:pos="8664"/>
            </w:tabs>
            <w:spacing w:line="360" w:lineRule="exact"/>
            <w:rPr>
              <w:rFonts w:ascii="Times New Roman" w:hAnsi="Times New Roman" w:eastAsia="楷体_GB2312" w:cs="Times New Roman"/>
              <w:sz w:val="32"/>
              <w:szCs w:val="32"/>
            </w:rPr>
          </w:pPr>
          <w:r>
            <w:fldChar w:fldCharType="begin"/>
          </w:r>
          <w:r>
            <w:instrText xml:space="preserve"> HYPERLINK \l "_Toc235370248" </w:instrText>
          </w:r>
          <w:r>
            <w:fldChar w:fldCharType="separate"/>
          </w:r>
          <w:r>
            <w:rPr>
              <w:rStyle w:val="26"/>
              <w:rFonts w:hint="eastAsia" w:ascii="Times New Roman" w:hAnsi="Times New Roman" w:eastAsia="楷体_GB2312" w:cs="Times New Roman"/>
              <w:sz w:val="32"/>
              <w:szCs w:val="32"/>
            </w:rPr>
            <w:t>（三）建设分区能源保障网络</w:t>
          </w:r>
          <w:r>
            <w:rPr>
              <w:rFonts w:ascii="Times New Roman" w:hAnsi="Times New Roman" w:eastAsia="楷体_GB2312" w:cs="Times New Roman"/>
              <w:sz w:val="32"/>
              <w:szCs w:val="32"/>
            </w:rPr>
            <w:tab/>
          </w:r>
          <w:r>
            <w:rPr>
              <w:rFonts w:ascii="Times New Roman" w:hAnsi="Times New Roman" w:eastAsia="楷体_GB2312" w:cs="Times New Roman"/>
              <w:sz w:val="32"/>
              <w:szCs w:val="32"/>
            </w:rPr>
            <w:fldChar w:fldCharType="begin"/>
          </w:r>
          <w:r>
            <w:rPr>
              <w:rFonts w:ascii="Times New Roman" w:hAnsi="Times New Roman" w:eastAsia="楷体_GB2312" w:cs="Times New Roman"/>
              <w:sz w:val="32"/>
              <w:szCs w:val="32"/>
            </w:rPr>
            <w:instrText xml:space="preserve"> PAGEREF _Toc235370248 \h </w:instrText>
          </w:r>
          <w:r>
            <w:rPr>
              <w:rFonts w:ascii="Times New Roman" w:hAnsi="Times New Roman" w:eastAsia="楷体_GB2312" w:cs="Times New Roman"/>
              <w:sz w:val="32"/>
              <w:szCs w:val="32"/>
            </w:rPr>
            <w:fldChar w:fldCharType="separate"/>
          </w:r>
          <w:r>
            <w:rPr>
              <w:rFonts w:ascii="Times New Roman" w:hAnsi="Times New Roman" w:eastAsia="楷体_GB2312" w:cs="Times New Roman"/>
              <w:sz w:val="32"/>
              <w:szCs w:val="32"/>
            </w:rPr>
            <w:t>- 6 -</w:t>
          </w:r>
          <w:r>
            <w:rPr>
              <w:rFonts w:ascii="Times New Roman" w:hAnsi="Times New Roman" w:eastAsia="楷体_GB2312" w:cs="Times New Roman"/>
              <w:sz w:val="32"/>
              <w:szCs w:val="32"/>
            </w:rPr>
            <w:fldChar w:fldCharType="end"/>
          </w:r>
          <w:r>
            <w:rPr>
              <w:rFonts w:ascii="Times New Roman" w:hAnsi="Times New Roman" w:eastAsia="楷体_GB2312" w:cs="Times New Roman"/>
              <w:sz w:val="32"/>
              <w:szCs w:val="32"/>
            </w:rPr>
            <w:fldChar w:fldCharType="end"/>
          </w:r>
        </w:p>
        <w:p w14:paraId="0D90BFAA">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"_Toc235370249" </w:instrText>
          </w:r>
          <w:r>
            <w:fldChar w:fldCharType="separate"/>
          </w:r>
          <w:r>
            <w:rPr>
              <w:rStyle w:val="26"/>
              <w:rFonts w:hint="eastAsia" w:ascii="Times New Roman" w:hAnsi="Times New Roman" w:eastAsia="黑体" w:cs="Times New Roman"/>
              <w:sz w:val="32"/>
              <w:szCs w:val="32"/>
            </w:rPr>
            <w:t>三、可再生能源高质量开发利用行动</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_Toc235370249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- 7 -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6D249691">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"_Toc235370250" </w:instrText>
          </w:r>
          <w:r>
            <w:fldChar w:fldCharType="separate"/>
          </w:r>
          <w:r>
            <w:rPr>
              <w:rStyle w:val="26"/>
              <w:rFonts w:hint="eastAsia" w:ascii="Times New Roman" w:hAnsi="Times New Roman" w:eastAsia="楷体_GB2312" w:cs="Times New Roman"/>
              <w:sz w:val="32"/>
              <w:szCs w:val="32"/>
            </w:rPr>
            <w:t>（一）推动非化石能源高质量开发</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_Toc235370250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- 7 -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0C035055">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"_Toc235370251" </w:instrText>
          </w:r>
          <w:r>
            <w:fldChar w:fldCharType="separate"/>
          </w:r>
          <w:r>
            <w:rPr>
              <w:rStyle w:val="26"/>
              <w:rFonts w:hint="eastAsia" w:ascii="Times New Roman" w:hAnsi="Times New Roman" w:eastAsia="楷体_GB2312" w:cs="Times New Roman"/>
              <w:sz w:val="32"/>
              <w:szCs w:val="32"/>
            </w:rPr>
            <w:t>（二）加快建设新型电力系统</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_Toc235370251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- 8 -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7AEB1063">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"_Toc235370252" </w:instrText>
          </w:r>
          <w:r>
            <w:fldChar w:fldCharType="separate"/>
          </w:r>
          <w:r>
            <w:rPr>
              <w:rStyle w:val="26"/>
              <w:rFonts w:hint="eastAsia" w:ascii="Times New Roman" w:hAnsi="Times New Roman" w:eastAsia="楷体_GB2312" w:cs="Times New Roman"/>
              <w:sz w:val="32"/>
              <w:szCs w:val="32"/>
            </w:rPr>
            <w:t>（三）创新建设新型热力系统</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_Toc235370252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- 9 -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641FFAE6">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"_Toc235370253" </w:instrText>
          </w:r>
          <w:r>
            <w:fldChar w:fldCharType="separate"/>
          </w:r>
          <w:r>
            <w:rPr>
              <w:rStyle w:val="26"/>
              <w:rFonts w:hint="eastAsia" w:ascii="Times New Roman" w:hAnsi="Times New Roman" w:eastAsia="楷体_GB2312" w:cs="Times New Roman"/>
              <w:sz w:val="32"/>
              <w:szCs w:val="32"/>
            </w:rPr>
            <w:t>（四）打造重点区域绿色能源亮点工程</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_Toc235370253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- 9 -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15F9AC27">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"_Toc235370254" </w:instrText>
          </w:r>
          <w:r>
            <w:fldChar w:fldCharType="separate"/>
          </w:r>
          <w:r>
            <w:rPr>
              <w:rStyle w:val="26"/>
              <w:rFonts w:hint="eastAsia" w:ascii="Times New Roman" w:hAnsi="Times New Roman" w:eastAsia="黑体" w:cs="Times New Roman"/>
              <w:sz w:val="32"/>
              <w:szCs w:val="32"/>
            </w:rPr>
            <w:t>四、消费体系节能降碳转型行动</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_Toc235370254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- 11 -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7EB8FE48">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"_Toc235370255" </w:instrText>
          </w:r>
          <w:r>
            <w:fldChar w:fldCharType="separate"/>
          </w:r>
          <w:r>
            <w:rPr>
              <w:rStyle w:val="26"/>
              <w:rFonts w:hint="eastAsia" w:ascii="Times New Roman" w:hAnsi="Times New Roman" w:eastAsia="楷体_GB2312" w:cs="Times New Roman"/>
              <w:sz w:val="32"/>
              <w:szCs w:val="32"/>
            </w:rPr>
            <w:t>（一）强化节能降碳制度约束</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_Toc235370255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- 11 -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1765BB66">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"_Toc235370256" </w:instrText>
          </w:r>
          <w:r>
            <w:fldChar w:fldCharType="separate"/>
          </w:r>
          <w:r>
            <w:rPr>
              <w:rStyle w:val="26"/>
              <w:rFonts w:hint="eastAsia" w:ascii="Times New Roman" w:hAnsi="Times New Roman" w:eastAsia="楷体_GB2312" w:cs="Times New Roman"/>
              <w:sz w:val="32"/>
              <w:szCs w:val="32"/>
            </w:rPr>
            <w:t>（二）推进产业用能绿色转型</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_Toc235370256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- 11 -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349CEB7D">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"_Toc235370257" </w:instrText>
          </w:r>
          <w:r>
            <w:fldChar w:fldCharType="separate"/>
          </w:r>
          <w:r>
            <w:rPr>
              <w:rStyle w:val="26"/>
              <w:rFonts w:hint="eastAsia" w:ascii="Times New Roman" w:hAnsi="Times New Roman" w:eastAsia="楷体_GB2312" w:cs="Times New Roman"/>
              <w:sz w:val="32"/>
              <w:szCs w:val="32"/>
            </w:rPr>
            <w:t>（三）推进交通用能清洁低碳转型</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_Toc235370257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- 12 -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1FAA937E">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"_Toc235370258" </w:instrText>
          </w:r>
          <w:r>
            <w:fldChar w:fldCharType="separate"/>
          </w:r>
          <w:r>
            <w:rPr>
              <w:rStyle w:val="26"/>
              <w:rFonts w:hint="eastAsia" w:ascii="Times New Roman" w:hAnsi="Times New Roman" w:eastAsia="楷体_GB2312" w:cs="Times New Roman"/>
              <w:sz w:val="32"/>
              <w:szCs w:val="32"/>
            </w:rPr>
            <w:t>（四）提升建筑领域能效水平</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_Toc235370258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- 13 -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2B77E448">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"_Toc235370259" </w:instrText>
          </w:r>
          <w:r>
            <w:fldChar w:fldCharType="separate"/>
          </w:r>
          <w:r>
            <w:rPr>
              <w:rStyle w:val="26"/>
              <w:rFonts w:hint="eastAsia" w:ascii="Times New Roman" w:hAnsi="Times New Roman" w:eastAsia="黑体" w:cs="Times New Roman"/>
              <w:sz w:val="32"/>
              <w:szCs w:val="32"/>
            </w:rPr>
            <w:t>五、先进绿色能源产业培育行动</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_Toc235370259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- 13 -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463E5F17">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"_Toc235370260" </w:instrText>
          </w:r>
          <w:r>
            <w:fldChar w:fldCharType="separate"/>
          </w:r>
          <w:r>
            <w:rPr>
              <w:rStyle w:val="26"/>
              <w:rFonts w:hint="eastAsia" w:ascii="Times New Roman" w:hAnsi="Times New Roman" w:eastAsia="楷体_GB2312" w:cs="Times New Roman"/>
              <w:sz w:val="32"/>
              <w:szCs w:val="32"/>
            </w:rPr>
            <w:t>（一）推动氢能产业健康有序发展</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_Toc235370260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- 13 -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29F7C94C">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"_Toc235370261" </w:instrText>
          </w:r>
          <w:r>
            <w:fldChar w:fldCharType="separate"/>
          </w:r>
          <w:r>
            <w:rPr>
              <w:rStyle w:val="26"/>
              <w:rFonts w:hint="eastAsia" w:ascii="Times New Roman" w:hAnsi="Times New Roman" w:eastAsia="楷体_GB2312" w:cs="Times New Roman"/>
              <w:sz w:val="32"/>
              <w:szCs w:val="32"/>
            </w:rPr>
            <w:t>（二）加快新能源技术集成创新示范</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_Toc235370261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- 15 -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0E3E7844">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"_Toc235370262" </w:instrText>
          </w:r>
          <w:r>
            <w:fldChar w:fldCharType="separate"/>
          </w:r>
          <w:r>
            <w:rPr>
              <w:rStyle w:val="26"/>
              <w:rFonts w:hint="eastAsia" w:ascii="Times New Roman" w:hAnsi="Times New Roman" w:eastAsia="楷体_GB2312" w:cs="Times New Roman"/>
              <w:sz w:val="32"/>
              <w:szCs w:val="32"/>
            </w:rPr>
            <w:t>（三）培育能源领域生产性服务业</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_Toc235370262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- 14 -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58C300F5">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"_Toc235370263" </w:instrText>
          </w:r>
          <w:r>
            <w:fldChar w:fldCharType="separate"/>
          </w:r>
          <w:r>
            <w:rPr>
              <w:rStyle w:val="26"/>
              <w:rFonts w:hint="eastAsia" w:ascii="Times New Roman" w:hAnsi="Times New Roman" w:eastAsia="黑体" w:cs="Times New Roman"/>
              <w:sz w:val="32"/>
              <w:szCs w:val="32"/>
            </w:rPr>
            <w:t>六、能源治理体系和治理能力现代化行动</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_Toc235370263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- 15 -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5938EA00">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"_Toc235370264" </w:instrText>
          </w:r>
          <w:r>
            <w:fldChar w:fldCharType="separate"/>
          </w:r>
          <w:r>
            <w:rPr>
              <w:rStyle w:val="26"/>
              <w:rFonts w:hint="eastAsia" w:ascii="Times New Roman" w:hAnsi="Times New Roman" w:eastAsia="楷体_GB2312" w:cs="Times New Roman"/>
              <w:sz w:val="32"/>
              <w:szCs w:val="32"/>
            </w:rPr>
            <w:t>（一）加快完善能源治理体系</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_Toc235370264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- 16 -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2DB30C5E">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"_Toc235370265" </w:instrText>
          </w:r>
          <w:r>
            <w:fldChar w:fldCharType="separate"/>
          </w:r>
          <w:r>
            <w:rPr>
              <w:rStyle w:val="26"/>
              <w:rFonts w:hint="eastAsia" w:ascii="Times New Roman" w:hAnsi="Times New Roman" w:eastAsia="楷体_GB2312" w:cs="Times New Roman"/>
              <w:sz w:val="32"/>
              <w:szCs w:val="32"/>
            </w:rPr>
            <w:t>（二）构建数字智慧能源治理平台</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_Toc235370265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- 16 -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5E93CE17">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"_Toc235370266" </w:instrText>
          </w:r>
          <w:r>
            <w:fldChar w:fldCharType="separate"/>
          </w:r>
          <w:r>
            <w:rPr>
              <w:rStyle w:val="26"/>
              <w:rFonts w:hint="eastAsia" w:ascii="Times New Roman" w:hAnsi="Times New Roman" w:eastAsia="黑体" w:cs="Times New Roman"/>
              <w:sz w:val="32"/>
              <w:szCs w:val="32"/>
            </w:rPr>
            <w:t>七、高水平能源合作共享行动</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_Toc235370266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- 17 -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565B5254">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"_Toc235370267" </w:instrText>
          </w:r>
          <w:r>
            <w:fldChar w:fldCharType="separate"/>
          </w:r>
          <w:r>
            <w:rPr>
              <w:rStyle w:val="26"/>
              <w:rFonts w:hint="eastAsia" w:ascii="Times New Roman" w:hAnsi="Times New Roman" w:eastAsia="楷体_GB2312" w:cs="Times New Roman"/>
              <w:sz w:val="32"/>
              <w:szCs w:val="32"/>
            </w:rPr>
            <w:t>（一）深度融入京津冀能源协同发展</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_Toc235370267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- 17 -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5612C167">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"_Toc235370268" </w:instrText>
          </w:r>
          <w:r>
            <w:fldChar w:fldCharType="separate"/>
          </w:r>
          <w:r>
            <w:rPr>
              <w:rStyle w:val="26"/>
              <w:rFonts w:hint="eastAsia" w:ascii="Times New Roman" w:hAnsi="Times New Roman" w:eastAsia="楷体_GB2312" w:cs="Times New Roman"/>
              <w:sz w:val="32"/>
              <w:szCs w:val="32"/>
            </w:rPr>
            <w:t>（二）促进能源领域民营经济加快发展</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_Toc235370268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- 17 -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4684884D">
          <w:pPr>
            <w:pStyle w:val="20"/>
            <w:tabs>
              <w:tab w:val="right" w:leader="dot" w:pos="8664"/>
            </w:tabs>
            <w:spacing w:line="360" w:lineRule="exact"/>
            <w:rPr>
              <w:rStyle w:val="26"/>
              <w:rFonts w:ascii="Times New Roman" w:hAnsi="Times New Roman" w:eastAsia="楷体_GB2312" w:cs="Times New Roman"/>
              <w:sz w:val="32"/>
              <w:szCs w:val="32"/>
            </w:rPr>
          </w:pPr>
          <w:r>
            <w:fldChar w:fldCharType="begin"/>
          </w:r>
          <w:r>
            <w:instrText xml:space="preserve"> HYPERLINK \l "_Toc235370269" </w:instrText>
          </w:r>
          <w:r>
            <w:fldChar w:fldCharType="separate"/>
          </w:r>
          <w:r>
            <w:rPr>
              <w:rStyle w:val="26"/>
              <w:rFonts w:hint="eastAsia" w:ascii="Times New Roman" w:hAnsi="Times New Roman" w:eastAsia="楷体_GB2312" w:cs="Times New Roman"/>
              <w:sz w:val="32"/>
              <w:szCs w:val="32"/>
            </w:rPr>
            <w:t>（三）推动城乡共享能源发展成果</w:t>
          </w:r>
          <w:r>
            <w:rPr>
              <w:rStyle w:val="26"/>
              <w:rFonts w:ascii="Times New Roman" w:hAnsi="Times New Roman" w:eastAsia="楷体_GB2312" w:cs="Times New Roman"/>
              <w:sz w:val="32"/>
              <w:szCs w:val="32"/>
            </w:rPr>
            <w:tab/>
          </w:r>
          <w:r>
            <w:rPr>
              <w:rStyle w:val="26"/>
              <w:rFonts w:ascii="Times New Roman" w:hAnsi="Times New Roman" w:eastAsia="楷体_GB2312" w:cs="Times New Roman"/>
              <w:sz w:val="32"/>
              <w:szCs w:val="32"/>
            </w:rPr>
            <w:fldChar w:fldCharType="begin"/>
          </w:r>
          <w:r>
            <w:rPr>
              <w:rStyle w:val="26"/>
              <w:rFonts w:ascii="Times New Roman" w:hAnsi="Times New Roman" w:eastAsia="楷体_GB2312" w:cs="Times New Roman"/>
              <w:sz w:val="32"/>
              <w:szCs w:val="32"/>
            </w:rPr>
            <w:instrText xml:space="preserve"> PAGEREF _Toc235370269 \h </w:instrText>
          </w:r>
          <w:r>
            <w:rPr>
              <w:rStyle w:val="26"/>
              <w:rFonts w:ascii="Times New Roman" w:hAnsi="Times New Roman" w:eastAsia="楷体_GB2312" w:cs="Times New Roman"/>
              <w:sz w:val="32"/>
              <w:szCs w:val="32"/>
            </w:rPr>
            <w:fldChar w:fldCharType="separate"/>
          </w:r>
          <w:r>
            <w:rPr>
              <w:rStyle w:val="26"/>
              <w:rFonts w:ascii="Times New Roman" w:hAnsi="Times New Roman" w:eastAsia="楷体_GB2312" w:cs="Times New Roman"/>
              <w:sz w:val="32"/>
              <w:szCs w:val="32"/>
            </w:rPr>
            <w:t>- 18 -</w:t>
          </w:r>
          <w:r>
            <w:rPr>
              <w:rStyle w:val="26"/>
              <w:rFonts w:ascii="Times New Roman" w:hAnsi="Times New Roman" w:eastAsia="楷体_GB2312" w:cs="Times New Roman"/>
              <w:sz w:val="32"/>
              <w:szCs w:val="32"/>
            </w:rPr>
            <w:fldChar w:fldCharType="end"/>
          </w:r>
          <w:r>
            <w:rPr>
              <w:rStyle w:val="26"/>
              <w:rFonts w:ascii="Times New Roman" w:hAnsi="Times New Roman" w:eastAsia="楷体_GB2312" w:cs="Times New Roman"/>
              <w:sz w:val="32"/>
              <w:szCs w:val="32"/>
            </w:rPr>
            <w:fldChar w:fldCharType="end"/>
          </w:r>
        </w:p>
        <w:p w14:paraId="1D33F7FE">
          <w:pPr>
            <w:pStyle w:val="19"/>
            <w:tabs>
              <w:tab w:val="right" w:leader="dot" w:pos="8664"/>
            </w:tabs>
            <w:spacing w:line="360" w:lineRule="exact"/>
            <w:rPr>
              <w:rStyle w:val="26"/>
              <w:rFonts w:ascii="Times New Roman" w:hAnsi="Times New Roman" w:eastAsia="黑体" w:cs="Times New Roman"/>
              <w:sz w:val="32"/>
              <w:szCs w:val="32"/>
              <w:u w:val="none"/>
            </w:rPr>
          </w:pPr>
          <w:r>
            <w:fldChar w:fldCharType="begin"/>
          </w:r>
          <w:r>
            <w:instrText xml:space="preserve"> HYPERLINK \l "_Toc235370271" </w:instrText>
          </w:r>
          <w:r>
            <w:fldChar w:fldCharType="separate"/>
          </w:r>
          <w:r>
            <w:rPr>
              <w:rStyle w:val="26"/>
              <w:rFonts w:hint="eastAsia" w:ascii="Times New Roman" w:hAnsi="Times New Roman" w:eastAsia="黑体" w:cs="Times New Roman"/>
              <w:sz w:val="32"/>
              <w:szCs w:val="32"/>
              <w:lang w:val="en-US" w:eastAsia="zh-CN"/>
            </w:rPr>
            <w:t>八</w:t>
          </w:r>
          <w:r>
            <w:rPr>
              <w:rStyle w:val="26"/>
              <w:rFonts w:hint="eastAsia" w:ascii="Times New Roman" w:hAnsi="Times New Roman" w:eastAsia="黑体" w:cs="Times New Roman"/>
              <w:sz w:val="32"/>
              <w:szCs w:val="32"/>
            </w:rPr>
            <w:t>、保障措施</w:t>
          </w:r>
          <w:r>
            <w:rPr>
              <w:rStyle w:val="26"/>
              <w:rFonts w:ascii="Times New Roman" w:hAnsi="Times New Roman" w:eastAsia="黑体" w:cs="Times New Roman"/>
              <w:sz w:val="32"/>
              <w:szCs w:val="32"/>
              <w:u w:val="none"/>
            </w:rPr>
            <w:tab/>
          </w:r>
          <w:r>
            <w:rPr>
              <w:rStyle w:val="26"/>
              <w:rFonts w:ascii="Times New Roman" w:hAnsi="Times New Roman" w:eastAsia="黑体" w:cs="Times New Roman"/>
              <w:sz w:val="32"/>
              <w:szCs w:val="32"/>
              <w:u w:val="none"/>
            </w:rPr>
            <w:fldChar w:fldCharType="begin"/>
          </w:r>
          <w:r>
            <w:rPr>
              <w:rStyle w:val="26"/>
              <w:rFonts w:ascii="Times New Roman" w:hAnsi="Times New Roman" w:eastAsia="黑体" w:cs="Times New Roman"/>
              <w:sz w:val="32"/>
              <w:szCs w:val="32"/>
              <w:u w:val="none"/>
            </w:rPr>
            <w:instrText xml:space="preserve"> PAGEREF _Toc235370271 \h </w:instrText>
          </w:r>
          <w:r>
            <w:rPr>
              <w:rStyle w:val="26"/>
              <w:rFonts w:ascii="Times New Roman" w:hAnsi="Times New Roman" w:eastAsia="黑体" w:cs="Times New Roman"/>
              <w:sz w:val="32"/>
              <w:szCs w:val="32"/>
              <w:u w:val="none"/>
            </w:rPr>
            <w:fldChar w:fldCharType="separate"/>
          </w:r>
          <w:r>
            <w:rPr>
              <w:rStyle w:val="26"/>
              <w:rFonts w:ascii="Times New Roman" w:hAnsi="Times New Roman" w:eastAsia="黑体" w:cs="Times New Roman"/>
              <w:sz w:val="32"/>
              <w:szCs w:val="32"/>
              <w:u w:val="none"/>
            </w:rPr>
            <w:t>- 19 -</w:t>
          </w:r>
          <w:r>
            <w:rPr>
              <w:rStyle w:val="26"/>
              <w:rFonts w:ascii="Times New Roman" w:hAnsi="Times New Roman" w:eastAsia="黑体" w:cs="Times New Roman"/>
              <w:sz w:val="32"/>
              <w:szCs w:val="32"/>
              <w:u w:val="none"/>
            </w:rPr>
            <w:fldChar w:fldCharType="end"/>
          </w:r>
          <w:r>
            <w:rPr>
              <w:rStyle w:val="26"/>
              <w:rFonts w:ascii="Times New Roman" w:hAnsi="Times New Roman" w:eastAsia="黑体" w:cs="Times New Roman"/>
              <w:sz w:val="32"/>
              <w:szCs w:val="32"/>
              <w:u w:val="none"/>
            </w:rPr>
            <w:fldChar w:fldCharType="end"/>
          </w:r>
        </w:p>
        <w:p w14:paraId="1DD35A86">
          <w:pPr>
            <w:spacing w:line="400" w:lineRule="exact"/>
          </w:pPr>
          <w:r>
            <w:rPr>
              <w:rFonts w:ascii="Times New Roman" w:hAnsi="Times New Roman" w:cs="Times New Roman"/>
              <w:b/>
              <w:bCs/>
              <w:sz w:val="32"/>
              <w:szCs w:val="32"/>
              <w:lang w:val="zh-CN"/>
            </w:rPr>
            <w:fldChar w:fldCharType="end"/>
          </w:r>
        </w:p>
      </w:sdtContent>
    </w:sdt>
    <w:p w14:paraId="648F68EB">
      <w:pPr>
        <w:pStyle w:val="39"/>
        <w:ind w:firstLine="640"/>
      </w:pPr>
    </w:p>
    <w:p w14:paraId="59FBB5F5">
      <w:pPr>
        <w:pStyle w:val="39"/>
        <w:ind w:firstLine="640"/>
        <w:sectPr>
          <w:headerReference r:id="rId4" w:type="default"/>
          <w:footerReference r:id="rId5" w:type="default"/>
          <w:pgSz w:w="11906" w:h="16838"/>
          <w:pgMar w:top="1984" w:right="1616" w:bottom="1814" w:left="1616" w:header="851" w:footer="992" w:gutter="0"/>
          <w:pgNumType w:fmt="numberInDash" w:start="1"/>
          <w:cols w:space="0" w:num="1"/>
          <w:docGrid w:type="lines" w:linePitch="312" w:charSpace="0"/>
        </w:sectPr>
      </w:pPr>
    </w:p>
    <w:p w14:paraId="0022719E">
      <w:pPr>
        <w:pStyle w:val="39"/>
        <w:ind w:firstLine="640"/>
      </w:pPr>
      <w:r>
        <w:t>“十五五”时期，为科学引领大兴区能源高质量发展，</w:t>
      </w:r>
      <w:r>
        <w:rPr>
          <w:rFonts w:hint="eastAsia"/>
        </w:rPr>
        <w:t>加快构建清洁低碳、安全高效的新型能源体系，制定本规划。</w:t>
      </w:r>
    </w:p>
    <w:p w14:paraId="49F07BDA">
      <w:pPr>
        <w:pStyle w:val="35"/>
      </w:pPr>
      <w:bookmarkStart w:id="2" w:name="_Toc235370244"/>
      <w:r>
        <w:rPr>
          <w:rFonts w:hint="eastAsia"/>
        </w:rPr>
        <w:t>一、</w:t>
      </w:r>
      <w:r>
        <w:t>总体要求</w:t>
      </w:r>
      <w:bookmarkEnd w:id="2"/>
    </w:p>
    <w:p w14:paraId="18E6289F">
      <w:pPr>
        <w:pStyle w:val="39"/>
        <w:ind w:firstLine="640"/>
      </w:pPr>
      <w:bookmarkStart w:id="3" w:name="OLE_LINK54"/>
      <w:r>
        <w:rPr>
          <w:rFonts w:hint="eastAsia"/>
        </w:rPr>
        <w:t>以习近平新时代中国特色社会主义思想为指导，全面落实党的二十大和二十届历次全会精神，坚持稳中求进工作总基调，</w:t>
      </w:r>
      <w:r>
        <w:rPr>
          <w:rFonts w:hint="eastAsia" w:ascii="仿宋_GB2312" w:hAnsi="仿宋_GB2312" w:cs="仿宋_GB2312"/>
        </w:rPr>
        <w:t>立足新发展阶段，完整准确全面贯彻新发展理念，</w:t>
      </w:r>
      <w:r>
        <w:rPr>
          <w:rFonts w:hint="eastAsia"/>
        </w:rPr>
        <w:t>深入落实习近平总书记对北京重要讲话精神，认真落实“四个革命、一个合作”能源安全新战略，贯彻落实市委十三届历次全会精神，以融入和服务新时代首都发展为统领，锚定“三区一门户”功能定位，坚持</w:t>
      </w:r>
      <w:r>
        <w:rPr>
          <w:rFonts w:hint="eastAsia" w:ascii="仿宋_GB2312" w:hAnsi="仿宋_GB2312" w:cs="仿宋_GB2312"/>
        </w:rPr>
        <w:t>以推进能源高质量发展为主线，</w:t>
      </w:r>
      <w:r>
        <w:rPr>
          <w:rFonts w:hint="eastAsia"/>
        </w:rPr>
        <w:t>以安全保供为基石，以绿色高效发展为导向，以智慧创新为引擎，以区域协同为纽带，以民生保障为宗旨，着力构建清洁低碳、安全高效的新型能源体系，为大兴区</w:t>
      </w:r>
      <w:r>
        <w:t>建设</w:t>
      </w:r>
      <w:r>
        <w:rPr>
          <w:rFonts w:hint="eastAsia"/>
        </w:rPr>
        <w:t>“协同发展示范区、繁荣开放国门新城”提供强劲绿色发展动能。</w:t>
      </w:r>
    </w:p>
    <w:bookmarkEnd w:id="3"/>
    <w:p w14:paraId="3F7533F8">
      <w:pPr>
        <w:pStyle w:val="39"/>
        <w:ind w:firstLine="640"/>
      </w:pPr>
      <w:r>
        <w:rPr>
          <w:rFonts w:hint="eastAsia"/>
        </w:rPr>
        <w:t>到2030年，大兴区安全韧性、绿色节能、智慧创新的新型能源体系基本建成。</w:t>
      </w:r>
      <w:r>
        <w:t>能源多元供应格局</w:t>
      </w:r>
      <w:r>
        <w:rPr>
          <w:rFonts w:hint="eastAsia"/>
        </w:rPr>
        <w:t>稳固筑牢</w:t>
      </w:r>
      <w:r>
        <w:t>，能源安全保障能力全面升级；绿色低碳能源消费结构基本形成，消费结构和利用效率进一步优化；</w:t>
      </w:r>
      <w:r>
        <w:rPr>
          <w:rFonts w:hint="eastAsia"/>
        </w:rPr>
        <w:t>绿色能源产业核心竞争力显著增强，创新驱动发展局面初步形成；能源治理能力和治理体系现代化水平有效提升；能源合作更加广泛，京津冀协同发展桥头堡战略定位更加稳固，能源惠民水平显著提升。</w:t>
      </w:r>
    </w:p>
    <w:p w14:paraId="66BDDE47">
      <w:pPr>
        <w:pStyle w:val="39"/>
        <w:ind w:firstLine="640"/>
      </w:pPr>
      <w:r>
        <w:rPr>
          <w:rFonts w:hint="eastAsia"/>
        </w:rPr>
        <w:t>能源安全韧性水平显著提升。电力主干网架结构持续强化， 500千伏网架外受电能力及供电保障能力有效提升，东西贯通、南北互济的220千伏电网格局进一步加强，110千伏电网重点负荷接入能力显著提高。全区燃气输配管网系统布局更加完善，气源场站及高压-次高压-中压三级管网体系全面建成，区域燃气系统重大隐患实现动态清零。供热基础设施保障能力稳步提升，绿色低碳、多能耦合、互联互济、智能高效的供热系统加速构建。</w:t>
      </w:r>
      <w:bookmarkStart w:id="4" w:name="OLE_LINK39"/>
    </w:p>
    <w:p w14:paraId="15549047">
      <w:pPr>
        <w:pStyle w:val="39"/>
        <w:ind w:firstLine="640"/>
      </w:pPr>
      <w:r>
        <w:rPr>
          <w:rFonts w:hint="eastAsia"/>
        </w:rPr>
        <w:t>绿色转型发展卓有成效。本地非化石能源开发持续加快，分布式光伏装机显著</w:t>
      </w:r>
      <w:r>
        <w:rPr>
          <w:rFonts w:hint="eastAsia"/>
          <w:lang w:eastAsia="zh-CN"/>
        </w:rPr>
        <w:t>增长</w:t>
      </w:r>
      <w:r>
        <w:rPr>
          <w:rFonts w:hint="eastAsia"/>
        </w:rPr>
        <w:t>，新能源和可再生能源耦合供热面积占比完成市级下达指标。能源消费结构持续优化，非化石能源占比完成市级下达指标，绿电交易规模进一步扩大。</w:t>
      </w:r>
    </w:p>
    <w:p w14:paraId="780B21F7">
      <w:pPr>
        <w:pStyle w:val="39"/>
        <w:ind w:firstLine="640"/>
      </w:pPr>
      <w:bookmarkStart w:id="5" w:name="OLE_LINK28"/>
      <w:r>
        <w:rPr>
          <w:rFonts w:hint="eastAsia"/>
        </w:rPr>
        <w:t>节能降碳水平稳步提升。能源利用效率大幅提高，重点行业和单位用能管理更加精细高效，清洁替代比例有效增加，能效标杆水平进一步提升。</w:t>
      </w:r>
    </w:p>
    <w:bookmarkEnd w:id="5"/>
    <w:p w14:paraId="1192FA9D">
      <w:pPr>
        <w:pStyle w:val="39"/>
        <w:ind w:firstLine="640"/>
      </w:pPr>
      <w:r>
        <w:rPr>
          <w:rFonts w:hint="eastAsia"/>
        </w:rPr>
        <w:t>智慧创新能力显著增强。新型电力系统建设取得示范性突破，电力负荷资源精细化管理能力显著提升，一批虚拟电厂、车网互动等试点建成运行，能源系统智慧化运行水平明显提升。</w:t>
      </w:r>
    </w:p>
    <w:p w14:paraId="460A27CB">
      <w:pPr>
        <w:spacing w:before="15" w:beforeLines="5" w:after="15" w:afterLines="5" w:line="560" w:lineRule="exact"/>
        <w:jc w:val="center"/>
        <w:rPr>
          <w:rFonts w:ascii="仿宋" w:hAnsi="仿宋" w:eastAsia="仿宋" w:cs="宋体"/>
          <w:color w:val="000000"/>
          <w:sz w:val="28"/>
          <w:szCs w:val="32"/>
        </w:rPr>
      </w:pPr>
      <w:bookmarkStart w:id="6" w:name="_Toc657272961_WPSOffice_Level2"/>
      <w:r>
        <w:rPr>
          <w:rFonts w:hint="eastAsia" w:ascii="仿宋" w:hAnsi="仿宋" w:eastAsia="仿宋" w:cs="宋体"/>
          <w:color w:val="000000"/>
          <w:sz w:val="28"/>
          <w:szCs w:val="32"/>
        </w:rPr>
        <w:t>专栏</w:t>
      </w:r>
      <w:r>
        <w:rPr>
          <w:rFonts w:ascii="仿宋" w:hAnsi="仿宋" w:eastAsia="仿宋" w:cs="宋体"/>
          <w:color w:val="000000"/>
          <w:sz w:val="28"/>
          <w:szCs w:val="32"/>
        </w:rPr>
        <w:t xml:space="preserve">1  </w:t>
      </w:r>
      <w:r>
        <w:rPr>
          <w:rFonts w:hint="eastAsia" w:ascii="仿宋" w:hAnsi="仿宋" w:eastAsia="仿宋" w:cs="宋体"/>
          <w:color w:val="000000"/>
          <w:sz w:val="28"/>
          <w:szCs w:val="32"/>
        </w:rPr>
        <w:t>“十五五”时期能源领域发展指标</w:t>
      </w:r>
      <w:bookmarkEnd w:id="6"/>
    </w:p>
    <w:tbl>
      <w:tblPr>
        <w:tblStyle w:val="23"/>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5"/>
        <w:gridCol w:w="1288"/>
        <w:gridCol w:w="2904"/>
        <w:gridCol w:w="957"/>
        <w:gridCol w:w="851"/>
        <w:gridCol w:w="2410"/>
      </w:tblGrid>
      <w:tr w14:paraId="0156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tblHeader/>
          <w:jc w:val="center"/>
        </w:trPr>
        <w:tc>
          <w:tcPr>
            <w:tcW w:w="425" w:type="dxa"/>
            <w:tcBorders>
              <w:bottom w:val="single" w:color="auto" w:sz="4" w:space="0"/>
            </w:tcBorders>
            <w:vAlign w:val="center"/>
          </w:tcPr>
          <w:p w14:paraId="77CA50CB">
            <w:pPr>
              <w:overflowPunct w:val="0"/>
              <w:topLinePunct/>
              <w:adjustRightInd w:val="0"/>
              <w:snapToGrid w:val="0"/>
              <w:rPr>
                <w:rFonts w:ascii="黑体" w:hAnsi="黑体" w:eastAsia="黑体" w:cs="黑体"/>
                <w:color w:val="000000"/>
                <w:szCs w:val="21"/>
              </w:rPr>
            </w:pPr>
          </w:p>
        </w:tc>
        <w:tc>
          <w:tcPr>
            <w:tcW w:w="1288" w:type="dxa"/>
            <w:tcBorders>
              <w:bottom w:val="single" w:color="auto" w:sz="4" w:space="0"/>
            </w:tcBorders>
            <w:vAlign w:val="center"/>
          </w:tcPr>
          <w:p w14:paraId="62744C4F">
            <w:pPr>
              <w:overflowPunct w:val="0"/>
              <w:topLinePunct/>
              <w:adjustRightInd w:val="0"/>
              <w:snapToGrid w:val="0"/>
              <w:rPr>
                <w:rFonts w:ascii="黑体" w:hAnsi="黑体" w:eastAsia="黑体" w:cs="黑体"/>
                <w:color w:val="000000"/>
                <w:szCs w:val="21"/>
              </w:rPr>
            </w:pPr>
          </w:p>
        </w:tc>
        <w:tc>
          <w:tcPr>
            <w:tcW w:w="2904" w:type="dxa"/>
            <w:tcBorders>
              <w:bottom w:val="single" w:color="auto" w:sz="4" w:space="0"/>
            </w:tcBorders>
            <w:vAlign w:val="center"/>
          </w:tcPr>
          <w:p w14:paraId="611C3497">
            <w:pPr>
              <w:overflowPunct w:val="0"/>
              <w:topLinePunct/>
              <w:adjustRightInd w:val="0"/>
              <w:snapToGrid w:val="0"/>
              <w:rPr>
                <w:rFonts w:ascii="黑体" w:hAnsi="黑体" w:eastAsia="黑体" w:cs="黑体"/>
                <w:color w:val="000000"/>
                <w:szCs w:val="21"/>
              </w:rPr>
            </w:pPr>
            <w:r>
              <w:rPr>
                <w:rFonts w:hint="eastAsia" w:ascii="黑体" w:hAnsi="黑体" w:eastAsia="黑体" w:cs="黑体"/>
                <w:color w:val="000000"/>
                <w:szCs w:val="21"/>
              </w:rPr>
              <w:t>指标</w:t>
            </w:r>
          </w:p>
        </w:tc>
        <w:tc>
          <w:tcPr>
            <w:tcW w:w="957" w:type="dxa"/>
            <w:tcBorders>
              <w:bottom w:val="single" w:color="auto" w:sz="4" w:space="0"/>
            </w:tcBorders>
            <w:vAlign w:val="center"/>
          </w:tcPr>
          <w:p w14:paraId="53AE9E35">
            <w:pPr>
              <w:overflowPunct w:val="0"/>
              <w:topLinePunct/>
              <w:adjustRightInd w:val="0"/>
              <w:snapToGrid w:val="0"/>
              <w:rPr>
                <w:rFonts w:ascii="黑体" w:hAnsi="黑体" w:eastAsia="黑体" w:cs="黑体"/>
                <w:color w:val="000000"/>
                <w:szCs w:val="21"/>
              </w:rPr>
            </w:pPr>
            <w:r>
              <w:rPr>
                <w:rFonts w:hint="eastAsia" w:ascii="黑体" w:hAnsi="黑体" w:eastAsia="黑体" w:cs="黑体"/>
                <w:color w:val="000000"/>
                <w:szCs w:val="21"/>
              </w:rPr>
              <w:t>单位</w:t>
            </w:r>
          </w:p>
        </w:tc>
        <w:tc>
          <w:tcPr>
            <w:tcW w:w="851" w:type="dxa"/>
            <w:tcBorders>
              <w:bottom w:val="single" w:color="auto" w:sz="4" w:space="0"/>
            </w:tcBorders>
            <w:vAlign w:val="center"/>
          </w:tcPr>
          <w:p w14:paraId="34C754FC">
            <w:pPr>
              <w:overflowPunct w:val="0"/>
              <w:topLinePunct/>
              <w:adjustRightInd w:val="0"/>
              <w:snapToGrid w:val="0"/>
              <w:rPr>
                <w:rFonts w:ascii="黑体" w:hAnsi="黑体" w:eastAsia="黑体" w:cs="黑体"/>
                <w:color w:val="000000"/>
                <w:szCs w:val="21"/>
              </w:rPr>
            </w:pPr>
            <w:r>
              <w:rPr>
                <w:rFonts w:hint="eastAsia" w:ascii="黑体" w:hAnsi="黑体" w:eastAsia="黑体" w:cs="黑体"/>
                <w:color w:val="000000"/>
                <w:szCs w:val="21"/>
              </w:rPr>
              <w:t>2025年</w:t>
            </w:r>
          </w:p>
        </w:tc>
        <w:tc>
          <w:tcPr>
            <w:tcW w:w="2410" w:type="dxa"/>
            <w:tcBorders>
              <w:bottom w:val="single" w:color="auto" w:sz="4" w:space="0"/>
            </w:tcBorders>
            <w:vAlign w:val="center"/>
          </w:tcPr>
          <w:p w14:paraId="4A6C43CE">
            <w:pPr>
              <w:overflowPunct w:val="0"/>
              <w:topLinePunct/>
              <w:adjustRightInd w:val="0"/>
              <w:snapToGrid w:val="0"/>
              <w:rPr>
                <w:rFonts w:ascii="黑体" w:hAnsi="黑体" w:eastAsia="黑体" w:cs="黑体"/>
                <w:color w:val="000000"/>
                <w:szCs w:val="21"/>
              </w:rPr>
            </w:pPr>
            <w:r>
              <w:rPr>
                <w:rFonts w:hint="eastAsia" w:ascii="黑体" w:hAnsi="黑体" w:eastAsia="黑体" w:cs="黑体"/>
                <w:color w:val="000000"/>
                <w:szCs w:val="21"/>
              </w:rPr>
              <w:t>2030年目标</w:t>
            </w:r>
          </w:p>
        </w:tc>
      </w:tr>
      <w:tr w14:paraId="5A63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25" w:type="dxa"/>
            <w:tcBorders>
              <w:top w:val="single" w:color="auto" w:sz="4" w:space="0"/>
            </w:tcBorders>
            <w:vAlign w:val="center"/>
          </w:tcPr>
          <w:p w14:paraId="3399E62C">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88" w:type="dxa"/>
            <w:tcBorders>
              <w:top w:val="single" w:color="auto" w:sz="4" w:space="0"/>
            </w:tcBorders>
            <w:vAlign w:val="center"/>
          </w:tcPr>
          <w:p w14:paraId="3BF5F171">
            <w:pPr>
              <w:overflowPunct w:val="0"/>
              <w:topLinePunct/>
              <w:adjustRightInd w:val="0"/>
              <w:snapToGrid w:val="0"/>
              <w:rPr>
                <w:rFonts w:ascii="仿宋_GB2312" w:hAnsi="仿宋_GB2312" w:eastAsia="仿宋_GB2312" w:cs="仿宋_GB2312"/>
                <w:color w:val="000000"/>
                <w:szCs w:val="21"/>
              </w:rPr>
            </w:pPr>
            <w:r>
              <w:rPr>
                <w:rFonts w:ascii="仿宋_GB2312" w:hAnsi="仿宋_GB2312" w:eastAsia="仿宋_GB2312" w:cs="仿宋_GB2312"/>
                <w:color w:val="000000"/>
                <w:szCs w:val="21"/>
              </w:rPr>
              <w:t>约束性指标</w:t>
            </w:r>
          </w:p>
        </w:tc>
        <w:tc>
          <w:tcPr>
            <w:tcW w:w="2904" w:type="dxa"/>
            <w:tcBorders>
              <w:top w:val="single" w:color="auto" w:sz="4" w:space="0"/>
            </w:tcBorders>
            <w:vAlign w:val="center"/>
          </w:tcPr>
          <w:p w14:paraId="338CD404">
            <w:pPr>
              <w:overflowPunct w:val="0"/>
              <w:topLinePunct/>
              <w:adjustRightInd w:val="0"/>
              <w:snapToGrid w:val="0"/>
              <w:rPr>
                <w:rFonts w:ascii="仿宋_GB2312" w:hAnsi="仿宋_GB2312" w:eastAsia="仿宋_GB2312" w:cs="仿宋_GB2312"/>
                <w:color w:val="000000"/>
                <w:szCs w:val="21"/>
              </w:rPr>
            </w:pPr>
            <w:r>
              <w:rPr>
                <w:rFonts w:ascii="仿宋_GB2312" w:hAnsi="仿宋_GB2312" w:eastAsia="仿宋_GB2312" w:cs="仿宋_GB2312"/>
                <w:color w:val="000000"/>
                <w:szCs w:val="21"/>
              </w:rPr>
              <w:t>非化石能源消费占比</w:t>
            </w:r>
          </w:p>
        </w:tc>
        <w:tc>
          <w:tcPr>
            <w:tcW w:w="957" w:type="dxa"/>
            <w:tcBorders>
              <w:top w:val="single" w:color="auto" w:sz="4" w:space="0"/>
            </w:tcBorders>
            <w:vAlign w:val="center"/>
          </w:tcPr>
          <w:p w14:paraId="7E8B70C4">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w:t>
            </w:r>
          </w:p>
        </w:tc>
        <w:tc>
          <w:tcPr>
            <w:tcW w:w="851" w:type="dxa"/>
            <w:tcBorders>
              <w:top w:val="single" w:color="auto" w:sz="4" w:space="0"/>
            </w:tcBorders>
            <w:vAlign w:val="center"/>
          </w:tcPr>
          <w:p w14:paraId="0ECBA1B2">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lang w:val="en-US" w:eastAsia="zh-CN"/>
              </w:rPr>
              <w:t>28.6</w:t>
            </w:r>
          </w:p>
        </w:tc>
        <w:tc>
          <w:tcPr>
            <w:tcW w:w="2410" w:type="dxa"/>
            <w:tcBorders>
              <w:top w:val="single" w:color="auto" w:sz="4" w:space="0"/>
            </w:tcBorders>
            <w:vAlign w:val="center"/>
          </w:tcPr>
          <w:p w14:paraId="778213B4">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32.6（以市级下达为准）</w:t>
            </w:r>
          </w:p>
        </w:tc>
      </w:tr>
      <w:tr w14:paraId="32D3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25" w:type="dxa"/>
            <w:tcBorders>
              <w:top w:val="single" w:color="auto" w:sz="4" w:space="0"/>
            </w:tcBorders>
            <w:vAlign w:val="center"/>
          </w:tcPr>
          <w:p w14:paraId="636D58A3">
            <w:pPr>
              <w:overflowPunct w:val="0"/>
              <w:topLinePunct/>
              <w:adjustRightInd w:val="0"/>
              <w:snapToGrid w:val="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2</w:t>
            </w:r>
          </w:p>
        </w:tc>
        <w:tc>
          <w:tcPr>
            <w:tcW w:w="1288" w:type="dxa"/>
            <w:tcBorders>
              <w:top w:val="single" w:color="auto" w:sz="4" w:space="0"/>
            </w:tcBorders>
            <w:vAlign w:val="center"/>
          </w:tcPr>
          <w:p w14:paraId="49021A35">
            <w:pPr>
              <w:overflowPunct w:val="0"/>
              <w:topLinePunct/>
              <w:adjustRightInd w:val="0"/>
              <w:snapToGrid w:val="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约束性指标</w:t>
            </w:r>
          </w:p>
        </w:tc>
        <w:tc>
          <w:tcPr>
            <w:tcW w:w="2904" w:type="dxa"/>
            <w:tcBorders>
              <w:top w:val="single" w:color="auto" w:sz="4" w:space="0"/>
            </w:tcBorders>
            <w:vAlign w:val="center"/>
          </w:tcPr>
          <w:p w14:paraId="1A16483C">
            <w:pPr>
              <w:overflowPunct w:val="0"/>
              <w:topLinePunct/>
              <w:adjustRightInd w:val="0"/>
              <w:snapToGrid w:val="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单位地区生产总值二氧化碳排放降幅</w:t>
            </w:r>
          </w:p>
        </w:tc>
        <w:tc>
          <w:tcPr>
            <w:tcW w:w="957" w:type="dxa"/>
            <w:tcBorders>
              <w:top w:val="single" w:color="auto" w:sz="4" w:space="0"/>
            </w:tcBorders>
            <w:vAlign w:val="center"/>
          </w:tcPr>
          <w:p w14:paraId="0B17E979">
            <w:pPr>
              <w:overflowPunct w:val="0"/>
              <w:topLinePunct/>
              <w:adjustRightInd w:val="0"/>
              <w:snapToGrid w:val="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w:t>
            </w:r>
          </w:p>
        </w:tc>
        <w:tc>
          <w:tcPr>
            <w:tcW w:w="851" w:type="dxa"/>
            <w:tcBorders>
              <w:top w:val="single" w:color="auto" w:sz="4" w:space="0"/>
            </w:tcBorders>
            <w:vAlign w:val="center"/>
          </w:tcPr>
          <w:p w14:paraId="26C3F2AC">
            <w:pPr>
              <w:overflowPunct w:val="0"/>
              <w:topLinePunct/>
              <w:adjustRightInd w:val="0"/>
              <w:snapToGrid w:val="0"/>
              <w:rPr>
                <w:rFonts w:hint="eastAsia" w:ascii="仿宋_GB2312" w:hAnsi="仿宋_GB2312" w:eastAsia="仿宋_GB2312" w:cs="仿宋_GB2312"/>
                <w:color w:val="000000"/>
                <w:lang w:val="en-US" w:eastAsia="zh-CN"/>
              </w:rPr>
            </w:pPr>
            <w:r>
              <w:rPr>
                <w:rFonts w:hint="eastAsia" w:ascii="仿宋_GB2312" w:hAnsi="仿宋_GB2312" w:eastAsia="仿宋_GB2312" w:cs="仿宋_GB2312"/>
                <w:color w:val="000000"/>
                <w:szCs w:val="21"/>
              </w:rPr>
              <w:t>-</w:t>
            </w:r>
          </w:p>
        </w:tc>
        <w:tc>
          <w:tcPr>
            <w:tcW w:w="2410" w:type="dxa"/>
            <w:tcBorders>
              <w:top w:val="single" w:color="auto" w:sz="4" w:space="0"/>
            </w:tcBorders>
            <w:vAlign w:val="center"/>
          </w:tcPr>
          <w:p w14:paraId="737F584C">
            <w:pPr>
              <w:overflowPunct w:val="0"/>
              <w:topLinePunct/>
              <w:adjustRightInd w:val="0"/>
              <w:snapToGrid w:val="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以市级下达为准</w:t>
            </w:r>
          </w:p>
        </w:tc>
      </w:tr>
      <w:tr w14:paraId="6F7B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14:paraId="0D7684CC">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3</w:t>
            </w:r>
          </w:p>
        </w:tc>
        <w:tc>
          <w:tcPr>
            <w:tcW w:w="1288" w:type="dxa"/>
            <w:tcBorders>
              <w:top w:val="single" w:color="auto" w:sz="4" w:space="0"/>
              <w:left w:val="single" w:color="auto" w:sz="4" w:space="0"/>
              <w:bottom w:val="single" w:color="auto" w:sz="4" w:space="0"/>
              <w:right w:val="single" w:color="auto" w:sz="4" w:space="0"/>
            </w:tcBorders>
            <w:vAlign w:val="center"/>
          </w:tcPr>
          <w:p w14:paraId="0A06A1FB">
            <w:pPr>
              <w:overflowPunct w:val="0"/>
              <w:topLinePunct/>
              <w:adjustRightInd w:val="0"/>
              <w:snapToGrid w:val="0"/>
              <w:rPr>
                <w:rFonts w:ascii="仿宋_GB2312" w:hAnsi="仿宋_GB2312" w:eastAsia="仿宋_GB2312" w:cs="仿宋_GB2312"/>
                <w:color w:val="000000"/>
                <w:szCs w:val="21"/>
              </w:rPr>
            </w:pPr>
            <w:r>
              <w:rPr>
                <w:rFonts w:ascii="仿宋_GB2312" w:hAnsi="仿宋_GB2312" w:eastAsia="仿宋_GB2312" w:cs="仿宋_GB2312"/>
                <w:color w:val="000000"/>
                <w:szCs w:val="21"/>
              </w:rPr>
              <w:t>预期性指标</w:t>
            </w:r>
          </w:p>
        </w:tc>
        <w:tc>
          <w:tcPr>
            <w:tcW w:w="2904" w:type="dxa"/>
            <w:tcBorders>
              <w:top w:val="single" w:color="auto" w:sz="4" w:space="0"/>
              <w:left w:val="single" w:color="auto" w:sz="4" w:space="0"/>
              <w:bottom w:val="single" w:color="auto" w:sz="4" w:space="0"/>
              <w:right w:val="single" w:color="auto" w:sz="4" w:space="0"/>
            </w:tcBorders>
            <w:vAlign w:val="center"/>
          </w:tcPr>
          <w:p w14:paraId="0C3DA2C9">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本地分布式光伏装机</w:t>
            </w:r>
          </w:p>
        </w:tc>
        <w:tc>
          <w:tcPr>
            <w:tcW w:w="957" w:type="dxa"/>
            <w:tcBorders>
              <w:top w:val="single" w:color="auto" w:sz="4" w:space="0"/>
              <w:left w:val="single" w:color="auto" w:sz="4" w:space="0"/>
              <w:bottom w:val="single" w:color="auto" w:sz="4" w:space="0"/>
              <w:right w:val="single" w:color="auto" w:sz="4" w:space="0"/>
            </w:tcBorders>
            <w:vAlign w:val="center"/>
          </w:tcPr>
          <w:p w14:paraId="50223E80">
            <w:pPr>
              <w:overflowPunct w:val="0"/>
              <w:topLinePunct/>
              <w:adjustRightInd w:val="0"/>
              <w:snapToGrid w:val="0"/>
              <w:rPr>
                <w:rFonts w:ascii="仿宋_GB2312" w:hAnsi="仿宋_GB2312" w:eastAsia="仿宋_GB2312" w:cs="仿宋_GB2312"/>
                <w:color w:val="000000"/>
                <w:szCs w:val="21"/>
              </w:rPr>
            </w:pPr>
            <w:r>
              <w:rPr>
                <w:rFonts w:ascii="仿宋_GB2312" w:hAnsi="仿宋_GB2312" w:eastAsia="仿宋_GB2312" w:cs="仿宋_GB2312"/>
                <w:color w:val="000000"/>
                <w:szCs w:val="21"/>
              </w:rPr>
              <w:t>万千瓦</w:t>
            </w:r>
          </w:p>
        </w:tc>
        <w:tc>
          <w:tcPr>
            <w:tcW w:w="851" w:type="dxa"/>
            <w:tcBorders>
              <w:top w:val="single" w:color="auto" w:sz="4" w:space="0"/>
              <w:left w:val="single" w:color="auto" w:sz="4" w:space="0"/>
              <w:bottom w:val="single" w:color="auto" w:sz="4" w:space="0"/>
              <w:right w:val="single" w:color="auto" w:sz="4" w:space="0"/>
            </w:tcBorders>
            <w:vAlign w:val="center"/>
          </w:tcPr>
          <w:p w14:paraId="258DC054">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22</w:t>
            </w:r>
          </w:p>
        </w:tc>
        <w:tc>
          <w:tcPr>
            <w:tcW w:w="2410" w:type="dxa"/>
            <w:tcBorders>
              <w:top w:val="single" w:color="auto" w:sz="4" w:space="0"/>
              <w:left w:val="single" w:color="auto" w:sz="4" w:space="0"/>
              <w:bottom w:val="single" w:color="auto" w:sz="4" w:space="0"/>
              <w:right w:val="single" w:color="auto" w:sz="4" w:space="0"/>
            </w:tcBorders>
            <w:vAlign w:val="center"/>
          </w:tcPr>
          <w:p w14:paraId="66847FB3">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r>
              <w:rPr>
                <w:rFonts w:ascii="仿宋_GB2312" w:hAnsi="仿宋_GB2312" w:eastAsia="仿宋_GB2312" w:cs="仿宋_GB2312"/>
                <w:color w:val="000000"/>
                <w:szCs w:val="21"/>
              </w:rPr>
              <w:t>0</w:t>
            </w:r>
          </w:p>
        </w:tc>
      </w:tr>
      <w:tr w14:paraId="04FD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14:paraId="4BA762A5">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4</w:t>
            </w:r>
          </w:p>
        </w:tc>
        <w:tc>
          <w:tcPr>
            <w:tcW w:w="1288" w:type="dxa"/>
            <w:tcBorders>
              <w:top w:val="single" w:color="auto" w:sz="4" w:space="0"/>
              <w:left w:val="single" w:color="auto" w:sz="4" w:space="0"/>
              <w:bottom w:val="single" w:color="auto" w:sz="4" w:space="0"/>
              <w:right w:val="single" w:color="auto" w:sz="4" w:space="0"/>
            </w:tcBorders>
            <w:vAlign w:val="center"/>
          </w:tcPr>
          <w:p w14:paraId="55A464F0">
            <w:pPr>
              <w:overflowPunct w:val="0"/>
              <w:topLinePunct/>
              <w:adjustRightInd w:val="0"/>
              <w:snapToGrid w:val="0"/>
              <w:rPr>
                <w:rFonts w:ascii="仿宋_GB2312" w:hAnsi="仿宋_GB2312" w:eastAsia="仿宋_GB2312" w:cs="仿宋_GB2312"/>
                <w:color w:val="000000"/>
                <w:szCs w:val="21"/>
              </w:rPr>
            </w:pPr>
            <w:r>
              <w:rPr>
                <w:rFonts w:ascii="仿宋_GB2312" w:hAnsi="仿宋_GB2312" w:eastAsia="仿宋_GB2312" w:cs="仿宋_GB2312"/>
                <w:color w:val="000000"/>
                <w:szCs w:val="21"/>
              </w:rPr>
              <w:t>预期性指标</w:t>
            </w:r>
          </w:p>
        </w:tc>
        <w:tc>
          <w:tcPr>
            <w:tcW w:w="2904" w:type="dxa"/>
            <w:tcBorders>
              <w:top w:val="single" w:color="auto" w:sz="4" w:space="0"/>
              <w:left w:val="single" w:color="auto" w:sz="4" w:space="0"/>
              <w:bottom w:val="single" w:color="auto" w:sz="4" w:space="0"/>
              <w:right w:val="single" w:color="auto" w:sz="4" w:space="0"/>
            </w:tcBorders>
            <w:vAlign w:val="center"/>
          </w:tcPr>
          <w:p w14:paraId="439562B7">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本地可再生能源供热面积</w:t>
            </w:r>
          </w:p>
        </w:tc>
        <w:tc>
          <w:tcPr>
            <w:tcW w:w="957" w:type="dxa"/>
            <w:tcBorders>
              <w:top w:val="single" w:color="auto" w:sz="4" w:space="0"/>
              <w:left w:val="single" w:color="auto" w:sz="4" w:space="0"/>
              <w:bottom w:val="single" w:color="auto" w:sz="4" w:space="0"/>
              <w:right w:val="single" w:color="auto" w:sz="4" w:space="0"/>
            </w:tcBorders>
            <w:vAlign w:val="center"/>
          </w:tcPr>
          <w:p w14:paraId="4DFFB9A9">
            <w:pPr>
              <w:overflowPunct w:val="0"/>
              <w:topLinePunct/>
              <w:adjustRightInd w:val="0"/>
              <w:snapToGrid w:val="0"/>
              <w:rPr>
                <w:rFonts w:ascii="仿宋_GB2312" w:hAnsi="仿宋_GB2312" w:eastAsia="仿宋_GB2312" w:cs="仿宋_GB2312"/>
                <w:color w:val="000000"/>
                <w:szCs w:val="21"/>
              </w:rPr>
            </w:pPr>
            <w:r>
              <w:rPr>
                <w:rFonts w:ascii="仿宋_GB2312" w:hAnsi="仿宋_GB2312" w:eastAsia="仿宋_GB2312" w:cs="仿宋_GB2312"/>
                <w:color w:val="000000"/>
                <w:szCs w:val="21"/>
              </w:rPr>
              <w:t>万平方米</w:t>
            </w:r>
          </w:p>
        </w:tc>
        <w:tc>
          <w:tcPr>
            <w:tcW w:w="851" w:type="dxa"/>
            <w:tcBorders>
              <w:top w:val="single" w:color="auto" w:sz="4" w:space="0"/>
              <w:left w:val="single" w:color="auto" w:sz="4" w:space="0"/>
              <w:bottom w:val="single" w:color="auto" w:sz="4" w:space="0"/>
              <w:right w:val="single" w:color="auto" w:sz="4" w:space="0"/>
            </w:tcBorders>
            <w:vAlign w:val="center"/>
          </w:tcPr>
          <w:p w14:paraId="0D7596E3">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r>
              <w:rPr>
                <w:rFonts w:ascii="仿宋_GB2312" w:hAnsi="仿宋_GB2312" w:eastAsia="仿宋_GB2312" w:cs="仿宋_GB2312"/>
                <w:color w:val="000000"/>
                <w:szCs w:val="21"/>
              </w:rPr>
              <w:t>80</w:t>
            </w:r>
          </w:p>
        </w:tc>
        <w:tc>
          <w:tcPr>
            <w:tcW w:w="2410" w:type="dxa"/>
            <w:tcBorders>
              <w:top w:val="single" w:color="auto" w:sz="4" w:space="0"/>
              <w:left w:val="single" w:color="auto" w:sz="4" w:space="0"/>
              <w:bottom w:val="single" w:color="auto" w:sz="4" w:space="0"/>
              <w:right w:val="single" w:color="auto" w:sz="4" w:space="0"/>
            </w:tcBorders>
            <w:vAlign w:val="center"/>
          </w:tcPr>
          <w:p w14:paraId="444C7385">
            <w:pPr>
              <w:overflowPunct w:val="0"/>
              <w:topLinePunct/>
              <w:adjustRightInd w:val="0"/>
              <w:snapToGrid w:val="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8</w:t>
            </w:r>
            <w:r>
              <w:rPr>
                <w:rFonts w:ascii="仿宋_GB2312" w:hAnsi="仿宋_GB2312" w:eastAsia="仿宋_GB2312" w:cs="仿宋_GB2312"/>
                <w:color w:val="000000"/>
                <w:szCs w:val="21"/>
              </w:rPr>
              <w:t>00</w:t>
            </w:r>
          </w:p>
        </w:tc>
      </w:tr>
      <w:bookmarkEnd w:id="4"/>
    </w:tbl>
    <w:p w14:paraId="3A6BE050">
      <w:pPr>
        <w:pStyle w:val="35"/>
      </w:pPr>
      <w:bookmarkStart w:id="7" w:name="_Toc235370245"/>
      <w:r>
        <w:rPr>
          <w:rFonts w:hint="eastAsia"/>
        </w:rPr>
        <w:t>二、能源安全</w:t>
      </w:r>
      <w:r>
        <w:t>韧性保障提升行动</w:t>
      </w:r>
      <w:bookmarkEnd w:id="7"/>
    </w:p>
    <w:p w14:paraId="3DDCB1BB">
      <w:pPr>
        <w:pStyle w:val="36"/>
      </w:pPr>
      <w:bookmarkStart w:id="8" w:name="_Toc235370246"/>
      <w:r>
        <w:t>（</w:t>
      </w:r>
      <w:r>
        <w:rPr>
          <w:rFonts w:hint="eastAsia"/>
        </w:rPr>
        <w:t>一</w:t>
      </w:r>
      <w:r>
        <w:t>）加快推进</w:t>
      </w:r>
      <w:r>
        <w:rPr>
          <w:rFonts w:hint="eastAsia"/>
        </w:rPr>
        <w:t>新型</w:t>
      </w:r>
      <w:r>
        <w:t>电网建设</w:t>
      </w:r>
      <w:bookmarkEnd w:id="8"/>
    </w:p>
    <w:p w14:paraId="5A18B0FC">
      <w:pPr>
        <w:pStyle w:val="39"/>
        <w:ind w:firstLine="640"/>
      </w:pPr>
      <w:r>
        <w:t>推动构建</w:t>
      </w:r>
      <w:r>
        <w:rPr>
          <w:rFonts w:hint="eastAsia"/>
        </w:rPr>
        <w:t>500千伏“兴”字形网架。</w:t>
      </w:r>
      <w:r>
        <w:t>规划</w:t>
      </w:r>
      <w:r>
        <w:rPr>
          <w:rFonts w:hint="eastAsia"/>
        </w:rPr>
        <w:t>建设松辽清洁能源基地送电华北配套500千伏送出工程、涿州电厂二期500千伏送出线路工程，加强外地绿电受入能力，强化大兴作为首都南部电力枢纽的功能定位。</w:t>
      </w:r>
      <w:bookmarkStart w:id="9" w:name="OLE_LINK24"/>
      <w:bookmarkStart w:id="10" w:name="OLE_LINK23"/>
      <w:bookmarkStart w:id="11" w:name="OLE_LINK29"/>
      <w:bookmarkStart w:id="12" w:name="OLE_LINK20"/>
      <w:r>
        <w:rPr>
          <w:rFonts w:hint="eastAsia"/>
        </w:rPr>
        <w:t>推进新航城</w:t>
      </w:r>
      <w:bookmarkEnd w:id="9"/>
      <w:bookmarkEnd w:id="10"/>
      <w:r>
        <w:rPr>
          <w:rFonts w:hint="eastAsia"/>
        </w:rPr>
        <w:t>500千伏变电站主变扩建工程</w:t>
      </w:r>
      <w:r>
        <w:rPr>
          <w:rFonts w:hint="eastAsia"/>
          <w:lang w:eastAsia="zh-CN"/>
        </w:rPr>
        <w:t>、</w:t>
      </w:r>
      <w:r>
        <w:rPr>
          <w:rFonts w:hint="eastAsia"/>
          <w:lang w:val="en-US" w:eastAsia="zh-CN"/>
        </w:rPr>
        <w:t>南海500千伏变电站规划建设工程</w:t>
      </w:r>
      <w:r>
        <w:rPr>
          <w:rFonts w:hint="eastAsia"/>
        </w:rPr>
        <w:t>，</w:t>
      </w:r>
      <w:bookmarkEnd w:id="11"/>
      <w:bookmarkEnd w:id="12"/>
      <w:r>
        <w:rPr>
          <w:rFonts w:hint="eastAsia"/>
        </w:rPr>
        <w:t>增强</w:t>
      </w:r>
      <w:bookmarkStart w:id="13" w:name="OLE_LINK3"/>
      <w:r>
        <w:rPr>
          <w:rFonts w:hint="eastAsia"/>
        </w:rPr>
        <w:t>临空经济区</w:t>
      </w:r>
      <w:bookmarkEnd w:id="13"/>
      <w:r>
        <w:rPr>
          <w:rFonts w:hint="eastAsia"/>
        </w:rPr>
        <w:t>、</w:t>
      </w:r>
      <w:r>
        <w:rPr>
          <w:rFonts w:hint="eastAsia"/>
          <w:lang w:val="en-US" w:eastAsia="zh-CN"/>
        </w:rPr>
        <w:t>京南创芯港</w:t>
      </w:r>
      <w:r>
        <w:rPr>
          <w:rFonts w:hint="eastAsia"/>
        </w:rPr>
        <w:t>等重点区域供电能力。</w:t>
      </w:r>
    </w:p>
    <w:p w14:paraId="3219409E">
      <w:pPr>
        <w:pStyle w:val="39"/>
        <w:ind w:firstLine="640"/>
      </w:pPr>
      <w:r>
        <w:rPr>
          <w:rFonts w:hint="eastAsia"/>
        </w:rPr>
        <w:t>打造东西贯通、南北互济的220千伏电网结构</w:t>
      </w:r>
      <w:r>
        <w:t>。</w:t>
      </w:r>
      <w:r>
        <w:rPr>
          <w:rFonts w:hint="eastAsia"/>
        </w:rPr>
        <w:t>规划建设医药园220千伏输变电工程、黄村220千伏输变电工程、团河220千伏主变扩建工程，进一步提升区域电网供电能力，解决部分既有变电站重载运行问题，支撑大兴新城、生物医药基地等重点区域大规模负荷接入。研究储备新城地区鹅房和临空区空港220千伏工程，为北部新城地区和南部临空经济区未来发展预留电力资源。</w:t>
      </w:r>
    </w:p>
    <w:p w14:paraId="1031AEE9">
      <w:pPr>
        <w:pStyle w:val="39"/>
        <w:ind w:firstLine="640"/>
      </w:pPr>
      <w:r>
        <w:rPr>
          <w:rFonts w:hint="eastAsia"/>
        </w:rPr>
        <w:t>强化1</w:t>
      </w:r>
      <w:r>
        <w:t>10千伏电网供电保障能力。支持</w:t>
      </w:r>
      <w:r>
        <w:rPr>
          <w:rFonts w:hint="eastAsia"/>
        </w:rPr>
        <w:t>生物医药基地</w:t>
      </w:r>
      <w:r>
        <w:t>实施</w:t>
      </w:r>
      <w:r>
        <w:rPr>
          <w:rFonts w:hint="eastAsia"/>
        </w:rPr>
        <w:t>新立村110千伏工程等</w:t>
      </w:r>
      <w:r>
        <w:t>输变电工程等项目</w:t>
      </w:r>
      <w:r>
        <w:rPr>
          <w:rFonts w:hint="eastAsia"/>
        </w:rPr>
        <w:t>，实现生物医药基地周边供电能力大幅增长。</w:t>
      </w:r>
      <w:bookmarkStart w:id="14" w:name="OLE_LINK92"/>
      <w:r>
        <w:rPr>
          <w:rFonts w:hint="eastAsia"/>
        </w:rPr>
        <w:t>在大兴新城地区，规划实施双源110千伏输变电工程等</w:t>
      </w:r>
      <w:r>
        <w:t>项目，</w:t>
      </w:r>
      <w:r>
        <w:rPr>
          <w:rFonts w:hint="eastAsia"/>
        </w:rPr>
        <w:t>有效提升花园城市永定湾、新城核心区的供电能力，同时配合永定湾开发建设有序开展高压输电线迁改工作。</w:t>
      </w:r>
      <w:bookmarkEnd w:id="14"/>
      <w:r>
        <w:rPr>
          <w:rFonts w:hint="eastAsia"/>
        </w:rPr>
        <w:t>支持西红门镇、天宫院、氢能示范区等地采取新建、扩建、增容110千伏工程等形式强化供电保障能力，满足重点园区电网接入需求，服务园区分布式光伏项目接入。</w:t>
      </w:r>
    </w:p>
    <w:p w14:paraId="741952EF">
      <w:pPr>
        <w:pStyle w:val="39"/>
        <w:ind w:firstLine="640"/>
      </w:pPr>
      <w:r>
        <w:rPr>
          <w:rFonts w:hint="eastAsia"/>
        </w:rPr>
        <w:t>建设高可靠性智能配电网。在配电网各节点大力推广传感器、智能终端等设备应用，提升输配电设备在线监测覆盖率。持续推进“三年防汛”行动，</w:t>
      </w:r>
      <w:r>
        <w:rPr>
          <w:rFonts w:hint="eastAsia"/>
          <w:color w:val="auto"/>
        </w:rPr>
        <w:t>实施大兴河旧一二鹿支线</w:t>
      </w:r>
      <w:r>
        <w:rPr>
          <w:color w:val="auto"/>
        </w:rPr>
        <w:t>110</w:t>
      </w:r>
      <w:r>
        <w:rPr>
          <w:rFonts w:hint="eastAsia"/>
          <w:color w:val="auto"/>
        </w:rPr>
        <w:t>千伏线路改造工程等工程，对处于低洼易积水区域的配电网设备进行迁移或加固</w:t>
      </w:r>
      <w:r>
        <w:rPr>
          <w:rFonts w:hint="eastAsia"/>
        </w:rPr>
        <w:t>。</w:t>
      </w:r>
      <w:r>
        <w:rPr>
          <w:rFonts w:hint="eastAsia"/>
          <w:color w:val="auto"/>
        </w:rPr>
        <w:t>全面提升地区配电网本质安全水平，将电网设备更新改造时间由三年拓展至五年，推进剩余</w:t>
      </w:r>
      <w:r>
        <w:rPr>
          <w:color w:val="auto"/>
        </w:rPr>
        <w:t>98</w:t>
      </w:r>
      <w:r>
        <w:rPr>
          <w:rFonts w:hint="eastAsia"/>
          <w:color w:val="auto"/>
        </w:rPr>
        <w:t>个“煤改气”村、</w:t>
      </w:r>
      <w:r>
        <w:rPr>
          <w:color w:val="auto"/>
        </w:rPr>
        <w:t>3</w:t>
      </w:r>
      <w:r>
        <w:rPr>
          <w:rFonts w:hint="eastAsia"/>
          <w:color w:val="auto"/>
        </w:rPr>
        <w:t>座老旧变电站、</w:t>
      </w:r>
      <w:r>
        <w:rPr>
          <w:color w:val="auto"/>
        </w:rPr>
        <w:t>12</w:t>
      </w:r>
      <w:r>
        <w:rPr>
          <w:rFonts w:hint="eastAsia"/>
          <w:color w:val="auto"/>
        </w:rPr>
        <w:t>座小区配电站室等设备更新改造。开展超期服役电力设施改造，推动实施</w:t>
      </w:r>
      <w:r>
        <w:rPr>
          <w:color w:val="auto"/>
        </w:rPr>
        <w:t>10</w:t>
      </w:r>
      <w:r>
        <w:rPr>
          <w:rFonts w:hint="eastAsia"/>
          <w:color w:val="auto"/>
        </w:rPr>
        <w:t>千伏兴涛一路等</w:t>
      </w:r>
      <w:r>
        <w:rPr>
          <w:color w:val="auto"/>
        </w:rPr>
        <w:t>24</w:t>
      </w:r>
      <w:r>
        <w:rPr>
          <w:rFonts w:hint="eastAsia"/>
          <w:color w:val="auto"/>
        </w:rPr>
        <w:t>条电缆线路网架结构优化工程及</w:t>
      </w:r>
      <w:r>
        <w:rPr>
          <w:color w:val="auto"/>
        </w:rPr>
        <w:t>10</w:t>
      </w:r>
      <w:r>
        <w:rPr>
          <w:rFonts w:hint="eastAsia"/>
          <w:color w:val="auto"/>
        </w:rPr>
        <w:t>千伏韩村路等</w:t>
      </w:r>
      <w:r>
        <w:rPr>
          <w:color w:val="auto"/>
        </w:rPr>
        <w:t>7</w:t>
      </w:r>
      <w:r>
        <w:rPr>
          <w:rFonts w:hint="eastAsia"/>
          <w:color w:val="auto"/>
        </w:rPr>
        <w:t>条老旧配电线路改造。</w:t>
      </w:r>
      <w:r>
        <w:rPr>
          <w:rFonts w:hint="eastAsia"/>
        </w:rPr>
        <w:t>对兴政东里等单电源高层小区实施双电源改造，强化居民用电高可靠性保障。</w:t>
      </w:r>
    </w:p>
    <w:p w14:paraId="38A48F8D">
      <w:pPr>
        <w:pStyle w:val="36"/>
      </w:pPr>
      <w:bookmarkStart w:id="15" w:name="_Toc235370247"/>
      <w:r>
        <w:t>（</w:t>
      </w:r>
      <w:r>
        <w:rPr>
          <w:rFonts w:hint="eastAsia"/>
        </w:rPr>
        <w:t>二</w:t>
      </w:r>
      <w:r>
        <w:t>）</w:t>
      </w:r>
      <w:r>
        <w:rPr>
          <w:rFonts w:hint="eastAsia"/>
        </w:rPr>
        <w:t>加强</w:t>
      </w:r>
      <w:r>
        <w:t>化石能源供应保障</w:t>
      </w:r>
      <w:bookmarkEnd w:id="15"/>
    </w:p>
    <w:p w14:paraId="610AA950">
      <w:pPr>
        <w:pStyle w:val="39"/>
        <w:ind w:firstLine="640"/>
      </w:pPr>
      <w:bookmarkStart w:id="16" w:name="OLE_LINK25"/>
      <w:bookmarkStart w:id="17" w:name="OLE_LINK26"/>
      <w:r>
        <w:rPr>
          <w:rFonts w:hint="eastAsia"/>
        </w:rPr>
        <w:t>构建安全可靠的油品供应保障体系。加强输油管道、加油站等设施日常巡查与隐患治理，完善极端天气应急保供预案，健全监测预警与信息共享机制，确保极端条件下油品供应不断链、质量不降标。持续优化航煤管道输油调度与运行管理，稳步提升管道输送效能，按需提高管道运力。深入开展航油管道专项安全检查，强化春运等重点时段航煤供应保障，确保航煤产品质量100%合格。支持区内加油站向综合能源补给站转型，提供燃油、电力、氢能等多元化补给服务，规模化推广无人值守加油系统。</w:t>
      </w:r>
    </w:p>
    <w:p w14:paraId="6BC15D18">
      <w:pPr>
        <w:pStyle w:val="39"/>
        <w:ind w:firstLine="640"/>
      </w:pPr>
      <w:r>
        <w:rPr>
          <w:rFonts w:hint="eastAsia"/>
        </w:rPr>
        <w:t>加快完善城镇燃气管网系统。结合西红门镇、永定湾、临空经济区等重点区域建设进程，完善全区燃气输配管网布局，加强气源场站及高压-次高压-中压三级管网建设，推动实施西红门镇高压B调压站、寿宝庄次高压A箱及进出线天然气等一批重点工程，保障重点区域供气安全。实施地下燃气管线老化更新改造消隐工程，有效防范化解安全运行风险。推动燃气管网智能燃气表应装尽装，提升燃气管网智能化水平。</w:t>
      </w:r>
    </w:p>
    <w:p w14:paraId="51DE0EDD">
      <w:pPr>
        <w:pStyle w:val="39"/>
        <w:ind w:firstLine="640"/>
      </w:pPr>
      <w:r>
        <w:rPr>
          <w:rFonts w:hint="eastAsia"/>
        </w:rPr>
        <w:t>科学推进供热基础设施建设。围绕大兴新城核心区、永定湾、生物医药基地、临空经济区等重点区域发展需求，合理布局供热网络，保障新建住宅及学校、医院等公共建筑供热需求，构建安全稳定、智能高效的供热体系。结合城市更新行动，有序推进既有居住小区和公共建筑节能改造及老旧供热管网更新，切实提高供热保障能力。</w:t>
      </w:r>
    </w:p>
    <w:bookmarkEnd w:id="16"/>
    <w:bookmarkEnd w:id="17"/>
    <w:p w14:paraId="534BDE48">
      <w:pPr>
        <w:pStyle w:val="36"/>
      </w:pPr>
      <w:bookmarkStart w:id="18" w:name="_Toc235370248"/>
      <w:r>
        <w:t>（三）</w:t>
      </w:r>
      <w:r>
        <w:rPr>
          <w:rFonts w:hint="eastAsia"/>
        </w:rPr>
        <w:t>建设分区</w:t>
      </w:r>
      <w:r>
        <w:t>能源保障网络</w:t>
      </w:r>
      <w:bookmarkEnd w:id="18"/>
    </w:p>
    <w:p w14:paraId="7A418E72">
      <w:pPr>
        <w:pStyle w:val="39"/>
        <w:ind w:firstLine="640"/>
      </w:pPr>
      <w:r>
        <w:rPr>
          <w:rFonts w:hint="eastAsia"/>
        </w:rPr>
        <w:t>全面提升城市能源系统韧性。加快推进大兴东部、西部及南部韧性城市组团建设，增强极端条件下供电与供气保障能力，强化各组团自主供给与协同互助功能。遵循“平急两用”原则，构建点状支撑、片区联动应急保障网络，完善能源运行安全态势感知、供需风险监测与预警机制，建立主动预防的风险防控体系。推动光储充一体化、热泵等分布式能源系统在常态供能与应急保障中的多场景应用。加强重要能源基础设施的监测巡查，完善供电服务运维抢修网点布局，推进电力应急指挥中心、应急抢修库房规划建设。</w:t>
      </w:r>
    </w:p>
    <w:p w14:paraId="47BD9D6D">
      <w:pPr>
        <w:pStyle w:val="35"/>
      </w:pPr>
      <w:bookmarkStart w:id="19" w:name="_Toc235370249"/>
      <w:r>
        <w:rPr>
          <w:rFonts w:hint="eastAsia"/>
        </w:rPr>
        <w:t>三</w:t>
      </w:r>
      <w:r>
        <w:t>、</w:t>
      </w:r>
      <w:r>
        <w:rPr>
          <w:rFonts w:hint="eastAsia"/>
        </w:rPr>
        <w:t>可再生能源高质量开发利用行动</w:t>
      </w:r>
      <w:bookmarkEnd w:id="19"/>
    </w:p>
    <w:p w14:paraId="0C13C306">
      <w:pPr>
        <w:pStyle w:val="36"/>
      </w:pPr>
      <w:bookmarkStart w:id="20" w:name="_Toc235370250"/>
      <w:bookmarkStart w:id="21" w:name="OLE_LINK44"/>
      <w:bookmarkStart w:id="22" w:name="OLE_LINK43"/>
      <w:r>
        <w:t>（一）推动非化石能源高质量开发</w:t>
      </w:r>
      <w:bookmarkEnd w:id="20"/>
    </w:p>
    <w:p w14:paraId="7934ECAD">
      <w:pPr>
        <w:pStyle w:val="39"/>
        <w:ind w:firstLine="640"/>
      </w:pPr>
      <w:r>
        <w:rPr>
          <w:rFonts w:hint="eastAsia"/>
        </w:rPr>
        <w:t>推动光伏开发与城市融合发展。推进分布式光伏与城市空间一体化建设，加快推动城市第五立面光伏开发应用，新建园区、厂房及公共机构建筑屋顶光伏覆盖率不低于50%，与建筑主体同步设计、同步施工、同步验收。加快光伏幕墙、光伏屋顶应用，推动工商业与居住建筑光伏建筑一体化（BIPV）发展。推动第四实验学校、国际航空总部园、生物医药基地等分布式光伏项目建设。</w:t>
      </w:r>
    </w:p>
    <w:p w14:paraId="6D3B0A3D">
      <w:pPr>
        <w:pStyle w:val="39"/>
        <w:ind w:firstLine="640"/>
      </w:pPr>
      <w:r>
        <w:rPr>
          <w:rFonts w:hint="eastAsia"/>
        </w:rPr>
        <w:t>持续扩大可再生能源供热规模。推动区内中深层地热资源统一规划、集中开发，重点推进采育镇中深层地热示范项目，以地热系统为主热源解决中心镇区冬季供热。按照“宜用尽用”原则扩大浅层地源热泵应用，推动中央公园一期浅层地源热泵项目，支持北京第四实验学校、国际航空总部园等地源热泵耦合空气源热泵项目尽快建成投用。积极发展再生水源、污水源热泵供暖，围绕永</w:t>
      </w:r>
      <w:r>
        <w:t>兴</w:t>
      </w:r>
      <w:r>
        <w:rPr>
          <w:rFonts w:hint="eastAsia"/>
        </w:rPr>
        <w:t>河第二再生水厂、西红门第二再生水厂等新建及既有设施，尽早开展污水源热泵系统应用方案研究，依托临空经济区东西两座再生水厂建设以再生水源热泵为主的清洁供能项目。因地制宜布局空气源热泵，支持科技园区、特色小镇、服务区等公共建筑及城市更新项目应用。推动安定循环经济产业园提质升级，发展垃圾焚烧发电余热利用、生物质能高值化利用。</w:t>
      </w:r>
    </w:p>
    <w:p w14:paraId="328D4D4C">
      <w:pPr>
        <w:pStyle w:val="39"/>
        <w:ind w:firstLine="640"/>
      </w:pPr>
      <w:r>
        <w:rPr>
          <w:rFonts w:hint="eastAsia"/>
        </w:rPr>
        <w:t>创新推动氢能等绿色燃料开发应用。结合本地可再生能源发电资源禀赋，鼓励电解水制氢、甲醇重整制氢等技术路线研究试点。</w:t>
      </w:r>
    </w:p>
    <w:p w14:paraId="765F2233">
      <w:pPr>
        <w:pStyle w:val="36"/>
      </w:pPr>
      <w:bookmarkStart w:id="23" w:name="_Toc235370251"/>
      <w:r>
        <w:t>（二）加快</w:t>
      </w:r>
      <w:r>
        <w:rPr>
          <w:rFonts w:hint="eastAsia"/>
        </w:rPr>
        <w:t>建设</w:t>
      </w:r>
      <w:r>
        <w:t>新型电力系统</w:t>
      </w:r>
      <w:bookmarkEnd w:id="23"/>
    </w:p>
    <w:p w14:paraId="6490E490">
      <w:pPr>
        <w:pStyle w:val="39"/>
        <w:ind w:firstLine="640"/>
      </w:pPr>
      <w:r>
        <w:rPr>
          <w:rFonts w:hint="eastAsia"/>
        </w:rPr>
        <w:t>建设先进绿色智能电力系统。重点推进分布式光伏、地源热泵、新型储能等技术应用，发展绿电直连、算电协同、光储充一体化等创新模式，打造多能互补示范标杆。探索光伏与地表热泵系统耦合互补运行示范，开展新型电力系统智慧调度控制与安全防控技术研发应用，实现源网荷储智慧运行。加快人工智能在智慧调控、虚拟电厂等场景的应用。加强电动汽车与电网融合互动，试点推进车、桩、站、网协同互动，建立车网协同智能充放电示范。</w:t>
      </w:r>
    </w:p>
    <w:p w14:paraId="26FF7A16">
      <w:pPr>
        <w:pStyle w:val="39"/>
        <w:ind w:firstLine="640"/>
      </w:pPr>
      <w:r>
        <w:rPr>
          <w:rFonts w:hint="eastAsia"/>
        </w:rPr>
        <w:t>探索开展新型储能多场景应用。鼓励大数据中心、5G基站、商业综合体、工业园区等工商业用户配置技术成熟、安全性高的用户侧储能，提升供电可靠性，发挥其在电力负荷侧响应中的积极作用。</w:t>
      </w:r>
    </w:p>
    <w:p w14:paraId="63EA39EF">
      <w:pPr>
        <w:pStyle w:val="39"/>
        <w:ind w:firstLine="640"/>
      </w:pPr>
      <w:r>
        <w:rPr>
          <w:rFonts w:hint="eastAsia"/>
        </w:rPr>
        <w:t>着力挖掘负荷侧资源调节潜力。整合公共建筑供冷供热、储能、电动汽车、可调节负荷等灵活资源，建设类型多样、特性互补的城市灵活响应资源库。培育源网荷储一体化、负荷聚合服务、虚拟电厂等新业态新模式，通过市场化机制引导园区工业用户及工商业可中断负荷参与电力需求侧响应。</w:t>
      </w:r>
    </w:p>
    <w:p w14:paraId="5F2A1243">
      <w:pPr>
        <w:pStyle w:val="39"/>
        <w:ind w:firstLine="640"/>
      </w:pPr>
      <w:r>
        <w:rPr>
          <w:rFonts w:hint="eastAsia"/>
        </w:rPr>
        <w:t>扎实推动大兴区绿电交易“三进”工作。推动绿电进机关，要求有条件的公共机构做好示范作用，通过购买绿电打造“零碳机关”。推动绿电进企业，鼓励区内企业积极参与绿电购买，推动数据中心开展高比例绿电应用，鼓励外向型企业提高绿电应用规模，协助重点园区企业、区属国有企业开展绿电交易。推动绿电进社会，结合节能宣传周、全国低碳日、六五环境日等重要节点，加大面向社会的绿电应用宣传和培训。</w:t>
      </w:r>
    </w:p>
    <w:p w14:paraId="47B02E5B">
      <w:pPr>
        <w:pStyle w:val="36"/>
      </w:pPr>
      <w:bookmarkStart w:id="24" w:name="_Toc235370252"/>
      <w:r>
        <w:t>（</w:t>
      </w:r>
      <w:r>
        <w:rPr>
          <w:rFonts w:hint="eastAsia"/>
        </w:rPr>
        <w:t>三</w:t>
      </w:r>
      <w:r>
        <w:t>）</w:t>
      </w:r>
      <w:r>
        <w:rPr>
          <w:rFonts w:hint="eastAsia"/>
        </w:rPr>
        <w:t>创新建设新型热力系统</w:t>
      </w:r>
      <w:bookmarkEnd w:id="24"/>
    </w:p>
    <w:p w14:paraId="219BE85E">
      <w:pPr>
        <w:pStyle w:val="39"/>
        <w:ind w:firstLine="640"/>
      </w:pPr>
      <w:r>
        <w:rPr>
          <w:rFonts w:hint="eastAsia"/>
        </w:rPr>
        <w:t>推动供热系统绿色转型升级。</w:t>
      </w:r>
      <w:r>
        <w:t>有序推动化石能源锅炉房整合升级</w:t>
      </w:r>
      <w:r>
        <w:rPr>
          <w:rFonts w:hint="eastAsia"/>
        </w:rPr>
        <w:t>，推动小散燃气锅炉房向片区</w:t>
      </w:r>
      <w:r>
        <w:t>集中</w:t>
      </w:r>
      <w:r>
        <w:rPr>
          <w:rFonts w:hint="eastAsia"/>
        </w:rPr>
        <w:t>能源站</w:t>
      </w:r>
      <w:r>
        <w:t>转型升级</w:t>
      </w:r>
      <w:r>
        <w:rPr>
          <w:rFonts w:hint="eastAsia"/>
        </w:rPr>
        <w:t>。发挥我区地热资源优势，</w:t>
      </w:r>
      <w:r>
        <w:t>探索构建以可再生能源供热为主</w:t>
      </w:r>
      <w:r>
        <w:rPr>
          <w:rFonts w:hint="eastAsia"/>
        </w:rPr>
        <w:t>、</w:t>
      </w:r>
      <w:r>
        <w:t>以燃气锅炉为</w:t>
      </w:r>
      <w:r>
        <w:rPr>
          <w:rFonts w:hint="eastAsia"/>
        </w:rPr>
        <w:t>调峰支撑</w:t>
      </w:r>
      <w:r>
        <w:t>的综合能源供热模式</w:t>
      </w:r>
      <w:r>
        <w:rPr>
          <w:rFonts w:hint="eastAsia"/>
        </w:rPr>
        <w:t>，开展临空经济区浅层地源热泵供热功能区等重点项目，试点开展热网低碳分区运行</w:t>
      </w:r>
      <w:r>
        <w:t>。推动</w:t>
      </w:r>
      <w:r>
        <w:rPr>
          <w:rFonts w:hint="eastAsia"/>
        </w:rPr>
        <w:t>工商业楼宇、公共建筑创新开展储热</w:t>
      </w:r>
      <w:r>
        <w:t>（冷）试点示范，提升热网调节能力。</w:t>
      </w:r>
    </w:p>
    <w:p w14:paraId="72347BED">
      <w:pPr>
        <w:pStyle w:val="39"/>
        <w:ind w:firstLine="640"/>
      </w:pPr>
      <w:r>
        <w:rPr>
          <w:rFonts w:hint="eastAsia"/>
        </w:rPr>
        <w:t>有序开展供热管网更新及智能化改造。推进热力系统源、网、站、户各环节智能化管理，新建建筑全面推广智能化供热系统。推进既有建筑智能化供热改造，积极融入全市供热行业感知“一张网”，配合开展热计量管理工作。</w:t>
      </w:r>
    </w:p>
    <w:bookmarkEnd w:id="21"/>
    <w:bookmarkEnd w:id="22"/>
    <w:p w14:paraId="0EDB9A81">
      <w:pPr>
        <w:pStyle w:val="36"/>
      </w:pPr>
      <w:bookmarkStart w:id="25" w:name="_Toc235370253"/>
      <w:bookmarkStart w:id="26" w:name="OLE_LINK48"/>
      <w:bookmarkStart w:id="27" w:name="OLE_LINK47"/>
      <w:r>
        <w:rPr>
          <w:rFonts w:hint="eastAsia"/>
        </w:rPr>
        <w:t>（四）打造重点区域绿色能源亮点工程</w:t>
      </w:r>
      <w:bookmarkEnd w:id="25"/>
    </w:p>
    <w:p w14:paraId="4C19E1D7">
      <w:pPr>
        <w:pStyle w:val="39"/>
        <w:ind w:firstLine="640"/>
      </w:pPr>
      <w:r>
        <w:rPr>
          <w:rFonts w:hint="eastAsia"/>
        </w:rPr>
        <w:t>推进采育镇中深层地热供暖示范工程。依托凤河营地热田资源优势，规划建设以中深层地热供热为主体、燃气调峰为辅助的清洁供热体系，新能源与可再生能源设施装机占比达到60%，打造全市规模最大的深层地热供热工程，建成后可满足全镇约200万平方米清洁供热需求，为区域能源结构绿色转型提供示范标杆。</w:t>
      </w:r>
    </w:p>
    <w:p w14:paraId="365369CD">
      <w:pPr>
        <w:pStyle w:val="39"/>
        <w:ind w:firstLine="640"/>
      </w:pPr>
      <w:r>
        <w:rPr>
          <w:rFonts w:hint="eastAsia"/>
        </w:rPr>
        <w:t>建设永定湾区域绿色低碳供热样板。围绕大兴新城永定湾“河畔花园，永兴之城”总体定位，构建与花园城市理念相适应的区域综合能源供应体系。统筹分批规划布局8座能源中心，总供热能力达到1120万平方米，有力支撑现代化新城建设。能源中心采用新能源与可再生能源耦合常规能源的供能模式，打造平原新城居民集中供热领域绿色低碳示范工程。</w:t>
      </w:r>
    </w:p>
    <w:p w14:paraId="699F6729">
      <w:pPr>
        <w:pStyle w:val="39"/>
        <w:ind w:firstLine="640"/>
      </w:pPr>
      <w:r>
        <w:rPr>
          <w:rFonts w:hint="eastAsia"/>
        </w:rPr>
        <w:t>积极推进临空经济区多项清洁能源项目建设。合理利用城市绿地空间，建设中央公园一期浅层地热能利用项目</w:t>
      </w:r>
      <w:r>
        <w:rPr>
          <w:rFonts w:ascii="Segoe UI" w:hAnsi="Segoe UI" w:cs="Segoe UI"/>
          <w:color w:val="0F1115"/>
          <w:shd w:val="clear" w:color="auto" w:fill="FFFFFF"/>
        </w:rPr>
        <w:t>实现周边区域冷热联供</w:t>
      </w:r>
      <w:r>
        <w:rPr>
          <w:rFonts w:hint="eastAsia"/>
        </w:rPr>
        <w:t>。建设起步区一期安置房项目，构建地源热泵+空气源热泵+冷水机组+燃气锅炉+烟气余热回收热泵的综合能源系统。推动礼贤组团学校综合能源站建设地源热泵为主的冷热联供系统，可再生供热装机占比超60%。通过多点布局、多能互补，打造临空经济区清洁低碳供能示范样板。</w:t>
      </w:r>
    </w:p>
    <w:p w14:paraId="0BC0208D">
      <w:pPr>
        <w:pStyle w:val="39"/>
        <w:ind w:firstLine="640"/>
      </w:pPr>
      <w:r>
        <w:rPr>
          <w:rFonts w:hint="eastAsia"/>
        </w:rPr>
        <w:t>建设西红门国际创新中心绿色供能示范项目。围绕国际创新中心一期改造及二期新建展示中心用能场景，采用地源热泵冷热联供技术路线，构建绿色低碳智慧能源方案，为打造首都国际交往新名片提供用能支撑。</w:t>
      </w:r>
    </w:p>
    <w:p w14:paraId="35245CAE">
      <w:pPr>
        <w:pStyle w:val="39"/>
        <w:ind w:firstLine="640"/>
      </w:pPr>
      <w:r>
        <w:rPr>
          <w:rFonts w:hint="eastAsia"/>
        </w:rPr>
        <w:t>推进生物医药基地南扩区智慧能源系统建设。合理开发利用地热、光伏光热等可再生能源，综合运用能源互联网、多源热泵、蓄能等先进技术，构建横向多能互补、纵向源网荷储协调的能源耦合体系。南扩区整体建成后，可再生能源利用率超过60%，达到行业先进水平。示范推进光水大兴零碳能源项目，在天堂河再生水厂建设水源热泵能源站，实现可再生热源接入市政供热管网。</w:t>
      </w:r>
    </w:p>
    <w:p w14:paraId="437CF43A">
      <w:pPr>
        <w:pStyle w:val="39"/>
        <w:ind w:firstLine="640"/>
      </w:pPr>
      <w:r>
        <w:t>推进</w:t>
      </w:r>
      <w:r>
        <w:rPr>
          <w:rFonts w:hint="eastAsia"/>
        </w:rPr>
        <w:t>荟聚商务科技集聚区绿色低碳能源系统建设。坚持分类施策、梯次推进，现状建成区加强余热回收利用，适时推进节能低碳改造。新建建筑优先采用可再生能源供热，</w:t>
      </w:r>
      <w:r>
        <w:t>积极推广</w:t>
      </w:r>
      <w:r>
        <w:rPr>
          <w:rFonts w:hint="eastAsia"/>
        </w:rPr>
        <w:t>热泵、光伏及储能系统，以常规能源作为调峰与应急保障。</w:t>
      </w:r>
    </w:p>
    <w:p w14:paraId="1B64AF62">
      <w:pPr>
        <w:pStyle w:val="35"/>
      </w:pPr>
      <w:bookmarkStart w:id="28" w:name="_Toc235370254"/>
      <w:bookmarkStart w:id="29" w:name="OLE_LINK45"/>
      <w:bookmarkStart w:id="30" w:name="OLE_LINK40"/>
      <w:r>
        <w:t>四、消费体系节能降碳转型行动</w:t>
      </w:r>
      <w:bookmarkEnd w:id="28"/>
    </w:p>
    <w:p w14:paraId="41A4043D">
      <w:pPr>
        <w:pStyle w:val="36"/>
      </w:pPr>
      <w:bookmarkStart w:id="31" w:name="_Toc235370255"/>
      <w:r>
        <w:t>（</w:t>
      </w:r>
      <w:r>
        <w:rPr>
          <w:rFonts w:hint="eastAsia"/>
        </w:rPr>
        <w:t>一</w:t>
      </w:r>
      <w:r>
        <w:t>）</w:t>
      </w:r>
      <w:r>
        <w:rPr>
          <w:rFonts w:hint="eastAsia"/>
        </w:rPr>
        <w:t>强化节能降碳制度约束</w:t>
      </w:r>
      <w:bookmarkEnd w:id="31"/>
    </w:p>
    <w:p w14:paraId="3E12D4C2">
      <w:pPr>
        <w:pStyle w:val="39"/>
        <w:ind w:firstLine="640"/>
      </w:pPr>
      <w:r>
        <w:rPr>
          <w:rFonts w:hint="eastAsia"/>
        </w:rPr>
        <w:t>健全节能降碳管理制度。全面实施碳排放双控制度，探索将碳排放管控要求纳入现行重点用能单位管理制度，适时制定本区重点用能和碳排放单位节能降碳管理办法。建立项目全周期用能和碳排放管理机制，强化新入区项目“事前事中事后”管理，严格审核数据中心等高耗能项目入区，坚决遏制“两高一低”项目盲目发展。强化高能耗企业清单数据审核监测，对异常企业开展核查调研，定期分析全区能耗和碳排放形势，做好节能降碳监测预警。</w:t>
      </w:r>
    </w:p>
    <w:p w14:paraId="05FB64F3">
      <w:pPr>
        <w:pStyle w:val="36"/>
      </w:pPr>
      <w:bookmarkStart w:id="32" w:name="_Toc235370256"/>
      <w:r>
        <w:t>（二）推进产业用能绿色转型</w:t>
      </w:r>
      <w:bookmarkEnd w:id="32"/>
    </w:p>
    <w:p w14:paraId="6C1EBA08">
      <w:pPr>
        <w:pStyle w:val="39"/>
        <w:ind w:firstLine="640"/>
      </w:pPr>
      <w:bookmarkStart w:id="33" w:name="OLE_LINK13"/>
      <w:r>
        <w:rPr>
          <w:rFonts w:hint="eastAsia"/>
        </w:rPr>
        <w:t>推动产业用能升级增效。围绕临空经济区、生物医药基地等重点区域，聚焦医药制造、食品加工、</w:t>
      </w:r>
      <w:r>
        <w:t>航空服务业</w:t>
      </w:r>
      <w:r>
        <w:rPr>
          <w:rFonts w:hint="eastAsia"/>
        </w:rPr>
        <w:t>等重点行业，面向用户电、热、冷、气综合需求，优化布局一体化供能基础设施，实现多能协同供应和能源梯级利用。探索</w:t>
      </w:r>
      <w:r>
        <w:rPr>
          <w:rFonts w:ascii="Segoe UI" w:hAnsi="Segoe UI" w:cs="Segoe UI"/>
          <w:shd w:val="clear" w:color="auto" w:fill="FFFFFF"/>
        </w:rPr>
        <w:t>算电协同发展路径</w:t>
      </w:r>
      <w:r>
        <w:rPr>
          <w:rFonts w:hint="eastAsia" w:cs="Times New Roman"/>
          <w:shd w:val="clear" w:color="auto" w:fill="FFFFFF"/>
        </w:rPr>
        <w:t>，引导数据中心项目与新能源、新型储能协同布局，</w:t>
      </w:r>
      <w:bookmarkStart w:id="34" w:name="OLE_LINK14"/>
      <w:bookmarkStart w:id="35" w:name="OLE_LINK46"/>
      <w:r>
        <w:rPr>
          <w:rFonts w:hint="eastAsia" w:cs="Times New Roman"/>
          <w:shd w:val="clear" w:color="auto" w:fill="FFFFFF"/>
        </w:rPr>
        <w:t>新建数据中心</w:t>
      </w:r>
      <w:bookmarkEnd w:id="34"/>
      <w:bookmarkEnd w:id="35"/>
      <w:r>
        <w:rPr>
          <w:rFonts w:hint="eastAsia" w:cs="Times New Roman"/>
          <w:shd w:val="clear" w:color="auto" w:fill="FFFFFF"/>
        </w:rPr>
        <w:t>使用绿电比例大幅提升</w:t>
      </w:r>
      <w:r>
        <w:rPr>
          <w:rFonts w:cs="Times New Roman"/>
          <w:shd w:val="clear" w:color="auto" w:fill="FFFFFF"/>
        </w:rPr>
        <w:t>并力争逐步实现全绿电</w:t>
      </w:r>
      <w:r>
        <w:rPr>
          <w:rFonts w:hint="eastAsia" w:cs="Times New Roman"/>
          <w:shd w:val="clear" w:color="auto" w:fill="FFFFFF"/>
        </w:rPr>
        <w:t>，存量数据中心电源使用效率（</w:t>
      </w:r>
      <w:r>
        <w:rPr>
          <w:rFonts w:cs="Times New Roman"/>
          <w:shd w:val="clear" w:color="auto" w:fill="FFFFFF"/>
        </w:rPr>
        <w:t>PUE</w:t>
      </w:r>
      <w:r>
        <w:rPr>
          <w:rFonts w:hint="eastAsia" w:cs="Times New Roman"/>
          <w:shd w:val="clear" w:color="auto" w:fill="FFFFFF"/>
        </w:rPr>
        <w:t>）达到</w:t>
      </w:r>
      <w:r>
        <w:rPr>
          <w:rFonts w:cs="Times New Roman"/>
          <w:shd w:val="clear" w:color="auto" w:fill="FFFFFF"/>
        </w:rPr>
        <w:t>1.35</w:t>
      </w:r>
      <w:r>
        <w:rPr>
          <w:rFonts w:hint="eastAsia" w:cs="Times New Roman"/>
          <w:shd w:val="clear" w:color="auto" w:fill="FFFFFF"/>
        </w:rPr>
        <w:t>以下。</w:t>
      </w:r>
      <w:r>
        <w:rPr>
          <w:rFonts w:cs="Times New Roman"/>
        </w:rPr>
        <w:t>推动工业用能电气化，扩大终端电气化设备使用比例，重点推</w:t>
      </w:r>
      <w:r>
        <w:rPr>
          <w:rFonts w:hint="eastAsia"/>
        </w:rPr>
        <w:t>进中低温供热电气化改造。把握国家大规模设备更新政策契机，推动锅炉、压缩机、风机、泵等重点用能设备改造升级，鼓励企业申报“两重”“两新”资金实施节能降碳改造。</w:t>
      </w:r>
      <w:bookmarkStart w:id="36" w:name="OLE_LINK11"/>
      <w:bookmarkStart w:id="37" w:name="OLE_LINK12"/>
      <w:r>
        <w:rPr>
          <w:rFonts w:hint="eastAsia"/>
        </w:rPr>
        <w:t>用好首台（套）示范推广政策，支持企业加快低碳创新技术应用。</w:t>
      </w:r>
    </w:p>
    <w:p w14:paraId="353BA1CD">
      <w:pPr>
        <w:pStyle w:val="36"/>
      </w:pPr>
      <w:bookmarkStart w:id="38" w:name="_Toc235370257"/>
      <w:r>
        <w:t>（三）</w:t>
      </w:r>
      <w:r>
        <w:rPr>
          <w:rFonts w:hint="eastAsia"/>
        </w:rPr>
        <w:t>推进交通用能清洁低碳转型</w:t>
      </w:r>
      <w:bookmarkEnd w:id="38"/>
    </w:p>
    <w:bookmarkEnd w:id="33"/>
    <w:bookmarkEnd w:id="36"/>
    <w:bookmarkEnd w:id="37"/>
    <w:p w14:paraId="67A6695B">
      <w:pPr>
        <w:pStyle w:val="39"/>
        <w:ind w:firstLine="640"/>
      </w:pPr>
      <w:r>
        <w:rPr>
          <w:rFonts w:hint="eastAsia"/>
        </w:rPr>
        <w:t>构建绿色低碳交通体系。持续推广新能源车辆，提升公务车、配送车、环卫车、公交车等领域电动及氢燃料电池汽车比例。加大大兴国际机场区域新能源车使用比例，推进氢燃料电池汽车在机场巴士、货运物流等场景示范应用，推进飞机利用生物航油、运行节油，稳步推广可持续航空燃料加注应用。</w:t>
      </w:r>
    </w:p>
    <w:p w14:paraId="68F07054">
      <w:pPr>
        <w:pStyle w:val="39"/>
        <w:ind w:firstLine="640"/>
      </w:pPr>
      <w:r>
        <w:rPr>
          <w:rFonts w:hint="eastAsia"/>
        </w:rPr>
        <w:t>建设便捷的充电基础设施网络。实现城区公共充电设施平均服务半径小于3公里，换电站平均服务半径小于5公里，打造大兴机场临空区1公里充电圈。新建居住区按标准配建充电设施或预留安装条件，结合老旧小区改造同步推进充电设施改造，鼓励单位内部充电设施对外开放。推广新能源汽车有序充电，试点探索车网互动（V2G）等新模式。</w:t>
      </w:r>
    </w:p>
    <w:p w14:paraId="0656D7E1">
      <w:pPr>
        <w:pStyle w:val="36"/>
      </w:pPr>
      <w:bookmarkStart w:id="39" w:name="_Toc235370258"/>
      <w:r>
        <w:rPr>
          <w:rFonts w:hint="eastAsia"/>
        </w:rPr>
        <w:t>（四）提升建筑领域能效水平</w:t>
      </w:r>
      <w:bookmarkEnd w:id="39"/>
    </w:p>
    <w:p w14:paraId="01CE72CB">
      <w:pPr>
        <w:pStyle w:val="39"/>
        <w:ind w:firstLine="640"/>
      </w:pPr>
      <w:r>
        <w:t>提升既有建筑能效。持续推动既有建筑节能改造，</w:t>
      </w:r>
      <w:r>
        <w:rPr>
          <w:rFonts w:hint="eastAsia"/>
        </w:rPr>
        <w:t>结合城市更新和老旧小区改造，逐步实施居住建筑节能改造，提高建筑用能效率和室内舒适度。</w:t>
      </w:r>
      <w:bookmarkStart w:id="40" w:name="OLE_LINK2"/>
      <w:r>
        <w:rPr>
          <w:rFonts w:hint="eastAsia"/>
        </w:rPr>
        <w:t>深化大兴区公共建筑节能降碳，推进公共机构建筑围护结构、供热、制冷、照明等设施设备节能降碳改造，推广应用先进节能技术，在政府投资的公共建筑领域率先开展超低能耗建筑试点。</w:t>
      </w:r>
      <w:bookmarkEnd w:id="40"/>
    </w:p>
    <w:p w14:paraId="1364FD3F">
      <w:pPr>
        <w:pStyle w:val="39"/>
        <w:ind w:firstLine="640"/>
      </w:pPr>
      <w:r>
        <w:rPr>
          <w:rFonts w:hint="eastAsia"/>
        </w:rPr>
        <w:t>提高新建建筑绿色低碳标准。新建居住建筑、大型公共建筑、政府性资金参与投资建设的民用建筑全面执行绿色建筑二星级以上标准，新建公共建筑力争全面执行绿色建筑二星级以上标准，新建的超高层建筑执行绿色建筑三星级标准。推广绿色低碳建材和绿色建造方式，稳步推进装配式建筑。</w:t>
      </w:r>
    </w:p>
    <w:bookmarkEnd w:id="26"/>
    <w:bookmarkEnd w:id="27"/>
    <w:bookmarkEnd w:id="29"/>
    <w:bookmarkEnd w:id="30"/>
    <w:p w14:paraId="298E3664">
      <w:pPr>
        <w:pStyle w:val="35"/>
      </w:pPr>
      <w:bookmarkStart w:id="41" w:name="_Toc235370259"/>
      <w:r>
        <w:rPr>
          <w:rFonts w:hint="eastAsia"/>
        </w:rPr>
        <w:t>五</w:t>
      </w:r>
      <w:r>
        <w:t>、先进绿色能源产业培育行动</w:t>
      </w:r>
      <w:bookmarkEnd w:id="41"/>
    </w:p>
    <w:p w14:paraId="4B33B63A">
      <w:pPr>
        <w:pStyle w:val="36"/>
      </w:pPr>
      <w:bookmarkStart w:id="42" w:name="OLE_LINK15"/>
      <w:bookmarkStart w:id="43" w:name="_Toc235370260"/>
      <w:r>
        <w:t>（一）</w:t>
      </w:r>
      <w:r>
        <w:rPr>
          <w:rFonts w:hint="eastAsia"/>
        </w:rPr>
        <w:t>推动</w:t>
      </w:r>
      <w:r>
        <w:t>氢能产业</w:t>
      </w:r>
      <w:r>
        <w:rPr>
          <w:rFonts w:hint="eastAsia"/>
        </w:rPr>
        <w:t>健康有序发展</w:t>
      </w:r>
      <w:bookmarkEnd w:id="42"/>
      <w:bookmarkEnd w:id="43"/>
    </w:p>
    <w:p w14:paraId="0804E52F">
      <w:pPr>
        <w:pStyle w:val="39"/>
        <w:ind w:firstLine="640"/>
      </w:pPr>
      <w:bookmarkStart w:id="44" w:name="OLE_LINK1"/>
      <w:r>
        <w:rPr>
          <w:rFonts w:hint="eastAsia"/>
        </w:rPr>
        <w:t>强化氢能全流程技术创新。以区内氢能领域龙头企业为创新主体，围绕制、储、运、加、用及安全等关键环节开展集中攻关，增强产业基础支撑能力。持续提升质子交换膜、碳纸、催化剂等关键材料国产化水平，提高燃料电池系统及电解制氢系统的可靠性、稳定性与耐久性。</w:t>
      </w:r>
    </w:p>
    <w:p w14:paraId="0827DAE0">
      <w:pPr>
        <w:pStyle w:val="39"/>
        <w:ind w:firstLine="640"/>
      </w:pPr>
      <w:r>
        <w:rPr>
          <w:rFonts w:hint="eastAsia"/>
        </w:rPr>
        <w:t>大力推进氢能产业链集聚发展。充分发挥大兴国际氢能示范区产业承载功能，围绕补链强链精准招商，完善氢能领域全链条产业体系，强化燃料电池基础材料、整车研发、储氢及动力系统等环节布局，推动氢能生产基地等一批项目全面投用。支持链主企业扩大布局，培育赛道领先企业，鼓励企业申报制造业单项冠军、企业技术中心等国家级资质。</w:t>
      </w:r>
    </w:p>
    <w:p w14:paraId="032C13BA">
      <w:pPr>
        <w:pStyle w:val="39"/>
        <w:ind w:firstLine="640"/>
      </w:pPr>
      <w:r>
        <w:rPr>
          <w:rFonts w:hint="eastAsia"/>
        </w:rPr>
        <w:t>支持氢能多元化场景示范应用。扩大氢能物流专线规模，拓展燃料电池汽车在重卡、冷链物流、市政专用车等场景的应用，探索建设京津冀燃料电池汽车货运示范走廊。按照“成熟一座、推进一座”原则持续完善加氢站布局。推动燃料电池热电联供、分布式电源等在农业、孤岛供能等场景的推广应用。</w:t>
      </w:r>
    </w:p>
    <w:p w14:paraId="1315F75D">
      <w:pPr>
        <w:pStyle w:val="39"/>
        <w:ind w:firstLine="640"/>
      </w:pPr>
      <w:r>
        <w:rPr>
          <w:rFonts w:hint="eastAsia"/>
        </w:rPr>
        <w:t>扎实推进氢能创新平台载体建设。推动氢能产业创新中心落地，支持华北电力大学氢能研究院挂牌成立，强化大兴国际氢能示范区作为全国氢能产业创新应用与成果转化高地的功能定位，启动绿色项目库建设。协同优势企业与机构，完善知识产权运营、安全监管、标准研究及创业辅导等服务功能。打造由顶尖专家、专业工程师和产业工人组成的多层次人才队伍，推动人才建设与平台载体、产业链构建协同发展。</w:t>
      </w:r>
    </w:p>
    <w:p w14:paraId="6E21FFFD">
      <w:pPr>
        <w:pStyle w:val="39"/>
        <w:ind w:firstLine="640"/>
      </w:pPr>
      <w:r>
        <w:rPr>
          <w:rFonts w:hint="eastAsia"/>
        </w:rPr>
        <w:t>健全氢能标准规范及核算体系。鼓励引导园区机构、企业围绕燃料电池关键材料、整车动力系统、安全等领域推进标准研制，积极参与氢能领域团体标准、地方标准与行业标准制修订，推动企业参与氢能碳减排核算方法学编制。</w:t>
      </w:r>
    </w:p>
    <w:p w14:paraId="293AA7E8">
      <w:pPr>
        <w:pStyle w:val="36"/>
      </w:pPr>
      <w:bookmarkStart w:id="45" w:name="_Toc235370262"/>
      <w:r>
        <w:rPr>
          <w:rFonts w:hint="eastAsia"/>
        </w:rPr>
        <w:t>（二）培育</w:t>
      </w:r>
      <w:bookmarkEnd w:id="45"/>
      <w:r>
        <w:rPr>
          <w:rFonts w:hint="eastAsia"/>
        </w:rPr>
        <w:t>能源领域装备制造及服务产业</w:t>
      </w:r>
    </w:p>
    <w:p w14:paraId="5C7D37CF">
      <w:pPr>
        <w:pStyle w:val="39"/>
        <w:ind w:firstLine="640"/>
      </w:pPr>
      <w:r>
        <w:rPr>
          <w:rFonts w:hint="eastAsia"/>
        </w:rPr>
        <w:t>培育特色能源产业集群。发挥场景优势，培育一批热泵装备制造骨干企业，同步推进地热资源勘探开发与规模化应用。鼓励本地光伏企业向应用服务端转型，探索开拓建筑光伏一体化等细分市场。主动衔接全市新型储能产业布局，培育储能系统集成、储能变流器等关键配套环节。强化产学研协同创新，支持企业与在京高校院所共建研发与中试平台，承接市级能源创新成果落地转化。</w:t>
      </w:r>
    </w:p>
    <w:p w14:paraId="1F0CE338">
      <w:pPr>
        <w:pStyle w:val="39"/>
        <w:ind w:firstLine="640"/>
      </w:pPr>
      <w:r>
        <w:rPr>
          <w:rFonts w:hint="eastAsia"/>
        </w:rPr>
        <w:t>大力培育综合能源与双碳服务商。聚焦医药、食品、航空等行业节能降碳需求，大力发展工业节能、园区综合能源及双碳服务产业，推广能源费用托管等合同能源管理模式。培育一批综合能源服务企业，提供综合供能、节能诊断、监测预警等基础服务，拓展电力交易、虚拟电厂、需求响应、智慧运营、应急指挥等增值服务。培育一批双碳服务机构，面向区内用能企业提供碳核算、碳足迹核查、碳资产管理、零碳认证等解决方案。</w:t>
      </w:r>
    </w:p>
    <w:bookmarkEnd w:id="44"/>
    <w:p w14:paraId="6D0DE747">
      <w:pPr>
        <w:pStyle w:val="36"/>
      </w:pPr>
      <w:bookmarkStart w:id="46" w:name="_Toc235370261"/>
      <w:bookmarkStart w:id="47" w:name="_Toc235370263"/>
      <w:r>
        <w:rPr>
          <w:rFonts w:hint="eastAsia"/>
        </w:rPr>
        <w:t>（三）加快新能源技术集成创新示范</w:t>
      </w:r>
      <w:bookmarkEnd w:id="46"/>
    </w:p>
    <w:p w14:paraId="297B9E75">
      <w:pPr>
        <w:pStyle w:val="39"/>
        <w:ind w:firstLine="640"/>
      </w:pPr>
      <w:r>
        <w:rPr>
          <w:rFonts w:hint="eastAsia"/>
        </w:rPr>
        <w:t>打造（低）零碳园区绿色用能示范样板。围绕大兴区国际氢能示范区、生物医药基地、临空经济区等重点园区综合用能需求，通过绿电直连、源网荷储一体化等模式扩大绿色能源供应，推动用户侧储能在数据中心、产业园区等场景示范应用，提升园区绿色能源供应与灵活调节能力。建设园区虚拟电厂，统筹调度分布式光伏、用户侧储能及可中断负荷等可调资源，参与电力系统调节响应。</w:t>
      </w:r>
    </w:p>
    <w:p w14:paraId="4C437531">
      <w:pPr>
        <w:pStyle w:val="35"/>
      </w:pPr>
      <w:r>
        <w:rPr>
          <w:rFonts w:hint="eastAsia"/>
        </w:rPr>
        <w:t>六、能源治理体系和治理能力现代化行动</w:t>
      </w:r>
      <w:bookmarkEnd w:id="47"/>
    </w:p>
    <w:p w14:paraId="5827E45A">
      <w:pPr>
        <w:pStyle w:val="36"/>
      </w:pPr>
      <w:bookmarkStart w:id="48" w:name="_Toc235370264"/>
      <w:r>
        <w:rPr>
          <w:rFonts w:hint="eastAsia"/>
        </w:rPr>
        <w:t>（一）加快完善能源治理体系</w:t>
      </w:r>
      <w:bookmarkEnd w:id="48"/>
    </w:p>
    <w:p w14:paraId="51DF5690">
      <w:pPr>
        <w:pStyle w:val="39"/>
        <w:ind w:firstLine="640"/>
      </w:pPr>
      <w:r>
        <w:rPr>
          <w:rFonts w:hint="eastAsia"/>
        </w:rPr>
        <w:t>贯彻落实</w:t>
      </w:r>
      <w:r>
        <w:t>能源法规政策标准体系。</w:t>
      </w:r>
      <w:r>
        <w:rPr>
          <w:rFonts w:hint="eastAsia"/>
        </w:rPr>
        <w:t>全面贯彻落实《能源法》及北京市可再生能源开发利用条例等地方法规，持续优化标准体系，提升标准的先进性、实用性与前瞻性。</w:t>
      </w:r>
    </w:p>
    <w:p w14:paraId="09872D97">
      <w:pPr>
        <w:pStyle w:val="39"/>
        <w:ind w:firstLine="640"/>
      </w:pPr>
      <w:r>
        <w:rPr>
          <w:rFonts w:hint="eastAsia"/>
        </w:rPr>
        <w:t>进一步激发绿色能源市场活力，配合北京市推进电力价格改革与供热市场化，进一步扩大电力市场交易主体范围。围绕充换电、加氢设施、分布式电源、虚拟电厂等新型主体，建立针对性管理制度与检验标准，为先进绿色能源产业发展提供更大力度的财税支持政策。</w:t>
      </w:r>
    </w:p>
    <w:p w14:paraId="38B679BA">
      <w:pPr>
        <w:pStyle w:val="39"/>
        <w:ind w:firstLine="640"/>
      </w:pPr>
      <w:r>
        <w:rPr>
          <w:rFonts w:hint="eastAsia"/>
        </w:rPr>
        <w:t>深化能源领域“放管服”改革。落实“证照分离”改革全覆盖，推动照后减证和简化审批，扩大电力、燃气等市政接入工程“非禁免批”适用范围。落实电力领域“阳光业扩”行动，做好小微企业、分布式光伏、居民自用充电桩等“三零”服务。开辟重点项目电力报装绿色通道，优化报装流程，压缩接电时间，助力提升营商环境。围绕行政许可、项目审批、市场运营、安全管控等重点监管业务，持续深化“互联网+监管”。</w:t>
      </w:r>
    </w:p>
    <w:p w14:paraId="100FE00B">
      <w:pPr>
        <w:pStyle w:val="36"/>
      </w:pPr>
      <w:bookmarkStart w:id="49" w:name="_Toc235370265"/>
      <w:r>
        <w:t>（二）</w:t>
      </w:r>
      <w:bookmarkStart w:id="50" w:name="OLE_LINK7"/>
      <w:bookmarkStart w:id="51" w:name="OLE_LINK6"/>
      <w:r>
        <w:t>构建数字</w:t>
      </w:r>
      <w:r>
        <w:rPr>
          <w:rFonts w:hint="eastAsia"/>
        </w:rPr>
        <w:t>智慧</w:t>
      </w:r>
      <w:r>
        <w:t>能源治理平台</w:t>
      </w:r>
      <w:bookmarkEnd w:id="49"/>
      <w:bookmarkEnd w:id="50"/>
      <w:bookmarkEnd w:id="51"/>
    </w:p>
    <w:p w14:paraId="0E4EC365">
      <w:pPr>
        <w:pStyle w:val="39"/>
        <w:ind w:firstLine="640"/>
      </w:pPr>
      <w:bookmarkStart w:id="52" w:name="OLE_LINK37"/>
      <w:r>
        <w:rPr>
          <w:rFonts w:hint="eastAsia"/>
        </w:rPr>
        <w:t>鼓励有条件的园区、企业建设智慧能源管控及碳资产管理平台。加强对园区能源设施、项目能耗及碳排放的监督管理，接入各类能源设施及用户智慧能源系统数据，支持定期开展节能审计与碳排放核算，将项目成效纳入重点企业节能考核指标，实现能源与碳排放数据智慧化管理。</w:t>
      </w:r>
    </w:p>
    <w:p w14:paraId="02E9C8B2">
      <w:pPr>
        <w:pStyle w:val="39"/>
        <w:ind w:firstLine="640"/>
      </w:pPr>
      <w:r>
        <w:rPr>
          <w:rFonts w:hint="eastAsia"/>
        </w:rPr>
        <w:t>支持临空经济区等重点区域打造能源互联网管理平台。推动临空经济区能源互联网平台建设，融合大数据分析、物联网、人工智能等技术，建设涵盖能源服务、碳资产管理、电力交易等功能的综合平台，实现六大能源片区服务数据数字化、应用管理一体化、运行智能化、用能经济化。</w:t>
      </w:r>
    </w:p>
    <w:bookmarkEnd w:id="52"/>
    <w:p w14:paraId="6C2541D0">
      <w:pPr>
        <w:pStyle w:val="35"/>
      </w:pPr>
      <w:bookmarkStart w:id="53" w:name="_Toc235370266"/>
      <w:r>
        <w:rPr>
          <w:rFonts w:hint="eastAsia"/>
        </w:rPr>
        <w:t>七</w:t>
      </w:r>
      <w:r>
        <w:t>、高水平能源合作共享行动</w:t>
      </w:r>
      <w:bookmarkEnd w:id="53"/>
    </w:p>
    <w:p w14:paraId="727E6647">
      <w:pPr>
        <w:pStyle w:val="36"/>
      </w:pPr>
      <w:bookmarkStart w:id="54" w:name="_Toc235370267"/>
      <w:bookmarkStart w:id="55" w:name="OLE_LINK22"/>
      <w:bookmarkStart w:id="56" w:name="OLE_LINK21"/>
      <w:r>
        <w:rPr>
          <w:rFonts w:hint="eastAsia"/>
        </w:rPr>
        <w:t>（一）深度融入京津冀能源协同发展</w:t>
      </w:r>
      <w:bookmarkEnd w:id="54"/>
    </w:p>
    <w:p w14:paraId="0948AE32">
      <w:pPr>
        <w:pStyle w:val="39"/>
        <w:ind w:firstLine="640"/>
      </w:pPr>
      <w:bookmarkStart w:id="57" w:name="OLE_LINK36"/>
      <w:bookmarkStart w:id="58" w:name="OLE_LINK35"/>
      <w:r>
        <w:rPr>
          <w:rFonts w:hint="eastAsia"/>
        </w:rPr>
        <w:t>加强区域能源供应协同保障。立足大兴区作为京津冀协同发展桥头堡定位，优化外部支撑性电源布局，协同推进涿州热电二期等环京电源点项目建成投产。推动能源基础设施互联互通，强化省间500千伏电力互济与外省绿电输送能力。稳妥发展省间长输供热，推动廊坊永清至北京南部中深层地热项目建成</w:t>
      </w:r>
      <w:r>
        <w:t>投运</w:t>
      </w:r>
      <w:r>
        <w:rPr>
          <w:rFonts w:hint="eastAsia"/>
        </w:rPr>
        <w:t>。</w:t>
      </w:r>
    </w:p>
    <w:p w14:paraId="1A21F3A3">
      <w:pPr>
        <w:pStyle w:val="39"/>
        <w:ind w:firstLine="640"/>
      </w:pPr>
      <w:r>
        <w:rPr>
          <w:rFonts w:hint="eastAsia"/>
        </w:rPr>
        <w:t>建设</w:t>
      </w:r>
      <w:r>
        <w:t>跨区域能源</w:t>
      </w:r>
      <w:r>
        <w:rPr>
          <w:rFonts w:hint="eastAsia"/>
        </w:rPr>
        <w:t>创新共同体。围绕城市可再生能源开发、新型储能、氢能热电联供等课题，开展协同攻关与技术示范。深化多层次、高水平能源行业交流，围绕重大课题与行业标准制定开展深度合作。依托“兴滨雄”平台，推动三地人才一体化发展，建立能源领域人才联合培养与资质互认制度，打造京津冀能源人才资源集聚高地。</w:t>
      </w:r>
    </w:p>
    <w:bookmarkEnd w:id="55"/>
    <w:bookmarkEnd w:id="56"/>
    <w:bookmarkEnd w:id="57"/>
    <w:bookmarkEnd w:id="58"/>
    <w:p w14:paraId="22575FB4">
      <w:pPr>
        <w:pStyle w:val="36"/>
      </w:pPr>
      <w:bookmarkStart w:id="59" w:name="_Toc235370268"/>
      <w:r>
        <w:t>（二）</w:t>
      </w:r>
      <w:r>
        <w:rPr>
          <w:rFonts w:hint="eastAsia"/>
        </w:rPr>
        <w:t>促进能源领域民营经济加快发展</w:t>
      </w:r>
      <w:bookmarkEnd w:id="59"/>
    </w:p>
    <w:p w14:paraId="32392186">
      <w:pPr>
        <w:pStyle w:val="39"/>
        <w:ind w:firstLine="640"/>
      </w:pPr>
      <w:r>
        <w:t>持续促进能源领域民营经济加快发展。充分</w:t>
      </w:r>
      <w:r>
        <w:rPr>
          <w:rFonts w:hint="eastAsia"/>
        </w:rPr>
        <w:t>发挥民营经济主体多元、形式多样、运行灵活、市场敏锐度高的特色，持续优化稳定公平透明可预期的营商环境，鼓励民营企业参与投资我区综合能源站、生物质开发利用等能源重点项目，支持民营企业积极投资新型储能、虚拟电厂、充电基础设施、智能微电网等</w:t>
      </w:r>
      <w:r>
        <w:t>新兴业态</w:t>
      </w:r>
      <w:r>
        <w:rPr>
          <w:rFonts w:hint="eastAsia"/>
        </w:rPr>
        <w:t>。</w:t>
      </w:r>
    </w:p>
    <w:p w14:paraId="6308548C">
      <w:pPr>
        <w:pStyle w:val="36"/>
      </w:pPr>
      <w:bookmarkStart w:id="60" w:name="_Toc235370269"/>
      <w:bookmarkStart w:id="61" w:name="OLE_LINK33"/>
      <w:bookmarkStart w:id="62" w:name="OLE_LINK34"/>
      <w:r>
        <w:t>（三）推动城乡共享能源发展成果</w:t>
      </w:r>
      <w:bookmarkEnd w:id="60"/>
    </w:p>
    <w:bookmarkEnd w:id="61"/>
    <w:bookmarkEnd w:id="62"/>
    <w:p w14:paraId="53128D56">
      <w:pPr>
        <w:pStyle w:val="39"/>
        <w:ind w:firstLine="640"/>
      </w:pPr>
      <w:r>
        <w:rPr>
          <w:rFonts w:hint="eastAsia"/>
        </w:rPr>
        <w:t>推动城乡共享能源发展成果。大力提升城乡基本能源服务水平，进一步</w:t>
      </w:r>
      <w:r>
        <w:t>完善</w:t>
      </w:r>
      <w:r>
        <w:rPr>
          <w:rFonts w:hint="eastAsia"/>
        </w:rPr>
        <w:t>郊区及农村地区配电网、燃气管网、清洁供暖等民生用能基础设施网络，加快居民社区、重点乡镇及骨干公路沿线充电、加氢设施建设，保障新能源汽车出行无忧。推广“一证办电”“一网通办”等便民服务，深化“获得电力”改革。统筹推进重点村镇农房节能改造、绿电替代和农林碳汇开发，积极推广地源热泵、分布式光伏、光储充一体化等清洁用能模式。</w:t>
      </w:r>
    </w:p>
    <w:p w14:paraId="13FD99AA">
      <w:pPr>
        <w:pStyle w:val="35"/>
      </w:pPr>
      <w:bookmarkStart w:id="63" w:name="_Toc235370270"/>
      <w:r>
        <w:t>八、</w:t>
      </w:r>
      <w:bookmarkEnd w:id="63"/>
      <w:bookmarkStart w:id="64" w:name="_Toc235370271"/>
      <w:r>
        <w:t>保障措施</w:t>
      </w:r>
      <w:bookmarkEnd w:id="64"/>
    </w:p>
    <w:p w14:paraId="01AF34B7">
      <w:pPr>
        <w:pStyle w:val="39"/>
        <w:ind w:firstLine="640"/>
      </w:pPr>
      <w:bookmarkStart w:id="65" w:name="OLE_LINK32"/>
      <w:bookmarkStart w:id="66" w:name="OLE_LINK31"/>
      <w:r>
        <w:rPr>
          <w:rFonts w:hint="eastAsia"/>
        </w:rPr>
        <w:t>加强规划统筹实施。建立健全区级统筹、部门协同、社会各方共同参与的规划实施工作机制，明确责任分工，及时协调解决重大问题，统筹推进重点任务与重点工程。做好能源发展规划与经济社会发展、国土空间等各级各类规划的紧密衔接，充分发挥规划导向作用，做好重要能源设施场址预留与前期手续办理，完善规划约束与动态评估机制。</w:t>
      </w:r>
    </w:p>
    <w:p w14:paraId="14E060CB">
      <w:pPr>
        <w:pStyle w:val="39"/>
        <w:ind w:firstLine="640"/>
        <w:rPr>
          <w:rFonts w:hint="eastAsia" w:eastAsia="仿宋_GB2312"/>
          <w:lang w:eastAsia="zh-CN"/>
        </w:rPr>
        <w:sectPr>
          <w:footerReference r:id="rId6" w:type="default"/>
          <w:pgSz w:w="11906" w:h="16838"/>
          <w:pgMar w:top="1984" w:right="1616" w:bottom="1814" w:left="1616" w:header="851" w:footer="992" w:gutter="0"/>
          <w:pgNumType w:fmt="numberInDash"/>
          <w:cols w:space="0" w:num="1"/>
          <w:docGrid w:type="lines" w:linePitch="312" w:charSpace="0"/>
        </w:sectPr>
      </w:pPr>
      <w:r>
        <w:rPr>
          <w:rFonts w:hint="eastAsia"/>
        </w:rPr>
        <w:t>强化多要素支持保障。积极争取“两重”“两新”及市级专项资金支持，创新投融资模式。强化土地要素保障，加强部门协调联动，保障重点项目和重大工程建设用地。鼓励引进能源科技前沿领域顶尖团队和人才，围绕氢能、智慧能源、新型储能、地热能等重点领域建设一批创新中心与实验室，为能源转型与创新发展提供有力智力支撑</w:t>
      </w:r>
      <w:r>
        <w:rPr>
          <w:rFonts w:hint="eastAsia"/>
          <w:lang w:eastAsia="zh-CN"/>
        </w:rPr>
        <w:t>。</w:t>
      </w:r>
    </w:p>
    <w:bookmarkEnd w:id="65"/>
    <w:bookmarkEnd w:id="66"/>
    <w:p w14:paraId="50C5A42B">
      <w:pPr>
        <w:pStyle w:val="36"/>
        <w:ind w:left="0" w:leftChars="0" w:firstLine="0" w:firstLineChars="0"/>
        <w:outlineLvl w:val="9"/>
        <w:rPr>
          <w:rFonts w:hint="eastAsia" w:eastAsia="仿宋_GB2312" w:cs="方正小标宋简体"/>
        </w:rPr>
      </w:pPr>
    </w:p>
    <w:sectPr>
      <w:pgSz w:w="11906" w:h="16838"/>
      <w:pgMar w:top="1984" w:right="1616" w:bottom="1814" w:left="1616"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B596D">
    <w:pPr>
      <w:pStyle w:val="17"/>
    </w:pPr>
    <w:r>
      <mc:AlternateContent>
        <mc:Choice Requires="wps">
          <w:drawing>
            <wp:anchor distT="0" distB="0" distL="114300" distR="114300" simplePos="0" relativeHeight="251660288" behindDoc="0" locked="0" layoutInCell="1" allowOverlap="1">
              <wp:simplePos x="0" y="0"/>
              <wp:positionH relativeFrom="margin">
                <wp:posOffset>2706370</wp:posOffset>
              </wp:positionH>
              <wp:positionV relativeFrom="paragraph">
                <wp:posOffset>-248285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16B6E">
                          <w:pPr>
                            <w:pStyle w:val="17"/>
                            <w:rPr>
                              <w:rFonts w:ascii="仿宋_GB2312" w:hAnsi="仿宋_GB2312" w:eastAsia="仿宋_GB2312" w:cs="仿宋_GB2312"/>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3.1pt;margin-top:-19.55pt;height:144pt;width:144pt;mso-position-horizontal-relative:margin;mso-wrap-style:none;z-index:251660288;mso-width-relative:page;mso-height-relative:page;" filled="f" stroked="f" coordsize="21600,21600" o:gfxdata="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CLNm&#10;WdjqneUROirm7eoYIGCnaxSlV2LQCtPWdWZ4GXGc/9x3UY9/g+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Uur09kAAAALAQAADwAAAAAAAAABACAAAAAiAAAAZHJzL2Rvd25yZXYueG1sUEsBAhQA&#10;FAAAAAgAh07iQIzXDnwqAgAAVQQAAA4AAAAAAAAAAQAgAAAAKAEAAGRycy9lMm9Eb2MueG1sUEsF&#10;BgAAAAAGAAYAWQEAAMQFAAAAAA==&#10;">
              <v:fill on="f" focussize="0,0"/>
              <v:stroke on="f" weight="0.5pt"/>
              <v:imagedata o:title=""/>
              <o:lock v:ext="edit" aspectratio="f"/>
              <v:textbox inset="0mm,0mm,0mm,0mm" style="mso-fit-shape-to-text:t;">
                <w:txbxContent>
                  <w:p w14:paraId="4F516B6E">
                    <w:pPr>
                      <w:pStyle w:val="17"/>
                      <w:rPr>
                        <w:rFonts w:ascii="仿宋_GB2312" w:hAnsi="仿宋_GB2312" w:eastAsia="仿宋_GB2312" w:cs="仿宋_GB2312"/>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58CA7">
    <w:pPr>
      <w:pStyle w:val="17"/>
    </w:pPr>
    <w:r>
      <mc:AlternateContent>
        <mc:Choice Requires="wps">
          <w:drawing>
            <wp:anchor distT="0" distB="0" distL="114300" distR="114300" simplePos="0" relativeHeight="251659264" behindDoc="0" locked="0" layoutInCell="1" allowOverlap="1">
              <wp:simplePos x="0" y="0"/>
              <wp:positionH relativeFrom="margin">
                <wp:posOffset>2706370</wp:posOffset>
              </wp:positionH>
              <wp:positionV relativeFrom="paragraph">
                <wp:posOffset>-248285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BD740">
                          <w:pPr>
                            <w:pStyle w:val="17"/>
                            <w:rPr>
                              <w:rFonts w:ascii="仿宋_GB2312" w:hAnsi="仿宋_GB2312" w:eastAsia="仿宋_GB2312" w:cs="仿宋_GB2312"/>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3.1pt;margin-top:-19.55pt;height:144pt;width:144pt;mso-position-horizontal-relative:margin;mso-wrap-style:none;z-index:251659264;mso-width-relative:page;mso-height-relative:page;" filled="f" stroked="f" coordsize="21600,21600" o:gfxdata="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lLq9PZAAAACwEAAA8AAAAAAAAAAQAgAAAAIgAAAGRycy9kb3ducmV2LnhtbFBLAQIU&#10;ABQAAAAIAIdO4kAFYYw/KwIAAFUEAAAOAAAAAAAAAAEAIAAAACgBAABkcnMvZTJvRG9jLnhtbFBL&#10;BQYAAAAABgAGAFkBAADFBQAAAAA=&#10;">
              <v:fill on="f" focussize="0,0"/>
              <v:stroke on="f" weight="0.5pt"/>
              <v:imagedata o:title=""/>
              <o:lock v:ext="edit" aspectratio="f"/>
              <v:textbox inset="0mm,0mm,0mm,0mm" style="mso-fit-shape-to-text:t;">
                <w:txbxContent>
                  <w:p w14:paraId="4F4BD740">
                    <w:pPr>
                      <w:pStyle w:val="17"/>
                      <w:rPr>
                        <w:rFonts w:ascii="仿宋_GB2312" w:hAnsi="仿宋_GB2312" w:eastAsia="仿宋_GB2312" w:cs="仿宋_GB2312"/>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7BFEA">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-248285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54D6C">
                          <w:pPr>
                            <w:pStyle w:val="17"/>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9.55pt;height:144pt;width:144pt;mso-position-horizontal:center;mso-position-horizontal-relative:margin;mso-wrap-style:none;z-index:251660288;mso-width-relative:page;mso-height-relative:page;" filled="f" stroked="f" coordsize="21600,21600" o:gfxdata="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pNP1gAAAAg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40354D6C">
                    <w:pPr>
                      <w:pStyle w:val="17"/>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214B5">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998AA"/>
    <w:multiLevelType w:val="multilevel"/>
    <w:tmpl w:val="BE7998AA"/>
    <w:lvl w:ilvl="0" w:tentative="0">
      <w:start w:val="1"/>
      <w:numFmt w:val="chineseCountingThousand"/>
      <w:suff w:val="nothing"/>
      <w:lvlText w:val="%1、"/>
      <w:lvlJc w:val="left"/>
      <w:pPr>
        <w:ind w:left="567" w:firstLine="0"/>
      </w:pPr>
      <w:rPr>
        <w:rFonts w:hint="eastAsia"/>
      </w:rPr>
    </w:lvl>
    <w:lvl w:ilvl="1" w:tentative="0">
      <w:start w:val="1"/>
      <w:numFmt w:val="decimal"/>
      <w:pStyle w:val="4"/>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042A7239"/>
    <w:multiLevelType w:val="multilevel"/>
    <w:tmpl w:val="042A7239"/>
    <w:lvl w:ilvl="0" w:tentative="0">
      <w:start w:val="1"/>
      <w:numFmt w:val="chineseCountingThousand"/>
      <w:lvlText w:val="（%1）"/>
      <w:lvlJc w:val="left"/>
      <w:pPr>
        <w:ind w:left="1060" w:hanging="420"/>
      </w:pPr>
      <w:rPr>
        <w:rFonts w:hint="eastAsia"/>
      </w:rPr>
    </w:lvl>
    <w:lvl w:ilvl="1" w:tentative="0">
      <w:start w:val="1"/>
      <w:numFmt w:val="lowerLetter"/>
      <w:lvlText w:val="%2)"/>
      <w:lvlJc w:val="left"/>
      <w:pPr>
        <w:ind w:left="1480" w:hanging="420"/>
      </w:pPr>
      <w:rPr>
        <w:rFonts w:hint="eastAsia"/>
      </w:rPr>
    </w:lvl>
    <w:lvl w:ilvl="2" w:tentative="0">
      <w:start w:val="1"/>
      <w:numFmt w:val="decimal"/>
      <w:suff w:val="nothing"/>
      <w:lvlText w:val="%3."/>
      <w:lvlJc w:val="right"/>
      <w:pPr>
        <w:ind w:left="-340" w:firstLine="1247"/>
      </w:pPr>
      <w:rPr>
        <w:rFonts w:hint="eastAsia"/>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44"/>
      <w:lvlText w:val="（%4）"/>
      <w:lvlJc w:val="left"/>
      <w:pPr>
        <w:ind w:left="2320" w:hanging="420"/>
      </w:pPr>
      <w:rPr>
        <w:rFonts w:hint="eastAsia"/>
      </w:rPr>
    </w:lvl>
    <w:lvl w:ilvl="4" w:tentative="0">
      <w:start w:val="1"/>
      <w:numFmt w:val="lowerLetter"/>
      <w:lvlText w:val="%5)"/>
      <w:lvlJc w:val="left"/>
      <w:pPr>
        <w:ind w:left="2740" w:hanging="420"/>
      </w:pPr>
      <w:rPr>
        <w:rFonts w:hint="eastAsia"/>
      </w:rPr>
    </w:lvl>
    <w:lvl w:ilvl="5" w:tentative="0">
      <w:start w:val="1"/>
      <w:numFmt w:val="lowerRoman"/>
      <w:lvlText w:val="%6."/>
      <w:lvlJc w:val="right"/>
      <w:pPr>
        <w:ind w:left="3160" w:hanging="420"/>
      </w:pPr>
      <w:rPr>
        <w:rFonts w:hint="eastAsia"/>
      </w:rPr>
    </w:lvl>
    <w:lvl w:ilvl="6" w:tentative="0">
      <w:start w:val="1"/>
      <w:numFmt w:val="decimal"/>
      <w:lvlText w:val="%7."/>
      <w:lvlJc w:val="left"/>
      <w:pPr>
        <w:ind w:left="3580" w:hanging="420"/>
      </w:pPr>
      <w:rPr>
        <w:rFonts w:hint="eastAsia"/>
      </w:rPr>
    </w:lvl>
    <w:lvl w:ilvl="7" w:tentative="0">
      <w:start w:val="1"/>
      <w:numFmt w:val="lowerLetter"/>
      <w:lvlText w:val="%8)"/>
      <w:lvlJc w:val="left"/>
      <w:pPr>
        <w:ind w:left="4000" w:hanging="420"/>
      </w:pPr>
      <w:rPr>
        <w:rFonts w:hint="eastAsia"/>
      </w:rPr>
    </w:lvl>
    <w:lvl w:ilvl="8" w:tentative="0">
      <w:start w:val="1"/>
      <w:numFmt w:val="lowerRoman"/>
      <w:lvlText w:val="%9."/>
      <w:lvlJc w:val="right"/>
      <w:pPr>
        <w:ind w:left="4420" w:hanging="420"/>
      </w:pPr>
      <w:rPr>
        <w:rFonts w:hint="eastAsia"/>
      </w:rPr>
    </w:lvl>
  </w:abstractNum>
  <w:abstractNum w:abstractNumId="2">
    <w:nsid w:val="50911C40"/>
    <w:multiLevelType w:val="multilevel"/>
    <w:tmpl w:val="50911C40"/>
    <w:lvl w:ilvl="0" w:tentative="0">
      <w:start w:val="1"/>
      <w:numFmt w:val="decimal"/>
      <w:pStyle w:val="42"/>
      <w:suff w:val="nothing"/>
      <w:lvlText w:val="表%1 "/>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B1A196C"/>
    <w:multiLevelType w:val="multilevel"/>
    <w:tmpl w:val="6B1A196C"/>
    <w:lvl w:ilvl="0" w:tentative="0">
      <w:start w:val="1"/>
      <w:numFmt w:val="decimal"/>
      <w:pStyle w:val="48"/>
      <w:lvlText w:val="表%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YTBjYjlhYjhiMzBhMGI4ZjY2NTZlYmQ3MzM3MDYifQ=="/>
  </w:docVars>
  <w:rsids>
    <w:rsidRoot w:val="00EE2126"/>
    <w:rsid w:val="00000731"/>
    <w:rsid w:val="00000BBF"/>
    <w:rsid w:val="00001BDB"/>
    <w:rsid w:val="00004729"/>
    <w:rsid w:val="00005969"/>
    <w:rsid w:val="000074E5"/>
    <w:rsid w:val="00010F49"/>
    <w:rsid w:val="00011349"/>
    <w:rsid w:val="00011652"/>
    <w:rsid w:val="000131CD"/>
    <w:rsid w:val="00013928"/>
    <w:rsid w:val="00015309"/>
    <w:rsid w:val="000153F0"/>
    <w:rsid w:val="00016F4C"/>
    <w:rsid w:val="00023113"/>
    <w:rsid w:val="000235F3"/>
    <w:rsid w:val="00024B62"/>
    <w:rsid w:val="00026785"/>
    <w:rsid w:val="00027BD3"/>
    <w:rsid w:val="00030273"/>
    <w:rsid w:val="000312B9"/>
    <w:rsid w:val="0003134B"/>
    <w:rsid w:val="00032723"/>
    <w:rsid w:val="000354E9"/>
    <w:rsid w:val="00035BD0"/>
    <w:rsid w:val="0003651E"/>
    <w:rsid w:val="00042037"/>
    <w:rsid w:val="00042FCC"/>
    <w:rsid w:val="000457F9"/>
    <w:rsid w:val="000470CA"/>
    <w:rsid w:val="000470EC"/>
    <w:rsid w:val="00051FA4"/>
    <w:rsid w:val="00052114"/>
    <w:rsid w:val="0005423E"/>
    <w:rsid w:val="00055BF2"/>
    <w:rsid w:val="00056A61"/>
    <w:rsid w:val="0006254A"/>
    <w:rsid w:val="00065542"/>
    <w:rsid w:val="00065A74"/>
    <w:rsid w:val="00065DF9"/>
    <w:rsid w:val="00065F25"/>
    <w:rsid w:val="000665E6"/>
    <w:rsid w:val="0007071D"/>
    <w:rsid w:val="0007174E"/>
    <w:rsid w:val="00073B90"/>
    <w:rsid w:val="000757DF"/>
    <w:rsid w:val="00075AF8"/>
    <w:rsid w:val="000773AF"/>
    <w:rsid w:val="0007755C"/>
    <w:rsid w:val="00077ECA"/>
    <w:rsid w:val="00080BD1"/>
    <w:rsid w:val="0008380F"/>
    <w:rsid w:val="00083F10"/>
    <w:rsid w:val="00084A97"/>
    <w:rsid w:val="00085BE9"/>
    <w:rsid w:val="00086CB7"/>
    <w:rsid w:val="000911CE"/>
    <w:rsid w:val="000928BA"/>
    <w:rsid w:val="00093558"/>
    <w:rsid w:val="000939C8"/>
    <w:rsid w:val="00093E60"/>
    <w:rsid w:val="00094183"/>
    <w:rsid w:val="0009433E"/>
    <w:rsid w:val="00094FB5"/>
    <w:rsid w:val="00095C81"/>
    <w:rsid w:val="00095F87"/>
    <w:rsid w:val="00096032"/>
    <w:rsid w:val="00096721"/>
    <w:rsid w:val="000A0FED"/>
    <w:rsid w:val="000A1D7F"/>
    <w:rsid w:val="000A239D"/>
    <w:rsid w:val="000A3AC7"/>
    <w:rsid w:val="000A40C5"/>
    <w:rsid w:val="000A5B20"/>
    <w:rsid w:val="000A609B"/>
    <w:rsid w:val="000A645B"/>
    <w:rsid w:val="000A7565"/>
    <w:rsid w:val="000A7A4E"/>
    <w:rsid w:val="000B2F32"/>
    <w:rsid w:val="000B6D67"/>
    <w:rsid w:val="000C091C"/>
    <w:rsid w:val="000C15E0"/>
    <w:rsid w:val="000C61C9"/>
    <w:rsid w:val="000D069B"/>
    <w:rsid w:val="000D14C3"/>
    <w:rsid w:val="000D1ABC"/>
    <w:rsid w:val="000D2805"/>
    <w:rsid w:val="000D55A8"/>
    <w:rsid w:val="000D6844"/>
    <w:rsid w:val="000D6B81"/>
    <w:rsid w:val="000D73E1"/>
    <w:rsid w:val="000D7B91"/>
    <w:rsid w:val="000E02B3"/>
    <w:rsid w:val="000E181A"/>
    <w:rsid w:val="000E35C2"/>
    <w:rsid w:val="000E4174"/>
    <w:rsid w:val="000E6AC7"/>
    <w:rsid w:val="000E6D49"/>
    <w:rsid w:val="000E7980"/>
    <w:rsid w:val="000F0583"/>
    <w:rsid w:val="000F21A2"/>
    <w:rsid w:val="000F221B"/>
    <w:rsid w:val="000F2E4A"/>
    <w:rsid w:val="000F6724"/>
    <w:rsid w:val="00100174"/>
    <w:rsid w:val="001010BE"/>
    <w:rsid w:val="00101A77"/>
    <w:rsid w:val="00105B84"/>
    <w:rsid w:val="00107BC8"/>
    <w:rsid w:val="00110250"/>
    <w:rsid w:val="00111B7C"/>
    <w:rsid w:val="00113286"/>
    <w:rsid w:val="00113662"/>
    <w:rsid w:val="00113909"/>
    <w:rsid w:val="0011788B"/>
    <w:rsid w:val="00123D42"/>
    <w:rsid w:val="001254C6"/>
    <w:rsid w:val="001258F8"/>
    <w:rsid w:val="00127186"/>
    <w:rsid w:val="0013035E"/>
    <w:rsid w:val="001312DF"/>
    <w:rsid w:val="0013348A"/>
    <w:rsid w:val="00133739"/>
    <w:rsid w:val="0013378B"/>
    <w:rsid w:val="00133915"/>
    <w:rsid w:val="00140142"/>
    <w:rsid w:val="001415CA"/>
    <w:rsid w:val="001439CD"/>
    <w:rsid w:val="001466A5"/>
    <w:rsid w:val="001466B2"/>
    <w:rsid w:val="00147A25"/>
    <w:rsid w:val="00151FCE"/>
    <w:rsid w:val="0015222C"/>
    <w:rsid w:val="001523BB"/>
    <w:rsid w:val="0015344A"/>
    <w:rsid w:val="00154588"/>
    <w:rsid w:val="00154801"/>
    <w:rsid w:val="00156C08"/>
    <w:rsid w:val="00160D47"/>
    <w:rsid w:val="00160FFF"/>
    <w:rsid w:val="001617A9"/>
    <w:rsid w:val="00163251"/>
    <w:rsid w:val="00163848"/>
    <w:rsid w:val="001649A0"/>
    <w:rsid w:val="0017256C"/>
    <w:rsid w:val="00172B87"/>
    <w:rsid w:val="001739AB"/>
    <w:rsid w:val="00173DE0"/>
    <w:rsid w:val="00175C1B"/>
    <w:rsid w:val="00177A46"/>
    <w:rsid w:val="00177D52"/>
    <w:rsid w:val="00180752"/>
    <w:rsid w:val="00182D3D"/>
    <w:rsid w:val="001840E2"/>
    <w:rsid w:val="00184E08"/>
    <w:rsid w:val="00187E44"/>
    <w:rsid w:val="001913B7"/>
    <w:rsid w:val="001916EF"/>
    <w:rsid w:val="00194201"/>
    <w:rsid w:val="001968B1"/>
    <w:rsid w:val="00197279"/>
    <w:rsid w:val="001A2A33"/>
    <w:rsid w:val="001A2F30"/>
    <w:rsid w:val="001A3374"/>
    <w:rsid w:val="001A618F"/>
    <w:rsid w:val="001A6D59"/>
    <w:rsid w:val="001A72AF"/>
    <w:rsid w:val="001A7CCD"/>
    <w:rsid w:val="001B22D1"/>
    <w:rsid w:val="001C028F"/>
    <w:rsid w:val="001C17CC"/>
    <w:rsid w:val="001C1B2C"/>
    <w:rsid w:val="001C20F1"/>
    <w:rsid w:val="001C3268"/>
    <w:rsid w:val="001C390B"/>
    <w:rsid w:val="001C3CAE"/>
    <w:rsid w:val="001C4B29"/>
    <w:rsid w:val="001D015B"/>
    <w:rsid w:val="001D0720"/>
    <w:rsid w:val="001D09F5"/>
    <w:rsid w:val="001D126A"/>
    <w:rsid w:val="001D1B24"/>
    <w:rsid w:val="001D21F7"/>
    <w:rsid w:val="001D37ED"/>
    <w:rsid w:val="001D5221"/>
    <w:rsid w:val="001D5964"/>
    <w:rsid w:val="001D67A3"/>
    <w:rsid w:val="001E0F3C"/>
    <w:rsid w:val="001E1487"/>
    <w:rsid w:val="001E3F70"/>
    <w:rsid w:val="001E42FA"/>
    <w:rsid w:val="001E79E8"/>
    <w:rsid w:val="001F08AC"/>
    <w:rsid w:val="001F128D"/>
    <w:rsid w:val="001F1427"/>
    <w:rsid w:val="001F1C89"/>
    <w:rsid w:val="001F63F9"/>
    <w:rsid w:val="001F648D"/>
    <w:rsid w:val="001F769E"/>
    <w:rsid w:val="001F7BAD"/>
    <w:rsid w:val="001F7E90"/>
    <w:rsid w:val="0020032C"/>
    <w:rsid w:val="002029B6"/>
    <w:rsid w:val="002038CA"/>
    <w:rsid w:val="0020422A"/>
    <w:rsid w:val="00206A48"/>
    <w:rsid w:val="0021026F"/>
    <w:rsid w:val="00213FB8"/>
    <w:rsid w:val="00214E3B"/>
    <w:rsid w:val="002154AD"/>
    <w:rsid w:val="0021717E"/>
    <w:rsid w:val="002178F6"/>
    <w:rsid w:val="0022047B"/>
    <w:rsid w:val="002206D8"/>
    <w:rsid w:val="00220B9C"/>
    <w:rsid w:val="00222EAD"/>
    <w:rsid w:val="0022323D"/>
    <w:rsid w:val="002250BB"/>
    <w:rsid w:val="00225873"/>
    <w:rsid w:val="002271BE"/>
    <w:rsid w:val="00227301"/>
    <w:rsid w:val="0022742B"/>
    <w:rsid w:val="00227874"/>
    <w:rsid w:val="00230175"/>
    <w:rsid w:val="00233938"/>
    <w:rsid w:val="00233DA1"/>
    <w:rsid w:val="00240EED"/>
    <w:rsid w:val="00242447"/>
    <w:rsid w:val="0024287B"/>
    <w:rsid w:val="00244A2B"/>
    <w:rsid w:val="00244CD6"/>
    <w:rsid w:val="002461C3"/>
    <w:rsid w:val="00246FA8"/>
    <w:rsid w:val="002478D2"/>
    <w:rsid w:val="00247CCD"/>
    <w:rsid w:val="0025113F"/>
    <w:rsid w:val="00252909"/>
    <w:rsid w:val="00253348"/>
    <w:rsid w:val="00253FDD"/>
    <w:rsid w:val="00254804"/>
    <w:rsid w:val="0025583D"/>
    <w:rsid w:val="00256C0A"/>
    <w:rsid w:val="00261211"/>
    <w:rsid w:val="00262EAE"/>
    <w:rsid w:val="0026692A"/>
    <w:rsid w:val="00266C1A"/>
    <w:rsid w:val="002672A7"/>
    <w:rsid w:val="002672C2"/>
    <w:rsid w:val="002704BA"/>
    <w:rsid w:val="00270661"/>
    <w:rsid w:val="0027094B"/>
    <w:rsid w:val="00271113"/>
    <w:rsid w:val="00273CDE"/>
    <w:rsid w:val="0027513A"/>
    <w:rsid w:val="00277156"/>
    <w:rsid w:val="0027722F"/>
    <w:rsid w:val="00285653"/>
    <w:rsid w:val="0028638C"/>
    <w:rsid w:val="002905A9"/>
    <w:rsid w:val="0029073A"/>
    <w:rsid w:val="002915FD"/>
    <w:rsid w:val="0029268C"/>
    <w:rsid w:val="00296460"/>
    <w:rsid w:val="00297AAA"/>
    <w:rsid w:val="002A01DB"/>
    <w:rsid w:val="002A080F"/>
    <w:rsid w:val="002A0BDC"/>
    <w:rsid w:val="002A276E"/>
    <w:rsid w:val="002A4270"/>
    <w:rsid w:val="002A6266"/>
    <w:rsid w:val="002A6784"/>
    <w:rsid w:val="002A76C4"/>
    <w:rsid w:val="002A7BE8"/>
    <w:rsid w:val="002B05A4"/>
    <w:rsid w:val="002B3967"/>
    <w:rsid w:val="002B6709"/>
    <w:rsid w:val="002C028F"/>
    <w:rsid w:val="002C0E63"/>
    <w:rsid w:val="002C2435"/>
    <w:rsid w:val="002C3244"/>
    <w:rsid w:val="002C5573"/>
    <w:rsid w:val="002C5CB7"/>
    <w:rsid w:val="002C6070"/>
    <w:rsid w:val="002C769C"/>
    <w:rsid w:val="002D2EDF"/>
    <w:rsid w:val="002D531D"/>
    <w:rsid w:val="002D60A1"/>
    <w:rsid w:val="002D6776"/>
    <w:rsid w:val="002D67B6"/>
    <w:rsid w:val="002D6CBC"/>
    <w:rsid w:val="002E0456"/>
    <w:rsid w:val="002E056C"/>
    <w:rsid w:val="002E3F4F"/>
    <w:rsid w:val="002E40EE"/>
    <w:rsid w:val="002E4240"/>
    <w:rsid w:val="002E51D7"/>
    <w:rsid w:val="002E61AB"/>
    <w:rsid w:val="002E6BF9"/>
    <w:rsid w:val="002E751B"/>
    <w:rsid w:val="002F02A7"/>
    <w:rsid w:val="002F0DF3"/>
    <w:rsid w:val="002F2193"/>
    <w:rsid w:val="002F2808"/>
    <w:rsid w:val="002F412A"/>
    <w:rsid w:val="002F490D"/>
    <w:rsid w:val="002F6BD5"/>
    <w:rsid w:val="002F70E4"/>
    <w:rsid w:val="00301553"/>
    <w:rsid w:val="00301C79"/>
    <w:rsid w:val="003023A9"/>
    <w:rsid w:val="003023AD"/>
    <w:rsid w:val="00304F14"/>
    <w:rsid w:val="00305673"/>
    <w:rsid w:val="00305721"/>
    <w:rsid w:val="003104CF"/>
    <w:rsid w:val="00310D98"/>
    <w:rsid w:val="00310F22"/>
    <w:rsid w:val="0031136C"/>
    <w:rsid w:val="00311FD2"/>
    <w:rsid w:val="0031331E"/>
    <w:rsid w:val="003137E8"/>
    <w:rsid w:val="00313E8B"/>
    <w:rsid w:val="00315DD2"/>
    <w:rsid w:val="00315F7D"/>
    <w:rsid w:val="00316093"/>
    <w:rsid w:val="00316DEF"/>
    <w:rsid w:val="00316F09"/>
    <w:rsid w:val="003172BB"/>
    <w:rsid w:val="0032102E"/>
    <w:rsid w:val="00324826"/>
    <w:rsid w:val="003302D0"/>
    <w:rsid w:val="0033038C"/>
    <w:rsid w:val="003319C6"/>
    <w:rsid w:val="00332033"/>
    <w:rsid w:val="00333E74"/>
    <w:rsid w:val="00334DC1"/>
    <w:rsid w:val="00341E53"/>
    <w:rsid w:val="0034368F"/>
    <w:rsid w:val="003436E9"/>
    <w:rsid w:val="0034686E"/>
    <w:rsid w:val="00351BC1"/>
    <w:rsid w:val="00352213"/>
    <w:rsid w:val="003533E3"/>
    <w:rsid w:val="00354A26"/>
    <w:rsid w:val="003568B7"/>
    <w:rsid w:val="0035742D"/>
    <w:rsid w:val="00357DB7"/>
    <w:rsid w:val="00362027"/>
    <w:rsid w:val="0036308E"/>
    <w:rsid w:val="0036515B"/>
    <w:rsid w:val="00367C75"/>
    <w:rsid w:val="00367CC8"/>
    <w:rsid w:val="00370C1E"/>
    <w:rsid w:val="00375005"/>
    <w:rsid w:val="0037631E"/>
    <w:rsid w:val="00377C65"/>
    <w:rsid w:val="0038061F"/>
    <w:rsid w:val="003815FB"/>
    <w:rsid w:val="003831BB"/>
    <w:rsid w:val="003849E8"/>
    <w:rsid w:val="00385DF4"/>
    <w:rsid w:val="00386B60"/>
    <w:rsid w:val="003879FA"/>
    <w:rsid w:val="00390A00"/>
    <w:rsid w:val="00395040"/>
    <w:rsid w:val="00395B9E"/>
    <w:rsid w:val="003A29B0"/>
    <w:rsid w:val="003A3867"/>
    <w:rsid w:val="003A4B8D"/>
    <w:rsid w:val="003A4CAF"/>
    <w:rsid w:val="003A5660"/>
    <w:rsid w:val="003A66EA"/>
    <w:rsid w:val="003B2377"/>
    <w:rsid w:val="003B3462"/>
    <w:rsid w:val="003B5890"/>
    <w:rsid w:val="003C0B28"/>
    <w:rsid w:val="003C4DE9"/>
    <w:rsid w:val="003C77B4"/>
    <w:rsid w:val="003C7B12"/>
    <w:rsid w:val="003D00F0"/>
    <w:rsid w:val="003D0BA1"/>
    <w:rsid w:val="003D0C06"/>
    <w:rsid w:val="003D11FE"/>
    <w:rsid w:val="003D251E"/>
    <w:rsid w:val="003D2865"/>
    <w:rsid w:val="003E0B31"/>
    <w:rsid w:val="003E4631"/>
    <w:rsid w:val="003E4BF4"/>
    <w:rsid w:val="003E59CC"/>
    <w:rsid w:val="003E5D43"/>
    <w:rsid w:val="003E6167"/>
    <w:rsid w:val="003F03F1"/>
    <w:rsid w:val="003F08BE"/>
    <w:rsid w:val="003F2E86"/>
    <w:rsid w:val="003F3755"/>
    <w:rsid w:val="003F471D"/>
    <w:rsid w:val="003F695F"/>
    <w:rsid w:val="00401EF0"/>
    <w:rsid w:val="004029B2"/>
    <w:rsid w:val="00402EA8"/>
    <w:rsid w:val="00405EE6"/>
    <w:rsid w:val="00406F92"/>
    <w:rsid w:val="00407241"/>
    <w:rsid w:val="00407B15"/>
    <w:rsid w:val="00407DE9"/>
    <w:rsid w:val="00410C5D"/>
    <w:rsid w:val="0041154C"/>
    <w:rsid w:val="004138E5"/>
    <w:rsid w:val="00417420"/>
    <w:rsid w:val="0042151A"/>
    <w:rsid w:val="00422057"/>
    <w:rsid w:val="004259DF"/>
    <w:rsid w:val="00425C22"/>
    <w:rsid w:val="004264E5"/>
    <w:rsid w:val="004265AD"/>
    <w:rsid w:val="004275B4"/>
    <w:rsid w:val="00430B37"/>
    <w:rsid w:val="0043180A"/>
    <w:rsid w:val="00433597"/>
    <w:rsid w:val="00433BA3"/>
    <w:rsid w:val="00433BF8"/>
    <w:rsid w:val="004342B9"/>
    <w:rsid w:val="00436BE3"/>
    <w:rsid w:val="00437A89"/>
    <w:rsid w:val="00440E0D"/>
    <w:rsid w:val="00442C96"/>
    <w:rsid w:val="00450BDC"/>
    <w:rsid w:val="0045144F"/>
    <w:rsid w:val="004518E1"/>
    <w:rsid w:val="00452B46"/>
    <w:rsid w:val="00452BAA"/>
    <w:rsid w:val="00455EFF"/>
    <w:rsid w:val="004562DA"/>
    <w:rsid w:val="00456A4E"/>
    <w:rsid w:val="00457F4C"/>
    <w:rsid w:val="00460281"/>
    <w:rsid w:val="00462A3C"/>
    <w:rsid w:val="00463E40"/>
    <w:rsid w:val="0046450A"/>
    <w:rsid w:val="00464E53"/>
    <w:rsid w:val="00466F37"/>
    <w:rsid w:val="004759B5"/>
    <w:rsid w:val="00481A5C"/>
    <w:rsid w:val="004820AF"/>
    <w:rsid w:val="0048349F"/>
    <w:rsid w:val="004865B7"/>
    <w:rsid w:val="00487907"/>
    <w:rsid w:val="004910FE"/>
    <w:rsid w:val="0049351A"/>
    <w:rsid w:val="0049365B"/>
    <w:rsid w:val="00496127"/>
    <w:rsid w:val="0049654A"/>
    <w:rsid w:val="00496AC8"/>
    <w:rsid w:val="00496B58"/>
    <w:rsid w:val="00497375"/>
    <w:rsid w:val="004A0830"/>
    <w:rsid w:val="004A11AC"/>
    <w:rsid w:val="004A168B"/>
    <w:rsid w:val="004A2F08"/>
    <w:rsid w:val="004A3357"/>
    <w:rsid w:val="004A390F"/>
    <w:rsid w:val="004A408B"/>
    <w:rsid w:val="004A4C98"/>
    <w:rsid w:val="004A7301"/>
    <w:rsid w:val="004A7417"/>
    <w:rsid w:val="004A7E08"/>
    <w:rsid w:val="004B0AC6"/>
    <w:rsid w:val="004B5050"/>
    <w:rsid w:val="004B63C6"/>
    <w:rsid w:val="004B6D1D"/>
    <w:rsid w:val="004C1C6D"/>
    <w:rsid w:val="004C3F6E"/>
    <w:rsid w:val="004C5DD0"/>
    <w:rsid w:val="004C685F"/>
    <w:rsid w:val="004C79E0"/>
    <w:rsid w:val="004D07D4"/>
    <w:rsid w:val="004D1E59"/>
    <w:rsid w:val="004D37E0"/>
    <w:rsid w:val="004D4B2B"/>
    <w:rsid w:val="004D5665"/>
    <w:rsid w:val="004E0147"/>
    <w:rsid w:val="004E02CA"/>
    <w:rsid w:val="004E1051"/>
    <w:rsid w:val="004E15F9"/>
    <w:rsid w:val="004E1661"/>
    <w:rsid w:val="004E32CB"/>
    <w:rsid w:val="004E38D4"/>
    <w:rsid w:val="004E441E"/>
    <w:rsid w:val="004E6BF9"/>
    <w:rsid w:val="004F0C66"/>
    <w:rsid w:val="004F12E0"/>
    <w:rsid w:val="004F1CD4"/>
    <w:rsid w:val="004F2C85"/>
    <w:rsid w:val="004F640D"/>
    <w:rsid w:val="00500FCE"/>
    <w:rsid w:val="005015F9"/>
    <w:rsid w:val="00501C63"/>
    <w:rsid w:val="00502155"/>
    <w:rsid w:val="00502FDB"/>
    <w:rsid w:val="00504A46"/>
    <w:rsid w:val="005058FC"/>
    <w:rsid w:val="00505EE8"/>
    <w:rsid w:val="0050614B"/>
    <w:rsid w:val="00510C99"/>
    <w:rsid w:val="0051134D"/>
    <w:rsid w:val="005125B8"/>
    <w:rsid w:val="00513D0E"/>
    <w:rsid w:val="0051453A"/>
    <w:rsid w:val="005154E8"/>
    <w:rsid w:val="00516DEA"/>
    <w:rsid w:val="00517AA5"/>
    <w:rsid w:val="00520E2C"/>
    <w:rsid w:val="00521DAA"/>
    <w:rsid w:val="0052340E"/>
    <w:rsid w:val="00524465"/>
    <w:rsid w:val="0052446B"/>
    <w:rsid w:val="005245BA"/>
    <w:rsid w:val="005245F5"/>
    <w:rsid w:val="00524C65"/>
    <w:rsid w:val="005256FF"/>
    <w:rsid w:val="005270F1"/>
    <w:rsid w:val="00527503"/>
    <w:rsid w:val="00527F3E"/>
    <w:rsid w:val="00532B6D"/>
    <w:rsid w:val="00533189"/>
    <w:rsid w:val="00535231"/>
    <w:rsid w:val="00535F45"/>
    <w:rsid w:val="005407E3"/>
    <w:rsid w:val="00542A52"/>
    <w:rsid w:val="005459A0"/>
    <w:rsid w:val="0054638F"/>
    <w:rsid w:val="00546BD6"/>
    <w:rsid w:val="00546DB8"/>
    <w:rsid w:val="0054707A"/>
    <w:rsid w:val="00550DA7"/>
    <w:rsid w:val="0055564F"/>
    <w:rsid w:val="005609B1"/>
    <w:rsid w:val="0056251A"/>
    <w:rsid w:val="00564CE4"/>
    <w:rsid w:val="005719E4"/>
    <w:rsid w:val="00572967"/>
    <w:rsid w:val="00574801"/>
    <w:rsid w:val="005756EF"/>
    <w:rsid w:val="0057597D"/>
    <w:rsid w:val="0057609D"/>
    <w:rsid w:val="00581658"/>
    <w:rsid w:val="0058179B"/>
    <w:rsid w:val="00583C4A"/>
    <w:rsid w:val="0058595E"/>
    <w:rsid w:val="00585E75"/>
    <w:rsid w:val="005861A2"/>
    <w:rsid w:val="005864CF"/>
    <w:rsid w:val="00587442"/>
    <w:rsid w:val="00587D11"/>
    <w:rsid w:val="005908A2"/>
    <w:rsid w:val="00590D19"/>
    <w:rsid w:val="00591227"/>
    <w:rsid w:val="00592E38"/>
    <w:rsid w:val="005969FC"/>
    <w:rsid w:val="005A01F7"/>
    <w:rsid w:val="005A09FB"/>
    <w:rsid w:val="005A1107"/>
    <w:rsid w:val="005A2883"/>
    <w:rsid w:val="005A3678"/>
    <w:rsid w:val="005A5C3A"/>
    <w:rsid w:val="005A6103"/>
    <w:rsid w:val="005B0568"/>
    <w:rsid w:val="005B2318"/>
    <w:rsid w:val="005B30A2"/>
    <w:rsid w:val="005B3DD8"/>
    <w:rsid w:val="005B4BCF"/>
    <w:rsid w:val="005B5FCC"/>
    <w:rsid w:val="005C0773"/>
    <w:rsid w:val="005C086D"/>
    <w:rsid w:val="005C0E07"/>
    <w:rsid w:val="005C0E8F"/>
    <w:rsid w:val="005C14B9"/>
    <w:rsid w:val="005C1503"/>
    <w:rsid w:val="005C39B6"/>
    <w:rsid w:val="005C4E39"/>
    <w:rsid w:val="005C5E25"/>
    <w:rsid w:val="005C6953"/>
    <w:rsid w:val="005C6FB3"/>
    <w:rsid w:val="005C707E"/>
    <w:rsid w:val="005D00BF"/>
    <w:rsid w:val="005D1751"/>
    <w:rsid w:val="005D4510"/>
    <w:rsid w:val="005D4F58"/>
    <w:rsid w:val="005D5095"/>
    <w:rsid w:val="005D6EFE"/>
    <w:rsid w:val="005E0D4B"/>
    <w:rsid w:val="005E0ED5"/>
    <w:rsid w:val="005E18F0"/>
    <w:rsid w:val="005E3CB4"/>
    <w:rsid w:val="005E3D9C"/>
    <w:rsid w:val="005E4174"/>
    <w:rsid w:val="005E5524"/>
    <w:rsid w:val="005E5A11"/>
    <w:rsid w:val="005E6E62"/>
    <w:rsid w:val="005F0A66"/>
    <w:rsid w:val="005F1178"/>
    <w:rsid w:val="005F1976"/>
    <w:rsid w:val="005F47D3"/>
    <w:rsid w:val="005F4A74"/>
    <w:rsid w:val="005F6484"/>
    <w:rsid w:val="005F6A99"/>
    <w:rsid w:val="005F6C8C"/>
    <w:rsid w:val="006003FA"/>
    <w:rsid w:val="00600DCF"/>
    <w:rsid w:val="0060578D"/>
    <w:rsid w:val="00606C67"/>
    <w:rsid w:val="00606F1D"/>
    <w:rsid w:val="00607908"/>
    <w:rsid w:val="00610AEC"/>
    <w:rsid w:val="00610D8E"/>
    <w:rsid w:val="006112FD"/>
    <w:rsid w:val="006203E8"/>
    <w:rsid w:val="00621491"/>
    <w:rsid w:val="00623339"/>
    <w:rsid w:val="00625A5B"/>
    <w:rsid w:val="0062601C"/>
    <w:rsid w:val="006307A2"/>
    <w:rsid w:val="00631556"/>
    <w:rsid w:val="00632CC3"/>
    <w:rsid w:val="00633BD8"/>
    <w:rsid w:val="006370D7"/>
    <w:rsid w:val="0064123A"/>
    <w:rsid w:val="00642C37"/>
    <w:rsid w:val="006436B7"/>
    <w:rsid w:val="0064413B"/>
    <w:rsid w:val="00650A5F"/>
    <w:rsid w:val="00652B9C"/>
    <w:rsid w:val="006530D6"/>
    <w:rsid w:val="00653479"/>
    <w:rsid w:val="00654E1E"/>
    <w:rsid w:val="00655F98"/>
    <w:rsid w:val="0065643F"/>
    <w:rsid w:val="006578AC"/>
    <w:rsid w:val="00660E3E"/>
    <w:rsid w:val="00662982"/>
    <w:rsid w:val="00662E25"/>
    <w:rsid w:val="00663C82"/>
    <w:rsid w:val="00664FE9"/>
    <w:rsid w:val="006670A5"/>
    <w:rsid w:val="00670349"/>
    <w:rsid w:val="00671119"/>
    <w:rsid w:val="00671647"/>
    <w:rsid w:val="00671888"/>
    <w:rsid w:val="0067276C"/>
    <w:rsid w:val="00674CC5"/>
    <w:rsid w:val="0067526D"/>
    <w:rsid w:val="00677CEC"/>
    <w:rsid w:val="00681BC4"/>
    <w:rsid w:val="00682013"/>
    <w:rsid w:val="00682D27"/>
    <w:rsid w:val="00687912"/>
    <w:rsid w:val="0069112D"/>
    <w:rsid w:val="006920CB"/>
    <w:rsid w:val="006922D8"/>
    <w:rsid w:val="0069470E"/>
    <w:rsid w:val="006A2CE0"/>
    <w:rsid w:val="006A43E0"/>
    <w:rsid w:val="006A4A5F"/>
    <w:rsid w:val="006A6C04"/>
    <w:rsid w:val="006A6D1B"/>
    <w:rsid w:val="006A7CA1"/>
    <w:rsid w:val="006B0B51"/>
    <w:rsid w:val="006B1B0D"/>
    <w:rsid w:val="006B55E4"/>
    <w:rsid w:val="006B6C99"/>
    <w:rsid w:val="006B7598"/>
    <w:rsid w:val="006B77CA"/>
    <w:rsid w:val="006C338B"/>
    <w:rsid w:val="006C526E"/>
    <w:rsid w:val="006C5664"/>
    <w:rsid w:val="006C5822"/>
    <w:rsid w:val="006C607D"/>
    <w:rsid w:val="006C6920"/>
    <w:rsid w:val="006D008E"/>
    <w:rsid w:val="006D0F3B"/>
    <w:rsid w:val="006D13DB"/>
    <w:rsid w:val="006D1992"/>
    <w:rsid w:val="006D20E5"/>
    <w:rsid w:val="006D28FB"/>
    <w:rsid w:val="006D7591"/>
    <w:rsid w:val="006E3746"/>
    <w:rsid w:val="006E3999"/>
    <w:rsid w:val="006E3F0A"/>
    <w:rsid w:val="006E3F80"/>
    <w:rsid w:val="006E6587"/>
    <w:rsid w:val="006F0F8B"/>
    <w:rsid w:val="006F1C25"/>
    <w:rsid w:val="006F4EBD"/>
    <w:rsid w:val="006F4FFC"/>
    <w:rsid w:val="006F5105"/>
    <w:rsid w:val="006F594A"/>
    <w:rsid w:val="006F5FDB"/>
    <w:rsid w:val="00700C00"/>
    <w:rsid w:val="00701210"/>
    <w:rsid w:val="00703111"/>
    <w:rsid w:val="00703C9A"/>
    <w:rsid w:val="007040A1"/>
    <w:rsid w:val="00704A88"/>
    <w:rsid w:val="00707697"/>
    <w:rsid w:val="00710BE2"/>
    <w:rsid w:val="00712060"/>
    <w:rsid w:val="007131B5"/>
    <w:rsid w:val="0071567D"/>
    <w:rsid w:val="00715FD4"/>
    <w:rsid w:val="00720B3E"/>
    <w:rsid w:val="0072103F"/>
    <w:rsid w:val="00721FF7"/>
    <w:rsid w:val="007232A6"/>
    <w:rsid w:val="0072353C"/>
    <w:rsid w:val="00725BD4"/>
    <w:rsid w:val="0072638B"/>
    <w:rsid w:val="00730C6A"/>
    <w:rsid w:val="00731C0F"/>
    <w:rsid w:val="007335D4"/>
    <w:rsid w:val="00733999"/>
    <w:rsid w:val="00734DE5"/>
    <w:rsid w:val="00734EFC"/>
    <w:rsid w:val="00741BEE"/>
    <w:rsid w:val="00741D83"/>
    <w:rsid w:val="007423AD"/>
    <w:rsid w:val="00742952"/>
    <w:rsid w:val="007429A5"/>
    <w:rsid w:val="00742B62"/>
    <w:rsid w:val="00744799"/>
    <w:rsid w:val="00746F98"/>
    <w:rsid w:val="007509E7"/>
    <w:rsid w:val="00751123"/>
    <w:rsid w:val="007533C8"/>
    <w:rsid w:val="0075451F"/>
    <w:rsid w:val="00754A81"/>
    <w:rsid w:val="007572B0"/>
    <w:rsid w:val="007572CC"/>
    <w:rsid w:val="007573C1"/>
    <w:rsid w:val="00757EA7"/>
    <w:rsid w:val="007601D4"/>
    <w:rsid w:val="00762D1C"/>
    <w:rsid w:val="007635A4"/>
    <w:rsid w:val="00765CF2"/>
    <w:rsid w:val="00767FDD"/>
    <w:rsid w:val="00770571"/>
    <w:rsid w:val="0077114B"/>
    <w:rsid w:val="00772E79"/>
    <w:rsid w:val="007738BA"/>
    <w:rsid w:val="00775A99"/>
    <w:rsid w:val="007802FA"/>
    <w:rsid w:val="007819A6"/>
    <w:rsid w:val="00787714"/>
    <w:rsid w:val="00787A8F"/>
    <w:rsid w:val="00790659"/>
    <w:rsid w:val="007909B7"/>
    <w:rsid w:val="00790B91"/>
    <w:rsid w:val="0079328B"/>
    <w:rsid w:val="00793420"/>
    <w:rsid w:val="0079477E"/>
    <w:rsid w:val="00794FBB"/>
    <w:rsid w:val="00797796"/>
    <w:rsid w:val="007A0333"/>
    <w:rsid w:val="007A0EE9"/>
    <w:rsid w:val="007A16EF"/>
    <w:rsid w:val="007A1A65"/>
    <w:rsid w:val="007A2F24"/>
    <w:rsid w:val="007A32F2"/>
    <w:rsid w:val="007A4ACE"/>
    <w:rsid w:val="007A5C37"/>
    <w:rsid w:val="007A788E"/>
    <w:rsid w:val="007B1732"/>
    <w:rsid w:val="007B1B3C"/>
    <w:rsid w:val="007B1E44"/>
    <w:rsid w:val="007B3DBE"/>
    <w:rsid w:val="007B3EF4"/>
    <w:rsid w:val="007B487B"/>
    <w:rsid w:val="007B4A3E"/>
    <w:rsid w:val="007B5226"/>
    <w:rsid w:val="007B54E8"/>
    <w:rsid w:val="007B6ACD"/>
    <w:rsid w:val="007B7FCE"/>
    <w:rsid w:val="007C0C76"/>
    <w:rsid w:val="007C0F6C"/>
    <w:rsid w:val="007C179A"/>
    <w:rsid w:val="007C232E"/>
    <w:rsid w:val="007C7473"/>
    <w:rsid w:val="007C7C92"/>
    <w:rsid w:val="007D1551"/>
    <w:rsid w:val="007D174A"/>
    <w:rsid w:val="007D2850"/>
    <w:rsid w:val="007D450C"/>
    <w:rsid w:val="007D601E"/>
    <w:rsid w:val="007D65CF"/>
    <w:rsid w:val="007D66D1"/>
    <w:rsid w:val="007D6C75"/>
    <w:rsid w:val="007D7E71"/>
    <w:rsid w:val="007D7EB8"/>
    <w:rsid w:val="007E107B"/>
    <w:rsid w:val="007E19E5"/>
    <w:rsid w:val="007E3AEE"/>
    <w:rsid w:val="007E4ED7"/>
    <w:rsid w:val="007E518E"/>
    <w:rsid w:val="007E7270"/>
    <w:rsid w:val="007F160E"/>
    <w:rsid w:val="007F3635"/>
    <w:rsid w:val="007F4BC8"/>
    <w:rsid w:val="007F4F62"/>
    <w:rsid w:val="007F6981"/>
    <w:rsid w:val="007F7397"/>
    <w:rsid w:val="007F7E64"/>
    <w:rsid w:val="00801C3E"/>
    <w:rsid w:val="0080398D"/>
    <w:rsid w:val="0080481A"/>
    <w:rsid w:val="008062D1"/>
    <w:rsid w:val="00806717"/>
    <w:rsid w:val="008118C0"/>
    <w:rsid w:val="00812383"/>
    <w:rsid w:val="00814258"/>
    <w:rsid w:val="008200F8"/>
    <w:rsid w:val="00820D58"/>
    <w:rsid w:val="00823152"/>
    <w:rsid w:val="00823383"/>
    <w:rsid w:val="008239D7"/>
    <w:rsid w:val="00823CD8"/>
    <w:rsid w:val="0082446C"/>
    <w:rsid w:val="00825104"/>
    <w:rsid w:val="008268B0"/>
    <w:rsid w:val="00835924"/>
    <w:rsid w:val="00836782"/>
    <w:rsid w:val="0083707D"/>
    <w:rsid w:val="0083708B"/>
    <w:rsid w:val="008407AD"/>
    <w:rsid w:val="00840AFC"/>
    <w:rsid w:val="008417D7"/>
    <w:rsid w:val="00843ACC"/>
    <w:rsid w:val="00843EEF"/>
    <w:rsid w:val="00844C29"/>
    <w:rsid w:val="00845475"/>
    <w:rsid w:val="00845BBA"/>
    <w:rsid w:val="008465CE"/>
    <w:rsid w:val="008473D0"/>
    <w:rsid w:val="0085143B"/>
    <w:rsid w:val="00851558"/>
    <w:rsid w:val="00851D83"/>
    <w:rsid w:val="00855DBE"/>
    <w:rsid w:val="00856A06"/>
    <w:rsid w:val="00856CA1"/>
    <w:rsid w:val="00856FBF"/>
    <w:rsid w:val="0086009F"/>
    <w:rsid w:val="00860A20"/>
    <w:rsid w:val="00860C8B"/>
    <w:rsid w:val="00860E29"/>
    <w:rsid w:val="00861194"/>
    <w:rsid w:val="00861E56"/>
    <w:rsid w:val="00864CB4"/>
    <w:rsid w:val="00864F1B"/>
    <w:rsid w:val="0086516B"/>
    <w:rsid w:val="00872276"/>
    <w:rsid w:val="008726FB"/>
    <w:rsid w:val="0087440B"/>
    <w:rsid w:val="008744FA"/>
    <w:rsid w:val="008751C7"/>
    <w:rsid w:val="00877A21"/>
    <w:rsid w:val="008821E7"/>
    <w:rsid w:val="008827BB"/>
    <w:rsid w:val="00883C61"/>
    <w:rsid w:val="00884FE5"/>
    <w:rsid w:val="00885D5D"/>
    <w:rsid w:val="00886897"/>
    <w:rsid w:val="008874CD"/>
    <w:rsid w:val="00887CAD"/>
    <w:rsid w:val="00890F01"/>
    <w:rsid w:val="00891573"/>
    <w:rsid w:val="008928FE"/>
    <w:rsid w:val="00892D97"/>
    <w:rsid w:val="0089317D"/>
    <w:rsid w:val="008952FB"/>
    <w:rsid w:val="00895A84"/>
    <w:rsid w:val="008965C1"/>
    <w:rsid w:val="00896905"/>
    <w:rsid w:val="00897283"/>
    <w:rsid w:val="008976D5"/>
    <w:rsid w:val="008979B3"/>
    <w:rsid w:val="008A2219"/>
    <w:rsid w:val="008A46CE"/>
    <w:rsid w:val="008A4F44"/>
    <w:rsid w:val="008A5564"/>
    <w:rsid w:val="008A5D1D"/>
    <w:rsid w:val="008B184C"/>
    <w:rsid w:val="008B252F"/>
    <w:rsid w:val="008B2677"/>
    <w:rsid w:val="008B3CB9"/>
    <w:rsid w:val="008B4898"/>
    <w:rsid w:val="008B4C65"/>
    <w:rsid w:val="008B50E6"/>
    <w:rsid w:val="008B574E"/>
    <w:rsid w:val="008B5C6C"/>
    <w:rsid w:val="008B62E5"/>
    <w:rsid w:val="008B7E33"/>
    <w:rsid w:val="008C015B"/>
    <w:rsid w:val="008C060E"/>
    <w:rsid w:val="008C15C5"/>
    <w:rsid w:val="008C7DFC"/>
    <w:rsid w:val="008D0225"/>
    <w:rsid w:val="008D0B67"/>
    <w:rsid w:val="008D3AE7"/>
    <w:rsid w:val="008D44A0"/>
    <w:rsid w:val="008D5439"/>
    <w:rsid w:val="008D55F5"/>
    <w:rsid w:val="008D60ED"/>
    <w:rsid w:val="008D79A1"/>
    <w:rsid w:val="008E164F"/>
    <w:rsid w:val="008E20D4"/>
    <w:rsid w:val="008E2332"/>
    <w:rsid w:val="008E47C1"/>
    <w:rsid w:val="008E4DE0"/>
    <w:rsid w:val="008E5B72"/>
    <w:rsid w:val="008E66EE"/>
    <w:rsid w:val="008F0D7E"/>
    <w:rsid w:val="008F10C3"/>
    <w:rsid w:val="008F2E15"/>
    <w:rsid w:val="008F30ED"/>
    <w:rsid w:val="008F420E"/>
    <w:rsid w:val="008F4379"/>
    <w:rsid w:val="009001CE"/>
    <w:rsid w:val="009004B5"/>
    <w:rsid w:val="00903C25"/>
    <w:rsid w:val="00904891"/>
    <w:rsid w:val="009048D8"/>
    <w:rsid w:val="00904F5D"/>
    <w:rsid w:val="0090564C"/>
    <w:rsid w:val="00906F01"/>
    <w:rsid w:val="00907822"/>
    <w:rsid w:val="00907E77"/>
    <w:rsid w:val="009145A0"/>
    <w:rsid w:val="00917C18"/>
    <w:rsid w:val="009204E0"/>
    <w:rsid w:val="00921018"/>
    <w:rsid w:val="009224C6"/>
    <w:rsid w:val="009230F3"/>
    <w:rsid w:val="00923723"/>
    <w:rsid w:val="009237A0"/>
    <w:rsid w:val="00924F1C"/>
    <w:rsid w:val="0092534E"/>
    <w:rsid w:val="00925DC6"/>
    <w:rsid w:val="00926978"/>
    <w:rsid w:val="00927E82"/>
    <w:rsid w:val="0093211F"/>
    <w:rsid w:val="00935564"/>
    <w:rsid w:val="009355FC"/>
    <w:rsid w:val="009361FC"/>
    <w:rsid w:val="0093621A"/>
    <w:rsid w:val="009371B8"/>
    <w:rsid w:val="009376C2"/>
    <w:rsid w:val="009407D2"/>
    <w:rsid w:val="00941DDD"/>
    <w:rsid w:val="00942B84"/>
    <w:rsid w:val="00942FFA"/>
    <w:rsid w:val="00944BFE"/>
    <w:rsid w:val="00946BFD"/>
    <w:rsid w:val="009503A5"/>
    <w:rsid w:val="00954971"/>
    <w:rsid w:val="009550FC"/>
    <w:rsid w:val="00956F3F"/>
    <w:rsid w:val="00961952"/>
    <w:rsid w:val="00963449"/>
    <w:rsid w:val="00963ACB"/>
    <w:rsid w:val="00963B63"/>
    <w:rsid w:val="00963C87"/>
    <w:rsid w:val="00965381"/>
    <w:rsid w:val="00965D9C"/>
    <w:rsid w:val="009671EB"/>
    <w:rsid w:val="00970529"/>
    <w:rsid w:val="0097274F"/>
    <w:rsid w:val="00972B12"/>
    <w:rsid w:val="00972B80"/>
    <w:rsid w:val="0097336F"/>
    <w:rsid w:val="00973CD0"/>
    <w:rsid w:val="00974548"/>
    <w:rsid w:val="00975067"/>
    <w:rsid w:val="00976ECD"/>
    <w:rsid w:val="00984175"/>
    <w:rsid w:val="00984A77"/>
    <w:rsid w:val="00985CAC"/>
    <w:rsid w:val="0098687A"/>
    <w:rsid w:val="00987D4E"/>
    <w:rsid w:val="00990B32"/>
    <w:rsid w:val="009915DC"/>
    <w:rsid w:val="00993331"/>
    <w:rsid w:val="009938D0"/>
    <w:rsid w:val="00993E3B"/>
    <w:rsid w:val="00995D51"/>
    <w:rsid w:val="009965B9"/>
    <w:rsid w:val="00996AE8"/>
    <w:rsid w:val="009974AE"/>
    <w:rsid w:val="009A03E3"/>
    <w:rsid w:val="009A0C98"/>
    <w:rsid w:val="009A182F"/>
    <w:rsid w:val="009A3481"/>
    <w:rsid w:val="009A3B25"/>
    <w:rsid w:val="009A3F0C"/>
    <w:rsid w:val="009A4D65"/>
    <w:rsid w:val="009A758A"/>
    <w:rsid w:val="009A7B03"/>
    <w:rsid w:val="009A7B4D"/>
    <w:rsid w:val="009B2C6E"/>
    <w:rsid w:val="009B3714"/>
    <w:rsid w:val="009B45BB"/>
    <w:rsid w:val="009B61D1"/>
    <w:rsid w:val="009C0BC3"/>
    <w:rsid w:val="009C4138"/>
    <w:rsid w:val="009C4829"/>
    <w:rsid w:val="009C54B0"/>
    <w:rsid w:val="009C617F"/>
    <w:rsid w:val="009C66FD"/>
    <w:rsid w:val="009D00A6"/>
    <w:rsid w:val="009D0CDE"/>
    <w:rsid w:val="009D23C0"/>
    <w:rsid w:val="009D3327"/>
    <w:rsid w:val="009D3E7F"/>
    <w:rsid w:val="009D5322"/>
    <w:rsid w:val="009D6898"/>
    <w:rsid w:val="009D73C7"/>
    <w:rsid w:val="009D76E6"/>
    <w:rsid w:val="009D7AB7"/>
    <w:rsid w:val="009E18B5"/>
    <w:rsid w:val="009E1C55"/>
    <w:rsid w:val="009E1F2A"/>
    <w:rsid w:val="009E3706"/>
    <w:rsid w:val="009E4937"/>
    <w:rsid w:val="009E6DE8"/>
    <w:rsid w:val="009F0229"/>
    <w:rsid w:val="009F1D6F"/>
    <w:rsid w:val="009F1DBD"/>
    <w:rsid w:val="009F3322"/>
    <w:rsid w:val="009F363C"/>
    <w:rsid w:val="00A00DB1"/>
    <w:rsid w:val="00A0293A"/>
    <w:rsid w:val="00A02A46"/>
    <w:rsid w:val="00A02DD6"/>
    <w:rsid w:val="00A05CCE"/>
    <w:rsid w:val="00A071D2"/>
    <w:rsid w:val="00A1018F"/>
    <w:rsid w:val="00A10702"/>
    <w:rsid w:val="00A10A32"/>
    <w:rsid w:val="00A10C85"/>
    <w:rsid w:val="00A11D44"/>
    <w:rsid w:val="00A13235"/>
    <w:rsid w:val="00A14448"/>
    <w:rsid w:val="00A22057"/>
    <w:rsid w:val="00A227E0"/>
    <w:rsid w:val="00A242CD"/>
    <w:rsid w:val="00A25392"/>
    <w:rsid w:val="00A2602B"/>
    <w:rsid w:val="00A261BA"/>
    <w:rsid w:val="00A266E6"/>
    <w:rsid w:val="00A27B90"/>
    <w:rsid w:val="00A312B7"/>
    <w:rsid w:val="00A3225C"/>
    <w:rsid w:val="00A329B4"/>
    <w:rsid w:val="00A32F9A"/>
    <w:rsid w:val="00A358EA"/>
    <w:rsid w:val="00A3592D"/>
    <w:rsid w:val="00A37231"/>
    <w:rsid w:val="00A42163"/>
    <w:rsid w:val="00A44100"/>
    <w:rsid w:val="00A47ED0"/>
    <w:rsid w:val="00A52815"/>
    <w:rsid w:val="00A52DE0"/>
    <w:rsid w:val="00A52F86"/>
    <w:rsid w:val="00A54351"/>
    <w:rsid w:val="00A54EA4"/>
    <w:rsid w:val="00A563E1"/>
    <w:rsid w:val="00A577BF"/>
    <w:rsid w:val="00A62161"/>
    <w:rsid w:val="00A622E1"/>
    <w:rsid w:val="00A62ED0"/>
    <w:rsid w:val="00A630CE"/>
    <w:rsid w:val="00A6408A"/>
    <w:rsid w:val="00A650E9"/>
    <w:rsid w:val="00A65D08"/>
    <w:rsid w:val="00A67194"/>
    <w:rsid w:val="00A67611"/>
    <w:rsid w:val="00A71E2D"/>
    <w:rsid w:val="00A72A10"/>
    <w:rsid w:val="00A72E14"/>
    <w:rsid w:val="00A7747C"/>
    <w:rsid w:val="00A77C6C"/>
    <w:rsid w:val="00A77CC1"/>
    <w:rsid w:val="00A82702"/>
    <w:rsid w:val="00A83573"/>
    <w:rsid w:val="00A83729"/>
    <w:rsid w:val="00A85D76"/>
    <w:rsid w:val="00A8767F"/>
    <w:rsid w:val="00A90428"/>
    <w:rsid w:val="00A9109F"/>
    <w:rsid w:val="00A91F68"/>
    <w:rsid w:val="00A92B8B"/>
    <w:rsid w:val="00A948B6"/>
    <w:rsid w:val="00A96622"/>
    <w:rsid w:val="00A96689"/>
    <w:rsid w:val="00AA1CBB"/>
    <w:rsid w:val="00AA23CF"/>
    <w:rsid w:val="00AA3595"/>
    <w:rsid w:val="00AB04CD"/>
    <w:rsid w:val="00AB2FEE"/>
    <w:rsid w:val="00AB4954"/>
    <w:rsid w:val="00AB752F"/>
    <w:rsid w:val="00AB76D0"/>
    <w:rsid w:val="00AC2C56"/>
    <w:rsid w:val="00AC4463"/>
    <w:rsid w:val="00AC668B"/>
    <w:rsid w:val="00AC7416"/>
    <w:rsid w:val="00AD039E"/>
    <w:rsid w:val="00AD08DA"/>
    <w:rsid w:val="00AD0ECB"/>
    <w:rsid w:val="00AD3CF4"/>
    <w:rsid w:val="00AD512A"/>
    <w:rsid w:val="00AD5A3B"/>
    <w:rsid w:val="00AD5E37"/>
    <w:rsid w:val="00AD79CA"/>
    <w:rsid w:val="00AE0122"/>
    <w:rsid w:val="00AE035A"/>
    <w:rsid w:val="00AE0B99"/>
    <w:rsid w:val="00AE0DCE"/>
    <w:rsid w:val="00AE149A"/>
    <w:rsid w:val="00AE4C70"/>
    <w:rsid w:val="00AE567C"/>
    <w:rsid w:val="00AE5CCA"/>
    <w:rsid w:val="00AE6A1E"/>
    <w:rsid w:val="00AE6EAE"/>
    <w:rsid w:val="00AE7577"/>
    <w:rsid w:val="00AE7656"/>
    <w:rsid w:val="00AE79D7"/>
    <w:rsid w:val="00AF1F8B"/>
    <w:rsid w:val="00AF2D03"/>
    <w:rsid w:val="00AF465D"/>
    <w:rsid w:val="00AF553B"/>
    <w:rsid w:val="00AF5B8C"/>
    <w:rsid w:val="00AF5FD2"/>
    <w:rsid w:val="00AF60EF"/>
    <w:rsid w:val="00B00A49"/>
    <w:rsid w:val="00B01900"/>
    <w:rsid w:val="00B01A43"/>
    <w:rsid w:val="00B034AA"/>
    <w:rsid w:val="00B06806"/>
    <w:rsid w:val="00B07A90"/>
    <w:rsid w:val="00B07AB7"/>
    <w:rsid w:val="00B10A3B"/>
    <w:rsid w:val="00B10F1B"/>
    <w:rsid w:val="00B14EB5"/>
    <w:rsid w:val="00B15DC5"/>
    <w:rsid w:val="00B17D1F"/>
    <w:rsid w:val="00B213B9"/>
    <w:rsid w:val="00B214B4"/>
    <w:rsid w:val="00B23251"/>
    <w:rsid w:val="00B2382B"/>
    <w:rsid w:val="00B25202"/>
    <w:rsid w:val="00B25305"/>
    <w:rsid w:val="00B2551E"/>
    <w:rsid w:val="00B26DFC"/>
    <w:rsid w:val="00B27439"/>
    <w:rsid w:val="00B27B0E"/>
    <w:rsid w:val="00B301D4"/>
    <w:rsid w:val="00B314DD"/>
    <w:rsid w:val="00B31975"/>
    <w:rsid w:val="00B32E97"/>
    <w:rsid w:val="00B3406A"/>
    <w:rsid w:val="00B3683B"/>
    <w:rsid w:val="00B3769F"/>
    <w:rsid w:val="00B40CD3"/>
    <w:rsid w:val="00B4151B"/>
    <w:rsid w:val="00B42E8E"/>
    <w:rsid w:val="00B43B68"/>
    <w:rsid w:val="00B4588D"/>
    <w:rsid w:val="00B50345"/>
    <w:rsid w:val="00B50B7E"/>
    <w:rsid w:val="00B50FB0"/>
    <w:rsid w:val="00B53259"/>
    <w:rsid w:val="00B565C2"/>
    <w:rsid w:val="00B61E58"/>
    <w:rsid w:val="00B62CA7"/>
    <w:rsid w:val="00B640D3"/>
    <w:rsid w:val="00B64BB2"/>
    <w:rsid w:val="00B666F3"/>
    <w:rsid w:val="00B70A9A"/>
    <w:rsid w:val="00B71385"/>
    <w:rsid w:val="00B72D20"/>
    <w:rsid w:val="00B73770"/>
    <w:rsid w:val="00B76687"/>
    <w:rsid w:val="00B77D93"/>
    <w:rsid w:val="00B807F9"/>
    <w:rsid w:val="00B80F1F"/>
    <w:rsid w:val="00B81666"/>
    <w:rsid w:val="00B8171A"/>
    <w:rsid w:val="00B831FB"/>
    <w:rsid w:val="00B868F3"/>
    <w:rsid w:val="00B90A00"/>
    <w:rsid w:val="00B91929"/>
    <w:rsid w:val="00B92EC3"/>
    <w:rsid w:val="00B936C2"/>
    <w:rsid w:val="00B944CA"/>
    <w:rsid w:val="00B95629"/>
    <w:rsid w:val="00B96726"/>
    <w:rsid w:val="00B9699B"/>
    <w:rsid w:val="00BA0097"/>
    <w:rsid w:val="00BA0A3D"/>
    <w:rsid w:val="00BA0F29"/>
    <w:rsid w:val="00BA2476"/>
    <w:rsid w:val="00BA3C5D"/>
    <w:rsid w:val="00BA47C3"/>
    <w:rsid w:val="00BA5273"/>
    <w:rsid w:val="00BA6F06"/>
    <w:rsid w:val="00BB22A6"/>
    <w:rsid w:val="00BB3591"/>
    <w:rsid w:val="00BB5A56"/>
    <w:rsid w:val="00BB5F05"/>
    <w:rsid w:val="00BB61E0"/>
    <w:rsid w:val="00BB6972"/>
    <w:rsid w:val="00BC33CA"/>
    <w:rsid w:val="00BC4DF1"/>
    <w:rsid w:val="00BC5F95"/>
    <w:rsid w:val="00BC790C"/>
    <w:rsid w:val="00BD1A5E"/>
    <w:rsid w:val="00BD1DD3"/>
    <w:rsid w:val="00BD2CA9"/>
    <w:rsid w:val="00BD2FB3"/>
    <w:rsid w:val="00BD7E24"/>
    <w:rsid w:val="00BE0BC0"/>
    <w:rsid w:val="00BE0E56"/>
    <w:rsid w:val="00BE2EA4"/>
    <w:rsid w:val="00BE3A21"/>
    <w:rsid w:val="00BE4581"/>
    <w:rsid w:val="00BE486D"/>
    <w:rsid w:val="00BE53C5"/>
    <w:rsid w:val="00BE5A25"/>
    <w:rsid w:val="00BE6B05"/>
    <w:rsid w:val="00BE6C06"/>
    <w:rsid w:val="00BE776D"/>
    <w:rsid w:val="00BE7EC0"/>
    <w:rsid w:val="00BF0F84"/>
    <w:rsid w:val="00BF1E60"/>
    <w:rsid w:val="00BF1F53"/>
    <w:rsid w:val="00BF70FD"/>
    <w:rsid w:val="00BF76E4"/>
    <w:rsid w:val="00C00276"/>
    <w:rsid w:val="00C016AF"/>
    <w:rsid w:val="00C0246B"/>
    <w:rsid w:val="00C02B37"/>
    <w:rsid w:val="00C03225"/>
    <w:rsid w:val="00C03247"/>
    <w:rsid w:val="00C032C4"/>
    <w:rsid w:val="00C052AA"/>
    <w:rsid w:val="00C058FA"/>
    <w:rsid w:val="00C11930"/>
    <w:rsid w:val="00C122A6"/>
    <w:rsid w:val="00C12E33"/>
    <w:rsid w:val="00C1749A"/>
    <w:rsid w:val="00C200A9"/>
    <w:rsid w:val="00C2727F"/>
    <w:rsid w:val="00C30E21"/>
    <w:rsid w:val="00C32BAA"/>
    <w:rsid w:val="00C34207"/>
    <w:rsid w:val="00C348EB"/>
    <w:rsid w:val="00C364B8"/>
    <w:rsid w:val="00C40717"/>
    <w:rsid w:val="00C41469"/>
    <w:rsid w:val="00C4327F"/>
    <w:rsid w:val="00C43D67"/>
    <w:rsid w:val="00C451AC"/>
    <w:rsid w:val="00C45772"/>
    <w:rsid w:val="00C464F2"/>
    <w:rsid w:val="00C5097B"/>
    <w:rsid w:val="00C511A1"/>
    <w:rsid w:val="00C51D49"/>
    <w:rsid w:val="00C526A8"/>
    <w:rsid w:val="00C52FE8"/>
    <w:rsid w:val="00C543D4"/>
    <w:rsid w:val="00C54C71"/>
    <w:rsid w:val="00C5716A"/>
    <w:rsid w:val="00C61DB6"/>
    <w:rsid w:val="00C66052"/>
    <w:rsid w:val="00C66271"/>
    <w:rsid w:val="00C66A32"/>
    <w:rsid w:val="00C67AB3"/>
    <w:rsid w:val="00C71282"/>
    <w:rsid w:val="00C749F2"/>
    <w:rsid w:val="00C74C3E"/>
    <w:rsid w:val="00C75446"/>
    <w:rsid w:val="00C75499"/>
    <w:rsid w:val="00C807A3"/>
    <w:rsid w:val="00C80B46"/>
    <w:rsid w:val="00C80F88"/>
    <w:rsid w:val="00C83F7A"/>
    <w:rsid w:val="00C83FEB"/>
    <w:rsid w:val="00C860A7"/>
    <w:rsid w:val="00C87A33"/>
    <w:rsid w:val="00C92DA3"/>
    <w:rsid w:val="00C937F0"/>
    <w:rsid w:val="00C93A77"/>
    <w:rsid w:val="00C963A0"/>
    <w:rsid w:val="00CA0B81"/>
    <w:rsid w:val="00CA13E8"/>
    <w:rsid w:val="00CA39B5"/>
    <w:rsid w:val="00CA41D4"/>
    <w:rsid w:val="00CA454C"/>
    <w:rsid w:val="00CA5D5E"/>
    <w:rsid w:val="00CA5F8A"/>
    <w:rsid w:val="00CB0483"/>
    <w:rsid w:val="00CB17DC"/>
    <w:rsid w:val="00CB364A"/>
    <w:rsid w:val="00CB3852"/>
    <w:rsid w:val="00CB5ABD"/>
    <w:rsid w:val="00CB7701"/>
    <w:rsid w:val="00CC328B"/>
    <w:rsid w:val="00CC4B33"/>
    <w:rsid w:val="00CC569B"/>
    <w:rsid w:val="00CC6D1F"/>
    <w:rsid w:val="00CD0767"/>
    <w:rsid w:val="00CD1304"/>
    <w:rsid w:val="00CD2322"/>
    <w:rsid w:val="00CD27B3"/>
    <w:rsid w:val="00CD28E8"/>
    <w:rsid w:val="00CD4451"/>
    <w:rsid w:val="00CD7461"/>
    <w:rsid w:val="00CD798E"/>
    <w:rsid w:val="00CE0AAD"/>
    <w:rsid w:val="00CE14E5"/>
    <w:rsid w:val="00CE1547"/>
    <w:rsid w:val="00CE3895"/>
    <w:rsid w:val="00CE501A"/>
    <w:rsid w:val="00CE5FB6"/>
    <w:rsid w:val="00CE68F8"/>
    <w:rsid w:val="00CE716A"/>
    <w:rsid w:val="00CE7248"/>
    <w:rsid w:val="00CE7DDC"/>
    <w:rsid w:val="00CF0310"/>
    <w:rsid w:val="00CF05CA"/>
    <w:rsid w:val="00CF0DE6"/>
    <w:rsid w:val="00CF1ABA"/>
    <w:rsid w:val="00CF3FB2"/>
    <w:rsid w:val="00CF59ED"/>
    <w:rsid w:val="00CF77C4"/>
    <w:rsid w:val="00CF7DD6"/>
    <w:rsid w:val="00D00CDB"/>
    <w:rsid w:val="00D02C68"/>
    <w:rsid w:val="00D05A32"/>
    <w:rsid w:val="00D066C4"/>
    <w:rsid w:val="00D10473"/>
    <w:rsid w:val="00D11A1C"/>
    <w:rsid w:val="00D12B39"/>
    <w:rsid w:val="00D1434F"/>
    <w:rsid w:val="00D14DED"/>
    <w:rsid w:val="00D15CFB"/>
    <w:rsid w:val="00D161ED"/>
    <w:rsid w:val="00D163AF"/>
    <w:rsid w:val="00D1744E"/>
    <w:rsid w:val="00D17989"/>
    <w:rsid w:val="00D210EE"/>
    <w:rsid w:val="00D21F3B"/>
    <w:rsid w:val="00D221EF"/>
    <w:rsid w:val="00D23E89"/>
    <w:rsid w:val="00D2670A"/>
    <w:rsid w:val="00D33290"/>
    <w:rsid w:val="00D33DA3"/>
    <w:rsid w:val="00D34486"/>
    <w:rsid w:val="00D348D9"/>
    <w:rsid w:val="00D35F2F"/>
    <w:rsid w:val="00D364F7"/>
    <w:rsid w:val="00D40F13"/>
    <w:rsid w:val="00D41DB2"/>
    <w:rsid w:val="00D41E64"/>
    <w:rsid w:val="00D431D4"/>
    <w:rsid w:val="00D4531A"/>
    <w:rsid w:val="00D457B2"/>
    <w:rsid w:val="00D45D3D"/>
    <w:rsid w:val="00D50198"/>
    <w:rsid w:val="00D557F8"/>
    <w:rsid w:val="00D57A66"/>
    <w:rsid w:val="00D6096C"/>
    <w:rsid w:val="00D62483"/>
    <w:rsid w:val="00D62732"/>
    <w:rsid w:val="00D62E40"/>
    <w:rsid w:val="00D63660"/>
    <w:rsid w:val="00D670BD"/>
    <w:rsid w:val="00D67375"/>
    <w:rsid w:val="00D72117"/>
    <w:rsid w:val="00D7215E"/>
    <w:rsid w:val="00D73149"/>
    <w:rsid w:val="00D7339F"/>
    <w:rsid w:val="00D73501"/>
    <w:rsid w:val="00D737D1"/>
    <w:rsid w:val="00D747B4"/>
    <w:rsid w:val="00D74A54"/>
    <w:rsid w:val="00D74B43"/>
    <w:rsid w:val="00D75356"/>
    <w:rsid w:val="00D7539B"/>
    <w:rsid w:val="00D7610B"/>
    <w:rsid w:val="00D77620"/>
    <w:rsid w:val="00D77A3C"/>
    <w:rsid w:val="00D824FB"/>
    <w:rsid w:val="00D82A45"/>
    <w:rsid w:val="00D83D92"/>
    <w:rsid w:val="00D83E06"/>
    <w:rsid w:val="00D84D2C"/>
    <w:rsid w:val="00D85E25"/>
    <w:rsid w:val="00D863F8"/>
    <w:rsid w:val="00D90048"/>
    <w:rsid w:val="00D90FC8"/>
    <w:rsid w:val="00D92117"/>
    <w:rsid w:val="00D92918"/>
    <w:rsid w:val="00D93B4A"/>
    <w:rsid w:val="00D941BD"/>
    <w:rsid w:val="00D95DD5"/>
    <w:rsid w:val="00DA0B2D"/>
    <w:rsid w:val="00DA0D1C"/>
    <w:rsid w:val="00DA14B5"/>
    <w:rsid w:val="00DA17A5"/>
    <w:rsid w:val="00DA1FF4"/>
    <w:rsid w:val="00DA4C61"/>
    <w:rsid w:val="00DA6E53"/>
    <w:rsid w:val="00DA7873"/>
    <w:rsid w:val="00DB06B4"/>
    <w:rsid w:val="00DB0F99"/>
    <w:rsid w:val="00DB313C"/>
    <w:rsid w:val="00DB54C1"/>
    <w:rsid w:val="00DB5854"/>
    <w:rsid w:val="00DB5D6A"/>
    <w:rsid w:val="00DB674F"/>
    <w:rsid w:val="00DB791A"/>
    <w:rsid w:val="00DC0160"/>
    <w:rsid w:val="00DC1EDC"/>
    <w:rsid w:val="00DC20F6"/>
    <w:rsid w:val="00DC2472"/>
    <w:rsid w:val="00DC4581"/>
    <w:rsid w:val="00DC4DAF"/>
    <w:rsid w:val="00DC4F7F"/>
    <w:rsid w:val="00DC68FD"/>
    <w:rsid w:val="00DC7EC6"/>
    <w:rsid w:val="00DD1E38"/>
    <w:rsid w:val="00DD239B"/>
    <w:rsid w:val="00DD3C11"/>
    <w:rsid w:val="00DD3E77"/>
    <w:rsid w:val="00DD5E99"/>
    <w:rsid w:val="00DD77A1"/>
    <w:rsid w:val="00DD7B10"/>
    <w:rsid w:val="00DE0027"/>
    <w:rsid w:val="00DE0E25"/>
    <w:rsid w:val="00DE4E57"/>
    <w:rsid w:val="00DF2F1B"/>
    <w:rsid w:val="00DF3876"/>
    <w:rsid w:val="00DF3BE2"/>
    <w:rsid w:val="00DF3FFB"/>
    <w:rsid w:val="00DF4AEE"/>
    <w:rsid w:val="00DF5487"/>
    <w:rsid w:val="00DF5642"/>
    <w:rsid w:val="00DF653F"/>
    <w:rsid w:val="00DF778E"/>
    <w:rsid w:val="00E00260"/>
    <w:rsid w:val="00E00565"/>
    <w:rsid w:val="00E013BB"/>
    <w:rsid w:val="00E017BF"/>
    <w:rsid w:val="00E03F87"/>
    <w:rsid w:val="00E06E5D"/>
    <w:rsid w:val="00E06E92"/>
    <w:rsid w:val="00E079CA"/>
    <w:rsid w:val="00E11B65"/>
    <w:rsid w:val="00E13865"/>
    <w:rsid w:val="00E1422D"/>
    <w:rsid w:val="00E14B86"/>
    <w:rsid w:val="00E14F6F"/>
    <w:rsid w:val="00E15675"/>
    <w:rsid w:val="00E16189"/>
    <w:rsid w:val="00E20994"/>
    <w:rsid w:val="00E20C9D"/>
    <w:rsid w:val="00E2141B"/>
    <w:rsid w:val="00E22F2B"/>
    <w:rsid w:val="00E2417B"/>
    <w:rsid w:val="00E25227"/>
    <w:rsid w:val="00E30DB5"/>
    <w:rsid w:val="00E325A1"/>
    <w:rsid w:val="00E32E6B"/>
    <w:rsid w:val="00E32FDB"/>
    <w:rsid w:val="00E33506"/>
    <w:rsid w:val="00E35090"/>
    <w:rsid w:val="00E404CF"/>
    <w:rsid w:val="00E40E05"/>
    <w:rsid w:val="00E41FB2"/>
    <w:rsid w:val="00E43633"/>
    <w:rsid w:val="00E4505D"/>
    <w:rsid w:val="00E45C0E"/>
    <w:rsid w:val="00E4627D"/>
    <w:rsid w:val="00E4636C"/>
    <w:rsid w:val="00E4642B"/>
    <w:rsid w:val="00E50252"/>
    <w:rsid w:val="00E50B81"/>
    <w:rsid w:val="00E51D34"/>
    <w:rsid w:val="00E536D9"/>
    <w:rsid w:val="00E53908"/>
    <w:rsid w:val="00E54925"/>
    <w:rsid w:val="00E563E4"/>
    <w:rsid w:val="00E61D66"/>
    <w:rsid w:val="00E62CCD"/>
    <w:rsid w:val="00E6335D"/>
    <w:rsid w:val="00E65F69"/>
    <w:rsid w:val="00E6616B"/>
    <w:rsid w:val="00E70410"/>
    <w:rsid w:val="00E7061A"/>
    <w:rsid w:val="00E726A2"/>
    <w:rsid w:val="00E75B72"/>
    <w:rsid w:val="00E76DAD"/>
    <w:rsid w:val="00E7743C"/>
    <w:rsid w:val="00E80BEA"/>
    <w:rsid w:val="00E8230F"/>
    <w:rsid w:val="00E83EF7"/>
    <w:rsid w:val="00E84B9B"/>
    <w:rsid w:val="00E85354"/>
    <w:rsid w:val="00E87DA2"/>
    <w:rsid w:val="00E91FEF"/>
    <w:rsid w:val="00E93B37"/>
    <w:rsid w:val="00E93D06"/>
    <w:rsid w:val="00E9520A"/>
    <w:rsid w:val="00EA1913"/>
    <w:rsid w:val="00EA47D7"/>
    <w:rsid w:val="00EA512E"/>
    <w:rsid w:val="00EA5FF3"/>
    <w:rsid w:val="00EA6AB0"/>
    <w:rsid w:val="00EA6DFF"/>
    <w:rsid w:val="00EA6F0F"/>
    <w:rsid w:val="00EA702D"/>
    <w:rsid w:val="00EA7052"/>
    <w:rsid w:val="00EA7818"/>
    <w:rsid w:val="00EB1113"/>
    <w:rsid w:val="00EB28C8"/>
    <w:rsid w:val="00EB2DB8"/>
    <w:rsid w:val="00EB30E7"/>
    <w:rsid w:val="00EB354B"/>
    <w:rsid w:val="00EB3871"/>
    <w:rsid w:val="00EB491E"/>
    <w:rsid w:val="00EB5490"/>
    <w:rsid w:val="00EB572A"/>
    <w:rsid w:val="00EB7203"/>
    <w:rsid w:val="00EB72E9"/>
    <w:rsid w:val="00EB7AEB"/>
    <w:rsid w:val="00EC2BAE"/>
    <w:rsid w:val="00EC748F"/>
    <w:rsid w:val="00ED067D"/>
    <w:rsid w:val="00ED11C9"/>
    <w:rsid w:val="00ED31C5"/>
    <w:rsid w:val="00ED63E7"/>
    <w:rsid w:val="00ED7BB4"/>
    <w:rsid w:val="00EE1F64"/>
    <w:rsid w:val="00EE2126"/>
    <w:rsid w:val="00EE2333"/>
    <w:rsid w:val="00EE2572"/>
    <w:rsid w:val="00EE2595"/>
    <w:rsid w:val="00EE387C"/>
    <w:rsid w:val="00EE411E"/>
    <w:rsid w:val="00EE6802"/>
    <w:rsid w:val="00EE682D"/>
    <w:rsid w:val="00EE724A"/>
    <w:rsid w:val="00EE7C7F"/>
    <w:rsid w:val="00EF22EB"/>
    <w:rsid w:val="00EF6560"/>
    <w:rsid w:val="00EF66EC"/>
    <w:rsid w:val="00EF745F"/>
    <w:rsid w:val="00EF7E1B"/>
    <w:rsid w:val="00F02689"/>
    <w:rsid w:val="00F03A45"/>
    <w:rsid w:val="00F04D2C"/>
    <w:rsid w:val="00F0534E"/>
    <w:rsid w:val="00F0656F"/>
    <w:rsid w:val="00F06EE6"/>
    <w:rsid w:val="00F073BB"/>
    <w:rsid w:val="00F074E7"/>
    <w:rsid w:val="00F0799E"/>
    <w:rsid w:val="00F108A2"/>
    <w:rsid w:val="00F124F0"/>
    <w:rsid w:val="00F14F57"/>
    <w:rsid w:val="00F15029"/>
    <w:rsid w:val="00F1786E"/>
    <w:rsid w:val="00F206E2"/>
    <w:rsid w:val="00F2138C"/>
    <w:rsid w:val="00F2241A"/>
    <w:rsid w:val="00F22C65"/>
    <w:rsid w:val="00F22CF7"/>
    <w:rsid w:val="00F266DD"/>
    <w:rsid w:val="00F26C04"/>
    <w:rsid w:val="00F317AF"/>
    <w:rsid w:val="00F35955"/>
    <w:rsid w:val="00F35F68"/>
    <w:rsid w:val="00F36B26"/>
    <w:rsid w:val="00F37BD7"/>
    <w:rsid w:val="00F37FB4"/>
    <w:rsid w:val="00F41026"/>
    <w:rsid w:val="00F4137E"/>
    <w:rsid w:val="00F41595"/>
    <w:rsid w:val="00F42852"/>
    <w:rsid w:val="00F429B2"/>
    <w:rsid w:val="00F42C2D"/>
    <w:rsid w:val="00F430EB"/>
    <w:rsid w:val="00F4710C"/>
    <w:rsid w:val="00F50290"/>
    <w:rsid w:val="00F5241A"/>
    <w:rsid w:val="00F53EDB"/>
    <w:rsid w:val="00F61A20"/>
    <w:rsid w:val="00F629DC"/>
    <w:rsid w:val="00F62A31"/>
    <w:rsid w:val="00F6455D"/>
    <w:rsid w:val="00F64A4F"/>
    <w:rsid w:val="00F66D84"/>
    <w:rsid w:val="00F675FF"/>
    <w:rsid w:val="00F679E8"/>
    <w:rsid w:val="00F67B62"/>
    <w:rsid w:val="00F67DA4"/>
    <w:rsid w:val="00F730CA"/>
    <w:rsid w:val="00F736B5"/>
    <w:rsid w:val="00F73BD1"/>
    <w:rsid w:val="00F73C3A"/>
    <w:rsid w:val="00F73FAA"/>
    <w:rsid w:val="00F74033"/>
    <w:rsid w:val="00F740ED"/>
    <w:rsid w:val="00F76149"/>
    <w:rsid w:val="00F7642F"/>
    <w:rsid w:val="00F76829"/>
    <w:rsid w:val="00F777B8"/>
    <w:rsid w:val="00F77C13"/>
    <w:rsid w:val="00F804C9"/>
    <w:rsid w:val="00F81717"/>
    <w:rsid w:val="00F82BF3"/>
    <w:rsid w:val="00F834F9"/>
    <w:rsid w:val="00F84BAA"/>
    <w:rsid w:val="00F84BD7"/>
    <w:rsid w:val="00F86B84"/>
    <w:rsid w:val="00F9053D"/>
    <w:rsid w:val="00F90DDE"/>
    <w:rsid w:val="00F9161C"/>
    <w:rsid w:val="00F91FD0"/>
    <w:rsid w:val="00F92622"/>
    <w:rsid w:val="00F94C28"/>
    <w:rsid w:val="00F94D81"/>
    <w:rsid w:val="00FA0538"/>
    <w:rsid w:val="00FA1231"/>
    <w:rsid w:val="00FA1A22"/>
    <w:rsid w:val="00FA2DF6"/>
    <w:rsid w:val="00FA613B"/>
    <w:rsid w:val="00FA70BF"/>
    <w:rsid w:val="00FB0634"/>
    <w:rsid w:val="00FB1D70"/>
    <w:rsid w:val="00FB2076"/>
    <w:rsid w:val="00FB459F"/>
    <w:rsid w:val="00FB46AC"/>
    <w:rsid w:val="00FB752A"/>
    <w:rsid w:val="00FB7562"/>
    <w:rsid w:val="00FC2C13"/>
    <w:rsid w:val="00FC4717"/>
    <w:rsid w:val="00FC50F9"/>
    <w:rsid w:val="00FC63C3"/>
    <w:rsid w:val="00FC6EC5"/>
    <w:rsid w:val="00FD0002"/>
    <w:rsid w:val="00FD0594"/>
    <w:rsid w:val="00FD074C"/>
    <w:rsid w:val="00FD4DD4"/>
    <w:rsid w:val="00FD5511"/>
    <w:rsid w:val="00FD7025"/>
    <w:rsid w:val="00FD77A0"/>
    <w:rsid w:val="00FD7C17"/>
    <w:rsid w:val="00FE1C7A"/>
    <w:rsid w:val="00FE1CBF"/>
    <w:rsid w:val="00FE288C"/>
    <w:rsid w:val="00FE36A4"/>
    <w:rsid w:val="00FE4728"/>
    <w:rsid w:val="00FE630B"/>
    <w:rsid w:val="00FF1F80"/>
    <w:rsid w:val="00FF27B2"/>
    <w:rsid w:val="00FF3473"/>
    <w:rsid w:val="00FF3C00"/>
    <w:rsid w:val="00FF47B4"/>
    <w:rsid w:val="02275933"/>
    <w:rsid w:val="026D535B"/>
    <w:rsid w:val="02E66B31"/>
    <w:rsid w:val="03237EBD"/>
    <w:rsid w:val="03EF5EB9"/>
    <w:rsid w:val="0422003D"/>
    <w:rsid w:val="04BA2023"/>
    <w:rsid w:val="05E80E12"/>
    <w:rsid w:val="060E6204"/>
    <w:rsid w:val="067254EA"/>
    <w:rsid w:val="06DD1E44"/>
    <w:rsid w:val="07585B24"/>
    <w:rsid w:val="07AA4F8B"/>
    <w:rsid w:val="07C37441"/>
    <w:rsid w:val="088C4F8E"/>
    <w:rsid w:val="0DA15ACD"/>
    <w:rsid w:val="0F7203E8"/>
    <w:rsid w:val="0FC93A62"/>
    <w:rsid w:val="13693592"/>
    <w:rsid w:val="13EA0736"/>
    <w:rsid w:val="16500292"/>
    <w:rsid w:val="17101F77"/>
    <w:rsid w:val="179C380B"/>
    <w:rsid w:val="17DF583A"/>
    <w:rsid w:val="1ADC289C"/>
    <w:rsid w:val="1B3F107D"/>
    <w:rsid w:val="1BF83B6A"/>
    <w:rsid w:val="1C1630C1"/>
    <w:rsid w:val="1CBD66FD"/>
    <w:rsid w:val="1DFB0AAD"/>
    <w:rsid w:val="1E1660C5"/>
    <w:rsid w:val="20827A42"/>
    <w:rsid w:val="211F7986"/>
    <w:rsid w:val="22EA7B20"/>
    <w:rsid w:val="24523BCF"/>
    <w:rsid w:val="25E1433F"/>
    <w:rsid w:val="26E1123A"/>
    <w:rsid w:val="274F0899"/>
    <w:rsid w:val="2778394C"/>
    <w:rsid w:val="27D668C5"/>
    <w:rsid w:val="27EC60E8"/>
    <w:rsid w:val="289B1FE8"/>
    <w:rsid w:val="29257B04"/>
    <w:rsid w:val="295D104C"/>
    <w:rsid w:val="2A247694"/>
    <w:rsid w:val="2CFB0BC6"/>
    <w:rsid w:val="2DA5397C"/>
    <w:rsid w:val="2DC518B5"/>
    <w:rsid w:val="2E9757EF"/>
    <w:rsid w:val="2F0106CB"/>
    <w:rsid w:val="30F01D95"/>
    <w:rsid w:val="31527ED0"/>
    <w:rsid w:val="31C854D0"/>
    <w:rsid w:val="32C959A4"/>
    <w:rsid w:val="3422046A"/>
    <w:rsid w:val="35213875"/>
    <w:rsid w:val="37B07132"/>
    <w:rsid w:val="3B4B283A"/>
    <w:rsid w:val="3E594080"/>
    <w:rsid w:val="3ED7221E"/>
    <w:rsid w:val="3F870B8D"/>
    <w:rsid w:val="3F9F3D14"/>
    <w:rsid w:val="411C3143"/>
    <w:rsid w:val="41D852BC"/>
    <w:rsid w:val="42F425C9"/>
    <w:rsid w:val="44A108FD"/>
    <w:rsid w:val="45DA1917"/>
    <w:rsid w:val="468972BA"/>
    <w:rsid w:val="468A0822"/>
    <w:rsid w:val="48284AC3"/>
    <w:rsid w:val="4B0F6EBE"/>
    <w:rsid w:val="4B7F2C4C"/>
    <w:rsid w:val="4D1E4EC5"/>
    <w:rsid w:val="4D997BC9"/>
    <w:rsid w:val="4FDA66A3"/>
    <w:rsid w:val="50813C40"/>
    <w:rsid w:val="50C61B8F"/>
    <w:rsid w:val="51886601"/>
    <w:rsid w:val="51F65629"/>
    <w:rsid w:val="527C7EE5"/>
    <w:rsid w:val="53113E22"/>
    <w:rsid w:val="560E4B83"/>
    <w:rsid w:val="580E667B"/>
    <w:rsid w:val="58A14202"/>
    <w:rsid w:val="58D75E75"/>
    <w:rsid w:val="593E7CA2"/>
    <w:rsid w:val="5BA959F8"/>
    <w:rsid w:val="5BC424E5"/>
    <w:rsid w:val="5C2A2760"/>
    <w:rsid w:val="5C724262"/>
    <w:rsid w:val="5DBC076F"/>
    <w:rsid w:val="5DDC3EAA"/>
    <w:rsid w:val="5F2931A3"/>
    <w:rsid w:val="5F3B3243"/>
    <w:rsid w:val="60184E82"/>
    <w:rsid w:val="629478AB"/>
    <w:rsid w:val="638E5CCA"/>
    <w:rsid w:val="64986E00"/>
    <w:rsid w:val="64F661B7"/>
    <w:rsid w:val="65AC30F0"/>
    <w:rsid w:val="65E14B73"/>
    <w:rsid w:val="67814345"/>
    <w:rsid w:val="69540E1C"/>
    <w:rsid w:val="6B0D0D45"/>
    <w:rsid w:val="6ECE35EE"/>
    <w:rsid w:val="71D3696A"/>
    <w:rsid w:val="72802C82"/>
    <w:rsid w:val="73634A7D"/>
    <w:rsid w:val="74681EB7"/>
    <w:rsid w:val="76A333E3"/>
    <w:rsid w:val="777F5BFE"/>
    <w:rsid w:val="79BF1FF2"/>
    <w:rsid w:val="7AAB7433"/>
    <w:rsid w:val="7B641393"/>
    <w:rsid w:val="7E7471DD"/>
    <w:rsid w:val="7F033CBC"/>
    <w:rsid w:val="7FEFAC51"/>
    <w:rsid w:val="B7D5CF52"/>
    <w:rsid w:val="BFEE88D2"/>
    <w:rsid w:val="C9FB4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8"/>
    <w:autoRedefine/>
    <w:qFormat/>
    <w:uiPriority w:val="0"/>
    <w:pPr>
      <w:keepNext/>
      <w:keepLines/>
      <w:spacing w:line="580" w:lineRule="exact"/>
      <w:ind w:firstLine="880" w:firstLineChars="200"/>
      <w:outlineLvl w:val="0"/>
    </w:pPr>
    <w:rPr>
      <w:rFonts w:ascii="Times New Roman" w:hAnsi="Times New Roman" w:eastAsia="黑体"/>
      <w:bCs/>
      <w:kern w:val="44"/>
      <w:sz w:val="32"/>
      <w:szCs w:val="44"/>
    </w:rPr>
  </w:style>
  <w:style w:type="paragraph" w:styleId="4">
    <w:name w:val="heading 2"/>
    <w:basedOn w:val="1"/>
    <w:next w:val="1"/>
    <w:link w:val="29"/>
    <w:autoRedefine/>
    <w:unhideWhenUsed/>
    <w:qFormat/>
    <w:uiPriority w:val="0"/>
    <w:pPr>
      <w:keepNext/>
      <w:keepLines/>
      <w:numPr>
        <w:ilvl w:val="1"/>
        <w:numId w:val="1"/>
      </w:numPr>
      <w:adjustRightInd w:val="0"/>
      <w:snapToGrid w:val="0"/>
      <w:spacing w:line="580" w:lineRule="exact"/>
      <w:outlineLvl w:val="1"/>
    </w:pPr>
    <w:rPr>
      <w:rFonts w:ascii="Times New Roman" w:hAnsi="Times New Roman" w:eastAsia="楷体_GB2312" w:cs="Times New Roman"/>
      <w:bCs/>
      <w:sz w:val="32"/>
      <w:szCs w:val="32"/>
    </w:rPr>
  </w:style>
  <w:style w:type="paragraph" w:styleId="5">
    <w:name w:val="heading 3"/>
    <w:basedOn w:val="1"/>
    <w:next w:val="1"/>
    <w:link w:val="30"/>
    <w:autoRedefine/>
    <w:unhideWhenUsed/>
    <w:qFormat/>
    <w:uiPriority w:val="0"/>
    <w:pPr>
      <w:keepNext/>
      <w:keepLines/>
      <w:numPr>
        <w:ilvl w:val="2"/>
        <w:numId w:val="1"/>
      </w:numPr>
      <w:topLinePunct/>
      <w:spacing w:line="580" w:lineRule="exact"/>
      <w:outlineLvl w:val="2"/>
    </w:pPr>
    <w:rPr>
      <w:rFonts w:ascii="Times New Roman" w:hAnsi="Times New Roman" w:eastAsia="仿宋_GB2312" w:cs="Times New Roman"/>
      <w:b/>
      <w:bCs/>
      <w:snapToGrid w:val="0"/>
      <w:kern w:val="0"/>
      <w:sz w:val="32"/>
      <w:szCs w:val="32"/>
    </w:rPr>
  </w:style>
  <w:style w:type="paragraph" w:styleId="6">
    <w:name w:val="heading 4"/>
    <w:basedOn w:val="1"/>
    <w:next w:val="1"/>
    <w:autoRedefine/>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autoRedefine/>
    <w:unhideWhenUsed/>
    <w:qFormat/>
    <w:uiPriority w:val="0"/>
    <w:pPr>
      <w:keepNext/>
      <w:keepLines/>
      <w:numPr>
        <w:ilvl w:val="4"/>
        <w:numId w:val="1"/>
      </w:numPr>
      <w:spacing w:before="280" w:after="290" w:line="372" w:lineRule="auto"/>
      <w:outlineLvl w:val="4"/>
    </w:pPr>
    <w:rPr>
      <w:b/>
      <w:sz w:val="28"/>
    </w:rPr>
  </w:style>
  <w:style w:type="paragraph" w:styleId="8">
    <w:name w:val="heading 6"/>
    <w:basedOn w:val="1"/>
    <w:next w:val="1"/>
    <w:autoRedefine/>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9">
    <w:name w:val="heading 7"/>
    <w:basedOn w:val="1"/>
    <w:next w:val="1"/>
    <w:autoRedefine/>
    <w:unhideWhenUsed/>
    <w:qFormat/>
    <w:uiPriority w:val="0"/>
    <w:pPr>
      <w:keepNext/>
      <w:keepLines/>
      <w:numPr>
        <w:ilvl w:val="6"/>
        <w:numId w:val="1"/>
      </w:numPr>
      <w:spacing w:before="240" w:after="64" w:line="317" w:lineRule="auto"/>
      <w:outlineLvl w:val="6"/>
    </w:pPr>
    <w:rPr>
      <w:b/>
      <w:sz w:val="24"/>
    </w:rPr>
  </w:style>
  <w:style w:type="paragraph" w:styleId="10">
    <w:name w:val="heading 8"/>
    <w:basedOn w:val="1"/>
    <w:next w:val="1"/>
    <w:autoRedefine/>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1">
    <w:name w:val="heading 9"/>
    <w:basedOn w:val="1"/>
    <w:next w:val="1"/>
    <w:autoRedefine/>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5">
    <w:name w:val="Default Paragraph Font"/>
    <w:autoRedefine/>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12">
    <w:name w:val="Normal Indent"/>
    <w:basedOn w:val="1"/>
    <w:autoRedefine/>
    <w:unhideWhenUsed/>
    <w:qFormat/>
    <w:uiPriority w:val="99"/>
    <w:pPr>
      <w:ind w:firstLine="420" w:firstLineChars="200"/>
    </w:pPr>
    <w:rPr>
      <w:rFonts w:ascii="Calibri" w:hAnsi="Calibri" w:eastAsia="宋体" w:cs="Times New Roman"/>
    </w:rPr>
  </w:style>
  <w:style w:type="paragraph" w:styleId="13">
    <w:name w:val="caption"/>
    <w:basedOn w:val="1"/>
    <w:next w:val="1"/>
    <w:autoRedefine/>
    <w:unhideWhenUsed/>
    <w:qFormat/>
    <w:uiPriority w:val="35"/>
    <w:pPr>
      <w:spacing w:line="580" w:lineRule="exact"/>
      <w:ind w:firstLine="624" w:firstLineChars="200"/>
    </w:pPr>
    <w:rPr>
      <w:rFonts w:eastAsia="黑体" w:asciiTheme="majorHAnsi" w:hAnsiTheme="majorHAnsi" w:cstheme="majorBidi"/>
      <w:sz w:val="20"/>
      <w:szCs w:val="20"/>
    </w:rPr>
  </w:style>
  <w:style w:type="paragraph" w:styleId="14">
    <w:name w:val="annotation text"/>
    <w:basedOn w:val="1"/>
    <w:link w:val="53"/>
    <w:autoRedefine/>
    <w:qFormat/>
    <w:uiPriority w:val="0"/>
    <w:pPr>
      <w:jc w:val="left"/>
    </w:pPr>
  </w:style>
  <w:style w:type="paragraph" w:styleId="15">
    <w:name w:val="Body Text"/>
    <w:basedOn w:val="1"/>
    <w:link w:val="55"/>
    <w:qFormat/>
    <w:uiPriority w:val="0"/>
    <w:pPr>
      <w:spacing w:after="120"/>
    </w:pPr>
  </w:style>
  <w:style w:type="paragraph" w:styleId="16">
    <w:name w:val="Balloon Text"/>
    <w:basedOn w:val="1"/>
    <w:link w:val="50"/>
    <w:autoRedefine/>
    <w:qFormat/>
    <w:uiPriority w:val="0"/>
    <w:rPr>
      <w:sz w:val="18"/>
      <w:szCs w:val="18"/>
    </w:rPr>
  </w:style>
  <w:style w:type="paragraph" w:styleId="17">
    <w:name w:val="footer"/>
    <w:basedOn w:val="1"/>
    <w:autoRedefine/>
    <w:qFormat/>
    <w:uiPriority w:val="0"/>
    <w:pPr>
      <w:tabs>
        <w:tab w:val="center" w:pos="4153"/>
        <w:tab w:val="right" w:pos="8306"/>
      </w:tabs>
      <w:snapToGrid w:val="0"/>
      <w:jc w:val="left"/>
    </w:pPr>
    <w:rPr>
      <w:sz w:val="18"/>
    </w:rPr>
  </w:style>
  <w:style w:type="paragraph" w:styleId="1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autoRedefine/>
    <w:qFormat/>
    <w:uiPriority w:val="39"/>
  </w:style>
  <w:style w:type="paragraph" w:styleId="20">
    <w:name w:val="toc 2"/>
    <w:basedOn w:val="1"/>
    <w:next w:val="1"/>
    <w:autoRedefine/>
    <w:qFormat/>
    <w:uiPriority w:val="39"/>
    <w:pPr>
      <w:ind w:left="420" w:leftChars="200"/>
    </w:pPr>
  </w:style>
  <w:style w:type="paragraph" w:styleId="21">
    <w:name w:val="annotation subject"/>
    <w:basedOn w:val="14"/>
    <w:next w:val="14"/>
    <w:link w:val="54"/>
    <w:autoRedefine/>
    <w:qFormat/>
    <w:uiPriority w:val="0"/>
    <w:rPr>
      <w:b/>
      <w:bCs/>
    </w:rPr>
  </w:style>
  <w:style w:type="paragraph" w:styleId="22">
    <w:name w:val="Body Text First Indent"/>
    <w:basedOn w:val="15"/>
    <w:link w:val="56"/>
    <w:autoRedefine/>
    <w:unhideWhenUsed/>
    <w:qFormat/>
    <w:uiPriority w:val="0"/>
    <w:pPr>
      <w:ind w:firstLine="420" w:firstLineChars="100"/>
    </w:pPr>
    <w:rPr>
      <w:rFonts w:ascii="Times New Roman" w:hAnsi="Times New Roman" w:eastAsia="宋体" w:cs="Times New Roman"/>
    </w:rPr>
  </w:style>
  <w:style w:type="table" w:styleId="24">
    <w:name w:val="Table Grid"/>
    <w:basedOn w:val="2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basedOn w:val="25"/>
    <w:autoRedefine/>
    <w:unhideWhenUsed/>
    <w:qFormat/>
    <w:uiPriority w:val="99"/>
    <w:rPr>
      <w:color w:val="0026E5" w:themeColor="hyperlink"/>
      <w:u w:val="single"/>
      <w14:textFill>
        <w14:solidFill>
          <w14:schemeClr w14:val="hlink"/>
        </w14:solidFill>
      </w14:textFill>
    </w:rPr>
  </w:style>
  <w:style w:type="character" w:styleId="27">
    <w:name w:val="annotation reference"/>
    <w:basedOn w:val="25"/>
    <w:autoRedefine/>
    <w:qFormat/>
    <w:uiPriority w:val="0"/>
    <w:rPr>
      <w:sz w:val="21"/>
      <w:szCs w:val="21"/>
    </w:rPr>
  </w:style>
  <w:style w:type="character" w:customStyle="1" w:styleId="28">
    <w:name w:val="标题 1 Char"/>
    <w:link w:val="3"/>
    <w:autoRedefine/>
    <w:qFormat/>
    <w:uiPriority w:val="9"/>
    <w:rPr>
      <w:rFonts w:ascii="Times New Roman" w:hAnsi="Times New Roman" w:eastAsia="黑体" w:cs="方正小标宋简体"/>
      <w:snapToGrid w:val="0"/>
      <w:kern w:val="2"/>
      <w:sz w:val="32"/>
      <w:szCs w:val="40"/>
    </w:rPr>
  </w:style>
  <w:style w:type="character" w:customStyle="1" w:styleId="29">
    <w:name w:val="标题 2 Char"/>
    <w:link w:val="4"/>
    <w:autoRedefine/>
    <w:qFormat/>
    <w:uiPriority w:val="9"/>
    <w:rPr>
      <w:rFonts w:ascii="Times New Roman" w:hAnsi="Times New Roman" w:eastAsia="楷体_GB2312" w:cs="Times New Roman"/>
      <w:bCs/>
      <w:kern w:val="2"/>
      <w:sz w:val="32"/>
      <w:szCs w:val="32"/>
    </w:rPr>
  </w:style>
  <w:style w:type="character" w:customStyle="1" w:styleId="30">
    <w:name w:val="标题 3 Char"/>
    <w:link w:val="5"/>
    <w:autoRedefine/>
    <w:qFormat/>
    <w:uiPriority w:val="0"/>
    <w:rPr>
      <w:rFonts w:ascii="Times New Roman" w:hAnsi="Times New Roman" w:eastAsia="仿宋_GB2312" w:cs="Times New Roman"/>
      <w:b/>
      <w:bCs/>
      <w:snapToGrid w:val="0"/>
      <w:sz w:val="32"/>
      <w:szCs w:val="32"/>
    </w:rPr>
  </w:style>
  <w:style w:type="paragraph" w:customStyle="1" w:styleId="31">
    <w:name w:val="题目24"/>
    <w:basedOn w:val="1"/>
    <w:autoRedefine/>
    <w:qFormat/>
    <w:uiPriority w:val="0"/>
    <w:pPr>
      <w:spacing w:line="580" w:lineRule="exact"/>
      <w:jc w:val="center"/>
    </w:pPr>
    <w:rPr>
      <w:rFonts w:ascii="方正小标宋简体" w:hAnsi="方正小标宋简体" w:eastAsia="方正小标宋简体" w:cs="方正小标宋简体"/>
      <w:sz w:val="44"/>
      <w:szCs w:val="44"/>
    </w:rPr>
  </w:style>
  <w:style w:type="paragraph" w:customStyle="1" w:styleId="32">
    <w:name w:val="作者名字"/>
    <w:basedOn w:val="1"/>
    <w:autoRedefine/>
    <w:qFormat/>
    <w:uiPriority w:val="1"/>
    <w:pPr>
      <w:spacing w:line="580" w:lineRule="exact"/>
      <w:jc w:val="center"/>
    </w:pPr>
    <w:rPr>
      <w:rFonts w:ascii="Times New Roman" w:hAnsi="Times New Roman" w:eastAsia="楷体_GB2312" w:cs="方正小标宋简体"/>
      <w:sz w:val="32"/>
      <w:szCs w:val="32"/>
    </w:rPr>
  </w:style>
  <w:style w:type="paragraph" w:customStyle="1" w:styleId="33">
    <w:name w:val="作者24"/>
    <w:basedOn w:val="32"/>
    <w:autoRedefine/>
    <w:qFormat/>
    <w:uiPriority w:val="11"/>
  </w:style>
  <w:style w:type="paragraph" w:customStyle="1" w:styleId="34">
    <w:name w:val="日期24"/>
    <w:basedOn w:val="1"/>
    <w:autoRedefine/>
    <w:qFormat/>
    <w:uiPriority w:val="12"/>
    <w:pPr>
      <w:spacing w:line="580" w:lineRule="exact"/>
      <w:jc w:val="center"/>
    </w:pPr>
    <w:rPr>
      <w:rFonts w:ascii="Times New Roman" w:hAnsi="Times New Roman" w:eastAsia="楷体_GB2312" w:cs="方正小标宋简体"/>
      <w:sz w:val="32"/>
      <w:szCs w:val="32"/>
    </w:rPr>
  </w:style>
  <w:style w:type="paragraph" w:customStyle="1" w:styleId="35">
    <w:name w:val="一级24"/>
    <w:basedOn w:val="3"/>
    <w:autoRedefine/>
    <w:qFormat/>
    <w:uiPriority w:val="1"/>
    <w:pPr>
      <w:ind w:firstLine="640"/>
    </w:pPr>
  </w:style>
  <w:style w:type="paragraph" w:customStyle="1" w:styleId="36">
    <w:name w:val="二级24"/>
    <w:basedOn w:val="4"/>
    <w:autoRedefine/>
    <w:qFormat/>
    <w:uiPriority w:val="2"/>
    <w:pPr>
      <w:keepNext w:val="0"/>
      <w:keepLines w:val="0"/>
      <w:numPr>
        <w:ilvl w:val="0"/>
        <w:numId w:val="0"/>
      </w:numPr>
      <w:ind w:firstLine="640" w:firstLineChars="200"/>
    </w:pPr>
  </w:style>
  <w:style w:type="paragraph" w:customStyle="1" w:styleId="37">
    <w:name w:val="三级24"/>
    <w:basedOn w:val="1"/>
    <w:autoRedefine/>
    <w:qFormat/>
    <w:uiPriority w:val="3"/>
    <w:pPr>
      <w:adjustRightInd w:val="0"/>
      <w:snapToGrid w:val="0"/>
      <w:spacing w:line="580" w:lineRule="exact"/>
      <w:ind w:firstLine="200" w:firstLineChars="200"/>
      <w:outlineLvl w:val="2"/>
    </w:pPr>
    <w:rPr>
      <w:rFonts w:ascii="Times New Roman" w:hAnsi="Times New Roman" w:eastAsia="仿宋_GB2312" w:cs="仿宋_GB2312"/>
      <w:sz w:val="32"/>
      <w:szCs w:val="32"/>
    </w:rPr>
  </w:style>
  <w:style w:type="paragraph" w:customStyle="1" w:styleId="38">
    <w:name w:val="正文zy"/>
    <w:basedOn w:val="1"/>
    <w:autoRedefine/>
    <w:qFormat/>
    <w:uiPriority w:val="0"/>
    <w:pPr>
      <w:spacing w:line="580" w:lineRule="exact"/>
      <w:ind w:firstLine="640" w:firstLineChars="200"/>
    </w:pPr>
    <w:rPr>
      <w:rFonts w:ascii="Times New Roman" w:hAnsi="Times New Roman" w:eastAsia="仿宋_GB2312" w:cs="方正小标宋简体"/>
      <w:sz w:val="32"/>
      <w:szCs w:val="32"/>
    </w:rPr>
  </w:style>
  <w:style w:type="paragraph" w:customStyle="1" w:styleId="39">
    <w:name w:val="正文24"/>
    <w:basedOn w:val="38"/>
    <w:autoRedefine/>
    <w:qFormat/>
    <w:uiPriority w:val="0"/>
    <w:pPr>
      <w:ind w:firstLine="200"/>
    </w:pPr>
  </w:style>
  <w:style w:type="paragraph" w:customStyle="1" w:styleId="40">
    <w:name w:val="图片24"/>
    <w:basedOn w:val="1"/>
    <w:autoRedefine/>
    <w:qFormat/>
    <w:uiPriority w:val="5"/>
    <w:pPr>
      <w:spacing w:before="156" w:beforeLines="50" w:after="156" w:afterLines="50"/>
      <w:jc w:val="center"/>
    </w:pPr>
  </w:style>
  <w:style w:type="paragraph" w:customStyle="1" w:styleId="41">
    <w:name w:val="图题 24"/>
    <w:basedOn w:val="1"/>
    <w:autoRedefine/>
    <w:qFormat/>
    <w:uiPriority w:val="6"/>
    <w:pPr>
      <w:jc w:val="center"/>
    </w:pPr>
    <w:rPr>
      <w:rFonts w:ascii="Times New Roman" w:hAnsi="Times New Roman" w:eastAsia="仿宋_GB2312"/>
      <w:sz w:val="28"/>
      <w:szCs w:val="28"/>
    </w:rPr>
  </w:style>
  <w:style w:type="paragraph" w:customStyle="1" w:styleId="42">
    <w:name w:val="表题24"/>
    <w:basedOn w:val="1"/>
    <w:autoRedefine/>
    <w:qFormat/>
    <w:uiPriority w:val="9"/>
    <w:pPr>
      <w:numPr>
        <w:ilvl w:val="0"/>
        <w:numId w:val="2"/>
      </w:numPr>
      <w:spacing w:line="580" w:lineRule="exact"/>
      <w:jc w:val="center"/>
    </w:pPr>
    <w:rPr>
      <w:rFonts w:ascii="Times New Roman" w:hAnsi="Times New Roman" w:eastAsia="仿宋_GB2312" w:cs="方正小标宋简体"/>
      <w:sz w:val="28"/>
      <w:szCs w:val="28"/>
    </w:rPr>
  </w:style>
  <w:style w:type="paragraph" w:customStyle="1" w:styleId="43">
    <w:name w:val="表格内容24"/>
    <w:basedOn w:val="1"/>
    <w:autoRedefine/>
    <w:qFormat/>
    <w:uiPriority w:val="10"/>
    <w:pPr>
      <w:jc w:val="center"/>
    </w:pPr>
    <w:rPr>
      <w:rFonts w:ascii="Times New Roman" w:hAnsi="Times New Roman" w:eastAsia="仿宋_GB2312" w:cs="方正小标宋简体"/>
      <w:sz w:val="28"/>
      <w:szCs w:val="28"/>
    </w:rPr>
  </w:style>
  <w:style w:type="paragraph" w:customStyle="1" w:styleId="44">
    <w:name w:val="四级24"/>
    <w:basedOn w:val="39"/>
    <w:autoRedefine/>
    <w:qFormat/>
    <w:uiPriority w:val="0"/>
    <w:pPr>
      <w:numPr>
        <w:ilvl w:val="3"/>
        <w:numId w:val="3"/>
      </w:numPr>
      <w:ind w:firstLine="0" w:firstLineChars="0"/>
      <w:outlineLvl w:val="3"/>
    </w:pPr>
  </w:style>
  <w:style w:type="character" w:customStyle="1" w:styleId="45">
    <w:name w:val="fontstyle01"/>
    <w:basedOn w:val="25"/>
    <w:autoRedefine/>
    <w:qFormat/>
    <w:uiPriority w:val="0"/>
    <w:rPr>
      <w:rFonts w:hint="eastAsia" w:ascii="仿宋_GB2312" w:eastAsia="仿宋_GB2312"/>
      <w:color w:val="000000"/>
      <w:sz w:val="32"/>
      <w:szCs w:val="32"/>
    </w:rPr>
  </w:style>
  <w:style w:type="paragraph" w:customStyle="1" w:styleId="46">
    <w:name w:val="可研正文"/>
    <w:basedOn w:val="1"/>
    <w:link w:val="47"/>
    <w:autoRedefine/>
    <w:qFormat/>
    <w:uiPriority w:val="0"/>
    <w:pPr>
      <w:jc w:val="center"/>
    </w:pPr>
    <w:rPr>
      <w:rFonts w:ascii="Times New Roman" w:hAnsi="Times New Roman" w:eastAsia="仿宋_GB2312" w:cs="Times New Roman"/>
      <w:sz w:val="32"/>
    </w:rPr>
  </w:style>
  <w:style w:type="character" w:customStyle="1" w:styleId="47">
    <w:name w:val="可研正文 Char"/>
    <w:basedOn w:val="25"/>
    <w:link w:val="46"/>
    <w:autoRedefine/>
    <w:qFormat/>
    <w:uiPriority w:val="0"/>
    <w:rPr>
      <w:rFonts w:eastAsia="仿宋_GB2312"/>
      <w:kern w:val="2"/>
      <w:sz w:val="32"/>
      <w:szCs w:val="24"/>
    </w:rPr>
  </w:style>
  <w:style w:type="paragraph" w:customStyle="1" w:styleId="48">
    <w:name w:val="biaoti"/>
    <w:basedOn w:val="46"/>
    <w:link w:val="49"/>
    <w:autoRedefine/>
    <w:qFormat/>
    <w:uiPriority w:val="0"/>
    <w:pPr>
      <w:numPr>
        <w:ilvl w:val="0"/>
        <w:numId w:val="4"/>
      </w:numPr>
      <w:spacing w:after="156" w:afterLines="50" w:line="588" w:lineRule="exact"/>
    </w:pPr>
    <w:rPr>
      <w:sz w:val="28"/>
    </w:rPr>
  </w:style>
  <w:style w:type="character" w:customStyle="1" w:styleId="49">
    <w:name w:val="biaoti Char"/>
    <w:basedOn w:val="47"/>
    <w:link w:val="48"/>
    <w:autoRedefine/>
    <w:qFormat/>
    <w:uiPriority w:val="0"/>
    <w:rPr>
      <w:rFonts w:eastAsia="仿宋_GB2312"/>
      <w:kern w:val="2"/>
      <w:sz w:val="28"/>
      <w:szCs w:val="24"/>
    </w:rPr>
  </w:style>
  <w:style w:type="character" w:customStyle="1" w:styleId="50">
    <w:name w:val="批注框文本 Char"/>
    <w:basedOn w:val="25"/>
    <w:link w:val="16"/>
    <w:autoRedefine/>
    <w:qFormat/>
    <w:uiPriority w:val="0"/>
    <w:rPr>
      <w:rFonts w:asciiTheme="minorHAnsi" w:hAnsiTheme="minorHAnsi" w:eastAsiaTheme="minorEastAsia" w:cstheme="minorBidi"/>
      <w:kern w:val="2"/>
      <w:sz w:val="18"/>
      <w:szCs w:val="18"/>
    </w:rPr>
  </w:style>
  <w:style w:type="paragraph" w:customStyle="1" w:styleId="51">
    <w:name w:val="列出段落1"/>
    <w:basedOn w:val="1"/>
    <w:autoRedefine/>
    <w:qFormat/>
    <w:uiPriority w:val="34"/>
    <w:pPr>
      <w:ind w:firstLine="420" w:firstLineChars="200"/>
    </w:pPr>
    <w:rPr>
      <w:rFonts w:ascii="Times New Roman" w:hAnsi="Times New Roman" w:eastAsia="宋体" w:cs="Times New Roman"/>
    </w:rPr>
  </w:style>
  <w:style w:type="character" w:customStyle="1" w:styleId="52">
    <w:name w:val="NormalCharacter"/>
    <w:autoRedefine/>
    <w:qFormat/>
    <w:uiPriority w:val="0"/>
    <w:rPr>
      <w:rFonts w:hint="default" w:asciiTheme="minorHAnsi" w:hAnsiTheme="minorHAnsi" w:eastAsiaTheme="minorEastAsia" w:cstheme="minorBidi"/>
      <w:kern w:val="2"/>
      <w:sz w:val="21"/>
      <w:szCs w:val="24"/>
      <w:lang w:val="en-US" w:eastAsia="zh-CN" w:bidi="ar-SA"/>
    </w:rPr>
  </w:style>
  <w:style w:type="character" w:customStyle="1" w:styleId="53">
    <w:name w:val="批注文字 Char"/>
    <w:basedOn w:val="25"/>
    <w:link w:val="14"/>
    <w:autoRedefine/>
    <w:qFormat/>
    <w:uiPriority w:val="0"/>
    <w:rPr>
      <w:rFonts w:asciiTheme="minorHAnsi" w:hAnsiTheme="minorHAnsi" w:eastAsiaTheme="minorEastAsia" w:cstheme="minorBidi"/>
      <w:kern w:val="2"/>
      <w:sz w:val="21"/>
      <w:szCs w:val="24"/>
    </w:rPr>
  </w:style>
  <w:style w:type="character" w:customStyle="1" w:styleId="54">
    <w:name w:val="批注主题 Char"/>
    <w:basedOn w:val="53"/>
    <w:link w:val="21"/>
    <w:autoRedefine/>
    <w:qFormat/>
    <w:uiPriority w:val="0"/>
    <w:rPr>
      <w:rFonts w:asciiTheme="minorHAnsi" w:hAnsiTheme="minorHAnsi" w:eastAsiaTheme="minorEastAsia" w:cstheme="minorBidi"/>
      <w:b/>
      <w:bCs/>
      <w:kern w:val="2"/>
      <w:sz w:val="21"/>
      <w:szCs w:val="24"/>
    </w:rPr>
  </w:style>
  <w:style w:type="character" w:customStyle="1" w:styleId="55">
    <w:name w:val="正文文本 Char"/>
    <w:basedOn w:val="25"/>
    <w:link w:val="15"/>
    <w:autoRedefine/>
    <w:qFormat/>
    <w:uiPriority w:val="0"/>
    <w:rPr>
      <w:rFonts w:asciiTheme="minorHAnsi" w:hAnsiTheme="minorHAnsi" w:eastAsiaTheme="minorEastAsia" w:cstheme="minorBidi"/>
      <w:kern w:val="2"/>
      <w:sz w:val="21"/>
      <w:szCs w:val="24"/>
    </w:rPr>
  </w:style>
  <w:style w:type="character" w:customStyle="1" w:styleId="56">
    <w:name w:val="正文首行缩进 Char"/>
    <w:basedOn w:val="55"/>
    <w:link w:val="22"/>
    <w:autoRedefine/>
    <w:qFormat/>
    <w:uiPriority w:val="0"/>
    <w:rPr>
      <w:rFonts w:asciiTheme="minorHAnsi" w:hAnsiTheme="minorHAnsi" w:eastAsiaTheme="minorEastAsia" w:cstheme="minorBidi"/>
      <w:kern w:val="2"/>
      <w:sz w:val="21"/>
      <w:szCs w:val="24"/>
    </w:rPr>
  </w:style>
  <w:style w:type="paragraph" w:customStyle="1" w:styleId="5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58">
    <w:name w:val="修订2"/>
    <w:autoRedefine/>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59">
    <w:name w:val="TOC 标题1"/>
    <w:basedOn w:val="3"/>
    <w:next w:val="1"/>
    <w:autoRedefine/>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E54A1" w:themeColor="accent1" w:themeShade="BF"/>
      <w:kern w:val="0"/>
      <w:szCs w:val="32"/>
    </w:rPr>
  </w:style>
  <w:style w:type="paragraph" w:customStyle="1" w:styleId="60">
    <w:name w:val="修订3"/>
    <w:autoRedefine/>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61">
    <w:name w:val="修订4"/>
    <w:autoRedefine/>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62">
    <w:name w:val="WPSOffice手动目录 1"/>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9602</Words>
  <Characters>9713</Characters>
  <Lines>124</Lines>
  <Paragraphs>35</Paragraphs>
  <TotalTime>4</TotalTime>
  <ScaleCrop>false</ScaleCrop>
  <LinksUpToDate>false</LinksUpToDate>
  <CharactersWithSpaces>9853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2025-11-08T01:37:00Z</dcterms:created>
  <dc:creator>JIAO</dc:creator>
  <cp:lastModifiedBy>王亚楠</cp:lastModifiedBy>
  <cp:lastPrinted>2026-08-12T09:07:00Z</cp:lastPrinted>
  <dcterms:modified xsi:type="dcterms:W3CDTF">2026-08-20T08:57:06Z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E4740030E43942BD983335BF88003725_13</vt:lpwstr>
  </property>
  <property fmtid="{D5CDD505-2E9C-101B-9397-08002B2CF9AE}" pid="4" name="KSOTemplateDocerSaveRecord">
    <vt:lpwstr>eyJoZGlkIjoiZWFmODEzMjhjYzAyOGQ2M2M1OWQ1ODAyZTg4N2UwN2UiLCJ1c2VySWQiOiIxNjE1MzA0NDk4In0=</vt:lpwstr>
  </property>
</Properties>
</file>