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6098E">
      <w:pPr>
        <w:pStyle w:val="9"/>
        <w:spacing w:line="560" w:lineRule="exact"/>
        <w:ind w:left="0" w:leftChars="0"/>
        <w:rPr>
          <w:rFonts w:hint="eastAsia" w:ascii="黑体" w:eastAsia="黑体" w:cs="方正黑体_GBK"/>
          <w:sz w:val="32"/>
          <w:szCs w:val="32"/>
          <w:lang w:eastAsia="zh-CN"/>
        </w:rPr>
      </w:pPr>
      <w:r>
        <w:rPr>
          <w:rFonts w:hint="eastAsia" w:ascii="黑体" w:eastAsia="黑体" w:cs="方正黑体_GBK"/>
          <w:sz w:val="32"/>
          <w:szCs w:val="32"/>
        </w:rPr>
        <w:t>附件</w:t>
      </w:r>
      <w:r>
        <w:rPr>
          <w:rFonts w:hint="eastAsia" w:ascii="黑体" w:eastAsia="黑体" w:cs="方正黑体_GBK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41B5D855">
      <w:pPr>
        <w:spacing w:line="560" w:lineRule="exact"/>
      </w:pPr>
    </w:p>
    <w:p w14:paraId="17FE9733">
      <w:pPr>
        <w:spacing w:line="560" w:lineRule="exact"/>
        <w:jc w:val="center"/>
        <w:outlineLvl w:val="0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《昌平区加快推动场景培育和开放应用</w:t>
      </w:r>
    </w:p>
    <w:p w14:paraId="737E4EBE">
      <w:pPr>
        <w:spacing w:line="560" w:lineRule="exact"/>
        <w:jc w:val="center"/>
        <w:outlineLvl w:val="0"/>
        <w:rPr>
          <w:rFonts w:ascii="Times New Roman" w:hAnsi="Times New Roman" w:eastAsia="方正小标宋简体" w:cs="仿宋_GB2312"/>
          <w:kern w:val="44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工作方案（征求意见稿）》</w:t>
      </w:r>
      <w:r>
        <w:rPr>
          <w:rFonts w:ascii="Times New Roman" w:hAnsi="Times New Roman" w:eastAsia="方正小标宋简体" w:cs="Times New Roman"/>
          <w:sz w:val="44"/>
          <w:szCs w:val="44"/>
        </w:rPr>
        <w:t>的起草说明</w:t>
      </w:r>
    </w:p>
    <w:p w14:paraId="403C6F11">
      <w:pPr>
        <w:pStyle w:val="9"/>
        <w:spacing w:line="560" w:lineRule="exact"/>
        <w:rPr>
          <w:rFonts w:ascii="Times New Roman" w:hAnsi="Times New Roman" w:eastAsia="方正小标宋简体" w:cs="仿宋_GB2312"/>
          <w:kern w:val="44"/>
          <w:sz w:val="44"/>
          <w:szCs w:val="44"/>
          <w:shd w:val="clear" w:color="auto" w:fill="FFFFFF"/>
        </w:rPr>
      </w:pPr>
    </w:p>
    <w:p w14:paraId="77B492B2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OLE_LINK2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一、起草背景</w:t>
      </w:r>
    </w:p>
    <w:p w14:paraId="323919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场景创新是激活科技创新动能、培育新质生产力的核心抓手，也是推动新技术规模化落地应用的关键桥梁。2025年，国务院办公厅印发《关于加快场景培育和开放推动新场景大规模应用的实施意见》，要求支持建设一批综合性重大场景、行业领域集成式场景、高价值小切口场景，扩大生产场景、工作场景、生活场景供给，推动场景资源开放。2026年，北京市发改委、市科委中关村管委会、市经信局、市国资委联合印发《北京市加快推动场景培育和开放应用工作方案》，提出要以场景为桥梁链接技术创新与产业应用，为技术找场景、为场景找市场，推动新场景规模化商业化产业化应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为深入贯彻落实国家及北京市关于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场景培育和开放应用</w:t>
      </w:r>
      <w:r>
        <w:rPr>
          <w:rFonts w:hint="eastAsia" w:ascii="仿宋_GB2312" w:hAnsi="仿宋_GB2312" w:eastAsia="仿宋_GB2312" w:cs="仿宋_GB2312"/>
          <w:sz w:val="32"/>
          <w:szCs w:val="32"/>
        </w:rPr>
        <w:t>的工作要求，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加速更多新技术、新产品、新业态率先应用推广，按照区委区政府相关工作部署，区发改委牵头起草了《昌平区加快推动场景培育和开放应用工作方案（征求意见稿）》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（以下简称《工作方案》）。</w:t>
      </w:r>
    </w:p>
    <w:p w14:paraId="4709D4BE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二、起草过程</w:t>
      </w:r>
    </w:p>
    <w:p w14:paraId="42B29A8F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为做好《工作方案》起草工作，区发改委会同区内相关职能部门，聚焦医药健康、先进能源、先进制造三大主导产业，围绕智慧教育、医疗卫生、花园城市等重点领域，开展应用场景摸底调研工作，系统梳理昌平区场景需求、场景能力及应用示范项目，围绕国家、市级相关政策精神，立足昌平区资源禀赋与场景供给要素，研究形成《工作方案》，并广泛征求吸纳各相关单位意见建议。</w:t>
      </w:r>
    </w:p>
    <w:p w14:paraId="2A28A19B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476033A4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《工作方案》包括工作目标、重点任务、发挥多元主体优势、要素保障、组织保障五个部分。</w:t>
      </w:r>
    </w:p>
    <w:p w14:paraId="0673CE90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（一）工作目标</w:t>
      </w:r>
    </w:p>
    <w:p w14:paraId="680B3EE8">
      <w:pPr>
        <w:spacing w:line="560" w:lineRule="exact"/>
        <w:ind w:firstLine="640" w:firstLineChars="200"/>
        <w:rPr>
          <w:rFonts w:hint="default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到2028年，围绕医药健康、先进能源、先进制造三大主导产业力争打造3个国家层面标志性重大应用场景、10个市级示范应用场景、100个区级特色标杆场景，提升区域产业应用场景核心竞争力。</w:t>
      </w:r>
    </w:p>
    <w:p w14:paraId="68B36BC4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（二）重点任务</w:t>
      </w:r>
    </w:p>
    <w:p w14:paraId="028EDE32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1.构建产业发展新场景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。聚焦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医药健康、先进能源、先进制造、人工智能、新兴产业、未来产业等6个方面，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依托未来科学城“两谷一园”科创主平台和“两口一园”等重点功能区，推动重点企业向高端化绿色化智能化发展，着力打造一批高价值场景示范。</w:t>
      </w:r>
    </w:p>
    <w:p w14:paraId="52189125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2.创新高效公共服务场景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。聚焦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城市治理、智慧教育、智慧医疗、养老服务、托育服务、应急安全等6个方面，创新城市治理服务综合性应用场景，推进城市管理、民生需要、应急安全等领域场景开放，提高城市治理效能，以科技赋能美好生活。</w:t>
      </w:r>
    </w:p>
    <w:p w14:paraId="111EEAF8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3.塑造城市活力新场景。</w:t>
      </w:r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聚焦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文博旅、商业、体育、农业、花园城市、城市更新等6个方面，支持各类市场主体运用人工智能等新兴技术，开展产品研发、模式创新和场景试点，分类推进建设一批标杆场景，促进生态提质、民生改善、消费融合。</w:t>
      </w:r>
    </w:p>
    <w:p w14:paraId="1A50A05D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（三）发挥多元主体优势</w:t>
      </w:r>
    </w:p>
    <w:p w14:paraId="18B4E836">
      <w:pPr>
        <w:spacing w:line="56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包含5项工作措施。强化发挥各类主体作用，引导高校、科研机构、央国企、链主企业、行业协会等开放场景资源，扩大场景源头供给，强化场景开放协同共享。</w:t>
      </w:r>
    </w:p>
    <w:p w14:paraId="7695D422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（四）要素保障</w:t>
      </w:r>
    </w:p>
    <w:p w14:paraId="760BBD4E">
      <w:pPr>
        <w:spacing w:line="56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强化政策协同。推动形成应用场景政策支撑体系，不断优化审批路径，为促进产业发展、培育新动能提供完备的制度环境。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夯实产业空间载体，统筹产业园区、楼宇及公共空间资源，布局概念验证、中试示范载体，为新技术新产品提供落地试验空间，打通场景供需对接渠道。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加强科技金融服务供给，构建财政资金、国有资本、社会资本三位一体的金融支持体系，鼓励金融机构开发“场景贷”等创新金融产品，引导保险机构开发新型保险产品，支持场景开放和产品技术验证。</w:t>
      </w:r>
      <w:bookmarkEnd w:id="0"/>
    </w:p>
    <w:p w14:paraId="27EC6328">
      <w:pPr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（五）组织保障</w:t>
      </w:r>
    </w:p>
    <w:p w14:paraId="4CBABD10">
      <w:pPr>
        <w:spacing w:line="56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强化组织领导。充分发挥政府引导作用，建立全区“场景需求、场景能力、应用示范”三张清单，凝聚发展合力，落实各项任务。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创新体制机制。构建全流程场景培育机制，形成“需求发布、场景验证、示范推广”培育闭环，搭建场景供需精准对接机制，依托现有品牌赛事，适时组织发布各种活动、大赛实现资源共享，常态化开展场景供需对接、创新成果路演交流。</w:t>
      </w:r>
      <w:r>
        <w:rPr>
          <w:rFonts w:hint="eastAsia" w:ascii="仿宋_GB2312" w:hAnsi="黑体" w:eastAsia="仿宋_GB2312" w:cs="黑体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黑体" w:eastAsia="仿宋_GB2312" w:cs="黑体"/>
          <w:sz w:val="32"/>
          <w:szCs w:val="32"/>
          <w:lang w:val="en-US" w:eastAsia="zh-CN"/>
        </w:rPr>
        <w:t>做好宣传推广。加强政策解读和宣传引导，推广应用场景建设先进经验和典型案例，加快以产业需求为导向的技术创新和产品迭代。</w: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441B3">
    <w:pPr>
      <w:pStyle w:val="11"/>
      <w:wordWrap w:val="0"/>
      <w:jc w:val="right"/>
      <w:rPr>
        <w:rFonts w:hint="eastAsia"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PAGE   \* MERGEFORMAT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0C124">
    <w:pPr>
      <w:pStyle w:val="11"/>
      <w:ind w:firstLine="280" w:firstLineChars="100"/>
    </w:pPr>
    <w:r>
      <w:rPr>
        <w:rFonts w:hint="eastAsia" w:asciiTheme="minorEastAsia" w:hAnsiTheme="minor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PAGE   \* MERGEFORMAT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hint="eastAsia" w:asciiTheme="minorEastAsia" w:hAnsiTheme="minorEastAsia"/>
        <w:sz w:val="28"/>
        <w:szCs w:val="28"/>
      </w:rPr>
      <w:t>3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16"/>
    <w:rsid w:val="00017F38"/>
    <w:rsid w:val="00053E12"/>
    <w:rsid w:val="00064C25"/>
    <w:rsid w:val="000F79E3"/>
    <w:rsid w:val="00116495"/>
    <w:rsid w:val="00132263"/>
    <w:rsid w:val="001B7B16"/>
    <w:rsid w:val="0022290B"/>
    <w:rsid w:val="00245F6E"/>
    <w:rsid w:val="00271239"/>
    <w:rsid w:val="00271B37"/>
    <w:rsid w:val="002A070F"/>
    <w:rsid w:val="002F0DF1"/>
    <w:rsid w:val="002F531F"/>
    <w:rsid w:val="00421425"/>
    <w:rsid w:val="0044638E"/>
    <w:rsid w:val="006528BC"/>
    <w:rsid w:val="006C759D"/>
    <w:rsid w:val="00701C21"/>
    <w:rsid w:val="007932D9"/>
    <w:rsid w:val="00813E6E"/>
    <w:rsid w:val="00836C03"/>
    <w:rsid w:val="008C0A1F"/>
    <w:rsid w:val="00904CFF"/>
    <w:rsid w:val="00971F1B"/>
    <w:rsid w:val="00973507"/>
    <w:rsid w:val="00AA2FD4"/>
    <w:rsid w:val="00B303EF"/>
    <w:rsid w:val="00BA6807"/>
    <w:rsid w:val="00CA7FF2"/>
    <w:rsid w:val="00D963FB"/>
    <w:rsid w:val="00E76901"/>
    <w:rsid w:val="00EE244B"/>
    <w:rsid w:val="00EE3676"/>
    <w:rsid w:val="00F438D5"/>
    <w:rsid w:val="00F65D6E"/>
    <w:rsid w:val="024E3B6A"/>
    <w:rsid w:val="04F749ED"/>
    <w:rsid w:val="080A1514"/>
    <w:rsid w:val="08844E22"/>
    <w:rsid w:val="08F22600"/>
    <w:rsid w:val="0D677A77"/>
    <w:rsid w:val="13421B62"/>
    <w:rsid w:val="15962639"/>
    <w:rsid w:val="231106EF"/>
    <w:rsid w:val="24A25583"/>
    <w:rsid w:val="26A60202"/>
    <w:rsid w:val="26CE145D"/>
    <w:rsid w:val="27225ADA"/>
    <w:rsid w:val="28EF2FC6"/>
    <w:rsid w:val="2EB07836"/>
    <w:rsid w:val="310778DF"/>
    <w:rsid w:val="32130E41"/>
    <w:rsid w:val="34FE3693"/>
    <w:rsid w:val="36F17277"/>
    <w:rsid w:val="3763C387"/>
    <w:rsid w:val="386E4340"/>
    <w:rsid w:val="3F2807F8"/>
    <w:rsid w:val="41A75102"/>
    <w:rsid w:val="4B4E2A92"/>
    <w:rsid w:val="4BC12973"/>
    <w:rsid w:val="4D0C6B4D"/>
    <w:rsid w:val="505A77E4"/>
    <w:rsid w:val="54D5124F"/>
    <w:rsid w:val="59BE699D"/>
    <w:rsid w:val="63A445B8"/>
    <w:rsid w:val="663568D1"/>
    <w:rsid w:val="66613505"/>
    <w:rsid w:val="6A1F767C"/>
    <w:rsid w:val="6EF80849"/>
    <w:rsid w:val="70194DCD"/>
    <w:rsid w:val="70AC7790"/>
    <w:rsid w:val="77486FBC"/>
    <w:rsid w:val="7E6A5C04"/>
    <w:rsid w:val="7ECD724F"/>
    <w:rsid w:val="9FBA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480" w:after="80" w:line="278" w:lineRule="auto"/>
      <w:jc w:val="left"/>
      <w:outlineLvl w:val="0"/>
    </w:pPr>
    <w:rPr>
      <w:rFonts w:ascii="等线 Light" w:hAnsi="等线 Light" w:eastAsia="等线 Light"/>
      <w:color w:val="0F4761"/>
      <w:sz w:val="48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160" w:after="80" w:line="278" w:lineRule="auto"/>
      <w:jc w:val="left"/>
      <w:outlineLvl w:val="1"/>
    </w:pPr>
    <w:rPr>
      <w:rFonts w:ascii="等线 Light" w:hAnsi="等线 Light" w:eastAsia="等线 Light"/>
      <w:color w:val="0F4761"/>
      <w:sz w:val="40"/>
      <w:szCs w:val="40"/>
    </w:rPr>
  </w:style>
  <w:style w:type="paragraph" w:styleId="5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line="440" w:lineRule="exact"/>
      <w:ind w:firstLine="200" w:firstLineChars="200"/>
      <w:outlineLvl w:val="3"/>
    </w:pPr>
    <w:rPr>
      <w:rFonts w:ascii="Calibri Light" w:hAnsi="Calibri Light" w:eastAsia="宋体" w:cs="Times New Roman"/>
      <w:bCs/>
      <w:sz w:val="24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  <w:rPr>
      <w:rFonts w:ascii="Times New Roman" w:hAnsi="Times New Roman" w:eastAsia="宋体" w:cs="Times New Roman"/>
    </w:rPr>
  </w:style>
  <w:style w:type="paragraph" w:styleId="7">
    <w:name w:val="Normal Indent"/>
    <w:basedOn w:val="1"/>
    <w:next w:val="8"/>
    <w:qFormat/>
    <w:uiPriority w:val="0"/>
    <w:pPr>
      <w:ind w:firstLine="420"/>
    </w:pPr>
    <w:rPr>
      <w:rFonts w:ascii="Calibri" w:hAnsi="Calibri" w:eastAsia="宋体" w:cs="Calibri"/>
      <w:szCs w:val="20"/>
    </w:rPr>
  </w:style>
  <w:style w:type="paragraph" w:styleId="8">
    <w:name w:val="Body Text Indent"/>
    <w:basedOn w:val="1"/>
    <w:next w:val="7"/>
    <w:qFormat/>
    <w:uiPriority w:val="0"/>
    <w:pPr>
      <w:suppressAutoHyphens/>
      <w:spacing w:line="460" w:lineRule="exact"/>
      <w:ind w:left="1285" w:hanging="1285"/>
    </w:pPr>
    <w:rPr>
      <w:rFonts w:ascii="仿宋_GB2312" w:hAnsi="仿宋_GB2312" w:eastAsia="仿宋_GB2312" w:cs="Times New Roman"/>
      <w:b/>
      <w:bCs/>
      <w:kern w:val="1"/>
      <w:sz w:val="32"/>
      <w:lang w:eastAsia="ar-SA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Plain Text"/>
    <w:basedOn w:val="1"/>
    <w:next w:val="1"/>
    <w:qFormat/>
    <w:uiPriority w:val="0"/>
    <w:rPr>
      <w:rFonts w:ascii="宋体" w:hAnsi="Courier New" w:eastAsia="宋体" w:cs="黑体"/>
      <w:szCs w:val="21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5">
    <w:name w:val="Strong"/>
    <w:basedOn w:val="14"/>
    <w:qFormat/>
    <w:uiPriority w:val="0"/>
    <w:rPr>
      <w:b/>
    </w:rPr>
  </w:style>
  <w:style w:type="paragraph" w:customStyle="1" w:styleId="16">
    <w:name w:val="正文（缩进）"/>
    <w:basedOn w:val="1"/>
    <w:qFormat/>
    <w:uiPriority w:val="0"/>
    <w:pPr>
      <w:spacing w:beforeLines="50" w:afterLines="50" w:line="360" w:lineRule="auto"/>
      <w:ind w:firstLine="480" w:firstLineChars="200"/>
    </w:pPr>
    <w:rPr>
      <w:rFonts w:ascii="Calibri" w:hAnsi="Calibri" w:eastAsia="宋体" w:cs="Times New Roman"/>
    </w:rPr>
  </w:style>
  <w:style w:type="character" w:customStyle="1" w:styleId="17">
    <w:name w:val="UserStyle_1"/>
    <w:qFormat/>
    <w:uiPriority w:val="0"/>
  </w:style>
  <w:style w:type="character" w:customStyle="1" w:styleId="18">
    <w:name w:val="标题 3 字符"/>
    <w:basedOn w:val="14"/>
    <w:link w:val="5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9">
    <w:name w:val="NormalCharacter"/>
    <w:semiHidden/>
    <w:qFormat/>
    <w:uiPriority w:val="0"/>
    <w:rPr>
      <w:rFonts w:ascii="Calibri" w:hAnsi="Calibri" w:eastAsia="宋体" w:cs="等线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'1.0' standalone='no'?>
<b:Sources xmlns:b="http://schemas.openxmlformats.org/officeDocument/2006/bibliography" xmlns:b="http://schemas.openxmlformats.org/officeDocument/2006/bibliography" SelectedStyle="\APASixthEditionOfficeOnline.xsl" Version="6" StyleName="APA"/>

</file>

<file path=customXml/itemProps1.xml><?xml version="1.0" encoding="utf-8"?>
<ds:datastoreItem xmlns:ds="http://schemas.openxmlformats.org/officeDocument/2006/customXml" ds:itemID="{81D6CF86-0F5B-47A3-9572-3E6C66D588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</Words>
  <Characters>1185</Characters>
  <Lines>9</Lines>
  <Paragraphs>2</Paragraphs>
  <TotalTime>3</TotalTime>
  <ScaleCrop>false</ScaleCrop>
  <LinksUpToDate>false</LinksUpToDate>
  <CharactersWithSpaces>1390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2025-07-31T07:31:00Z</dcterms:created>
  <dc:creator>高</dc:creator>
  <cp:lastModifiedBy>HIGC</cp:lastModifiedBy>
  <cp:lastPrinted>2025-08-01T02:46:00Z</cp:lastPrinted>
  <dcterms:modified xsi:type="dcterms:W3CDTF">2026-08-21T23:51:41Z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4C5200FE65F348D3B89A493E383E6E9A</vt:lpwstr>
  </property>
  <property fmtid="{D5CDD505-2E9C-101B-9397-08002B2CF9AE}" pid="4" name="KSOTemplateDocerSaveRecord">
    <vt:lpwstr>eyJoZGlkIjoiN2NjNjRmM2QxMjlhMTFjMDY1MmM4ZDBhOGI4NWRiNDAiLCJ1c2VySWQiOiIyODg4MDA0NTUifQ==</vt:lpwstr>
  </property>
</Properties>
</file>