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2B7AB" w14:textId="0EDAF03A" w:rsidR="00A06593" w:rsidRDefault="00700E05" w:rsidP="00700E05">
      <w:pPr>
        <w:spacing w:line="620" w:lineRule="exact"/>
        <w:ind w:firstLineChars="0" w:firstLine="0"/>
        <w:rPr>
          <w:rFonts w:ascii="黑体" w:eastAsia="黑体" w:hAnsi="黑体" w:hint="eastAsia"/>
          <w:b/>
          <w:bCs/>
          <w:sz w:val="36"/>
          <w:szCs w:val="36"/>
        </w:rPr>
      </w:pPr>
      <w:r w:rsidRPr="00700E05">
        <w:rPr>
          <w:rFonts w:ascii="黑体" w:eastAsia="黑体" w:hAnsi="黑体" w:cs="黑体" w:hint="eastAsia"/>
          <w:szCs w:val="32"/>
        </w:rPr>
        <w:t>附件1</w:t>
      </w:r>
      <w:r w:rsidR="000D2478">
        <w:rPr>
          <w:rFonts w:ascii="黑体" w:eastAsia="黑体" w:hAnsi="黑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5C6EC" wp14:editId="4C2D462B">
                <wp:simplePos x="0" y="0"/>
                <wp:positionH relativeFrom="column">
                  <wp:posOffset>-335915</wp:posOffset>
                </wp:positionH>
                <wp:positionV relativeFrom="paragraph">
                  <wp:posOffset>-500380</wp:posOffset>
                </wp:positionV>
                <wp:extent cx="6050915" cy="511175"/>
                <wp:effectExtent l="0" t="0" r="6985" b="3810"/>
                <wp:wrapNone/>
                <wp:docPr id="2087193394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6" cy="5109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" o:spid="_x0000_s1026" o:spt="1" style="position:absolute;left:0pt;margin-left:-26.45pt;margin-top:-39.4pt;height:40.25pt;width:476.45pt;z-index:251659264;v-text-anchor:middle;mso-width-relative:page;mso-height-relative:page;" fillcolor="#FFFFFF [3212]" filled="t" stroked="f" coordsize="21600,21600" o:gfxdata="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A8D0EjYAAAACQEAAA8AAAAAAAAAAQAgAAAAIgAAAGRycy9k&#10;b3ducmV2LnhtbFBLAQIUABQAAAAIAIdO4kDVK5CSdAIAANQEAAAOAAAAAAAAAAEAIAAAACcBAABk&#10;cnMvZTJvRG9jLnhtbFBLBQYAAAAABgAGAFkBAAAN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666D0571" w14:textId="77777777" w:rsidR="00A06593" w:rsidRDefault="00A06593">
      <w:pPr>
        <w:pStyle w:val="a0"/>
        <w:ind w:firstLine="640"/>
      </w:pPr>
    </w:p>
    <w:p w14:paraId="7F76B6A9" w14:textId="77777777" w:rsidR="00A06593" w:rsidRDefault="00A06593">
      <w:pPr>
        <w:pStyle w:val="a0"/>
        <w:ind w:firstLine="640"/>
      </w:pPr>
    </w:p>
    <w:p w14:paraId="5EB49684" w14:textId="77777777" w:rsidR="00700E05" w:rsidRDefault="00700E05">
      <w:pPr>
        <w:pStyle w:val="a0"/>
        <w:ind w:firstLine="640"/>
        <w:rPr>
          <w:rFonts w:hint="eastAsia"/>
        </w:rPr>
      </w:pPr>
    </w:p>
    <w:p w14:paraId="084A5FD8" w14:textId="77777777" w:rsidR="00A06593" w:rsidRDefault="000D2478">
      <w:pPr>
        <w:snapToGrid w:val="0"/>
        <w:spacing w:after="160" w:line="360" w:lineRule="auto"/>
        <w:ind w:firstLineChars="0" w:firstLine="0"/>
        <w:jc w:val="center"/>
        <w:rPr>
          <w:rFonts w:eastAsia="方正小标宋简体" w:cs="方正小标宋_GBK"/>
          <w:bCs/>
          <w:sz w:val="44"/>
          <w:szCs w:val="44"/>
        </w:rPr>
      </w:pPr>
      <w:bookmarkStart w:id="0" w:name="_Hlk234419966"/>
      <w:bookmarkStart w:id="1" w:name="OLE_LINK199"/>
      <w:r>
        <w:rPr>
          <w:rFonts w:eastAsia="方正小标宋简体" w:cs="方正小标宋_GBK" w:hint="eastAsia"/>
          <w:bCs/>
          <w:sz w:val="44"/>
          <w:szCs w:val="44"/>
        </w:rPr>
        <w:t>北京市怀柔区“十五五”时期现代化综合交通运输体系发展行动计划</w:t>
      </w:r>
      <w:bookmarkEnd w:id="0"/>
    </w:p>
    <w:bookmarkEnd w:id="1"/>
    <w:p w14:paraId="284B8B0E" w14:textId="77777777" w:rsidR="00A06593" w:rsidRDefault="000D2478">
      <w:pPr>
        <w:snapToGrid w:val="0"/>
        <w:ind w:firstLineChars="0" w:firstLine="0"/>
        <w:jc w:val="center"/>
        <w:rPr>
          <w:rFonts w:eastAsia="方正小标宋简体" w:cs="方正小标宋_GBK"/>
          <w:bCs/>
          <w:sz w:val="44"/>
          <w:szCs w:val="44"/>
        </w:rPr>
      </w:pPr>
      <w:r>
        <w:rPr>
          <w:rFonts w:eastAsia="方正小标宋简体" w:cs="方正小标宋_GBK" w:hint="eastAsia"/>
          <w:bCs/>
          <w:sz w:val="44"/>
          <w:szCs w:val="44"/>
        </w:rPr>
        <w:t>（</w:t>
      </w:r>
      <w:r w:rsidR="000E5E57">
        <w:rPr>
          <w:rFonts w:eastAsia="方正小标宋简体" w:cs="方正小标宋_GBK" w:hint="eastAsia"/>
          <w:bCs/>
          <w:sz w:val="44"/>
          <w:szCs w:val="44"/>
        </w:rPr>
        <w:t>征求意见稿</w:t>
      </w:r>
      <w:r>
        <w:rPr>
          <w:rFonts w:eastAsia="方正小标宋简体" w:cs="方正小标宋_GBK" w:hint="eastAsia"/>
          <w:bCs/>
          <w:sz w:val="44"/>
          <w:szCs w:val="44"/>
        </w:rPr>
        <w:t>）</w:t>
      </w:r>
    </w:p>
    <w:p w14:paraId="75226AA7" w14:textId="77777777" w:rsidR="00A06593" w:rsidRDefault="00A06593">
      <w:pPr>
        <w:pStyle w:val="a0"/>
        <w:ind w:firstLine="640"/>
      </w:pPr>
    </w:p>
    <w:p w14:paraId="44628F50" w14:textId="77777777" w:rsidR="00A06593" w:rsidRDefault="00A06593">
      <w:pPr>
        <w:pStyle w:val="a0"/>
        <w:ind w:firstLine="640"/>
      </w:pPr>
    </w:p>
    <w:p w14:paraId="1420D9A4" w14:textId="77777777" w:rsidR="00A06593" w:rsidRDefault="00A06593">
      <w:pPr>
        <w:pStyle w:val="a0"/>
        <w:ind w:firstLine="640"/>
      </w:pPr>
    </w:p>
    <w:p w14:paraId="4B4A196E" w14:textId="77777777" w:rsidR="00A06593" w:rsidRDefault="00A06593">
      <w:pPr>
        <w:pStyle w:val="a0"/>
        <w:ind w:firstLine="640"/>
      </w:pPr>
    </w:p>
    <w:p w14:paraId="74BE7B48" w14:textId="77777777" w:rsidR="00A06593" w:rsidRDefault="00A06593">
      <w:pPr>
        <w:pStyle w:val="a0"/>
        <w:ind w:firstLine="640"/>
      </w:pPr>
    </w:p>
    <w:p w14:paraId="4A8C6FB1" w14:textId="77777777" w:rsidR="00A06593" w:rsidRDefault="00A06593">
      <w:pPr>
        <w:pStyle w:val="a0"/>
        <w:ind w:firstLine="640"/>
      </w:pPr>
    </w:p>
    <w:p w14:paraId="08A5C0EE" w14:textId="77777777" w:rsidR="00A06593" w:rsidRDefault="00A06593">
      <w:pPr>
        <w:pStyle w:val="a0"/>
        <w:ind w:firstLine="640"/>
      </w:pPr>
    </w:p>
    <w:p w14:paraId="59E725F4" w14:textId="77777777" w:rsidR="00A06593" w:rsidRDefault="00A06593">
      <w:pPr>
        <w:pStyle w:val="a0"/>
        <w:ind w:firstLine="640"/>
      </w:pPr>
    </w:p>
    <w:p w14:paraId="5CF05466" w14:textId="77777777" w:rsidR="0050103C" w:rsidRDefault="0050103C">
      <w:pPr>
        <w:pStyle w:val="a0"/>
        <w:ind w:firstLine="640"/>
      </w:pPr>
    </w:p>
    <w:p w14:paraId="35EF9C6E" w14:textId="77777777" w:rsidR="0050103C" w:rsidRPr="0050103C" w:rsidRDefault="0050103C">
      <w:pPr>
        <w:pStyle w:val="a0"/>
        <w:ind w:firstLine="640"/>
      </w:pPr>
    </w:p>
    <w:p w14:paraId="13A7E406" w14:textId="77777777" w:rsidR="00A06593" w:rsidRDefault="000D2478">
      <w:pPr>
        <w:pStyle w:val="a0"/>
        <w:kinsoku w:val="0"/>
        <w:overflowPunct w:val="0"/>
        <w:autoSpaceDE w:val="0"/>
        <w:autoSpaceDN w:val="0"/>
        <w:adjustRightInd w:val="0"/>
        <w:spacing w:line="360" w:lineRule="auto"/>
        <w:ind w:left="760" w:right="794" w:firstLineChars="0" w:firstLine="0"/>
        <w:jc w:val="center"/>
        <w:rPr>
          <w:rFonts w:eastAsia="黑体" w:cs="黑体"/>
          <w:spacing w:val="-2"/>
          <w:kern w:val="0"/>
          <w:szCs w:val="32"/>
        </w:rPr>
      </w:pPr>
      <w:r>
        <w:rPr>
          <w:rFonts w:eastAsia="黑体" w:cs="黑体" w:hint="eastAsia"/>
          <w:spacing w:val="-2"/>
          <w:kern w:val="0"/>
          <w:szCs w:val="32"/>
        </w:rPr>
        <w:t>北京市怀柔区交通局</w:t>
      </w:r>
    </w:p>
    <w:p w14:paraId="2AE3809D" w14:textId="41560823" w:rsidR="00A06593" w:rsidRDefault="000D2478">
      <w:pPr>
        <w:pStyle w:val="a0"/>
        <w:kinsoku w:val="0"/>
        <w:overflowPunct w:val="0"/>
        <w:autoSpaceDE w:val="0"/>
        <w:autoSpaceDN w:val="0"/>
        <w:adjustRightInd w:val="0"/>
        <w:spacing w:line="360" w:lineRule="auto"/>
        <w:ind w:left="760" w:right="794" w:firstLineChars="0" w:firstLine="0"/>
        <w:jc w:val="center"/>
        <w:rPr>
          <w:rFonts w:eastAsia="黑体" w:cs="黑体"/>
          <w:spacing w:val="-2"/>
          <w:kern w:val="0"/>
          <w:szCs w:val="32"/>
        </w:rPr>
        <w:sectPr w:rsidR="00A065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737" w:footer="680" w:gutter="0"/>
          <w:pgNumType w:start="1"/>
          <w:cols w:space="425"/>
          <w:titlePg/>
          <w:docGrid w:type="lines" w:linePitch="435"/>
        </w:sectPr>
      </w:pPr>
      <w:r>
        <w:rPr>
          <w:rFonts w:eastAsia="黑体" w:cs="黑体" w:hint="eastAsia"/>
          <w:spacing w:val="-2"/>
          <w:kern w:val="0"/>
          <w:szCs w:val="32"/>
        </w:rPr>
        <w:t>二〇二六年</w:t>
      </w:r>
      <w:r w:rsidR="00232A05">
        <w:rPr>
          <w:rFonts w:eastAsia="黑体" w:cs="黑体" w:hint="eastAsia"/>
          <w:spacing w:val="-2"/>
          <w:kern w:val="0"/>
          <w:szCs w:val="32"/>
        </w:rPr>
        <w:t>八</w:t>
      </w:r>
      <w:r>
        <w:rPr>
          <w:rFonts w:eastAsia="黑体" w:cs="黑体" w:hint="eastAsia"/>
          <w:spacing w:val="-2"/>
          <w:kern w:val="0"/>
          <w:szCs w:val="32"/>
        </w:rPr>
        <w:t>月</w:t>
      </w:r>
    </w:p>
    <w:sdt>
      <w:sdtPr>
        <w:rPr>
          <w:rFonts w:ascii="Times New Roman" w:eastAsia="仿宋_GB2312" w:hAnsi="Times New Roman" w:cs="Times New Roman"/>
          <w:b/>
          <w:bCs/>
          <w:color w:val="auto"/>
          <w:kern w:val="2"/>
          <w:szCs w:val="20"/>
          <w:lang w:val="zh-CN"/>
        </w:rPr>
        <w:id w:val="1555042828"/>
        <w:docPartObj>
          <w:docPartGallery w:val="Table of Contents"/>
          <w:docPartUnique/>
        </w:docPartObj>
      </w:sdtPr>
      <w:sdtEndPr>
        <w:rPr>
          <w:rFonts w:ascii="仿宋_GB2312" w:hAnsi="黑体" w:cs="方正小标宋简体"/>
          <w:b w:val="0"/>
          <w:bCs w:val="0"/>
        </w:rPr>
      </w:sdtEndPr>
      <w:sdtContent>
        <w:p w14:paraId="74C9D6FB" w14:textId="77777777" w:rsidR="00A06593" w:rsidRPr="00591020" w:rsidRDefault="000D2478" w:rsidP="00D37C0D">
          <w:pPr>
            <w:pStyle w:val="TOC10"/>
            <w:spacing w:before="360" w:afterLines="50" w:after="217" w:line="540" w:lineRule="exact"/>
            <w:ind w:firstLineChars="0" w:firstLine="0"/>
            <w:jc w:val="center"/>
            <w:rPr>
              <w:rFonts w:ascii="仿宋_GB2312" w:eastAsia="仿宋_GB2312" w:hAnsi="黑体" w:hint="eastAsia"/>
              <w:color w:val="auto"/>
            </w:rPr>
          </w:pPr>
          <w:r w:rsidRPr="00591020">
            <w:rPr>
              <w:rFonts w:ascii="仿宋_GB2312" w:eastAsia="仿宋_GB2312" w:hAnsi="黑体" w:hint="eastAsia"/>
              <w:color w:val="auto"/>
              <w:lang w:val="zh-CN"/>
            </w:rPr>
            <w:t>目录</w:t>
          </w:r>
        </w:p>
        <w:p w14:paraId="7548CF5A" w14:textId="571C27BE" w:rsidR="00591020" w:rsidRPr="00591020" w:rsidRDefault="000D2478" w:rsidP="00D37C0D">
          <w:pPr>
            <w:pStyle w:val="TOC1"/>
            <w:spacing w:line="540" w:lineRule="exact"/>
            <w:rPr>
              <w:rFonts w:hAnsiTheme="minorHAnsi" w:cstheme="minorBidi" w:hint="eastAsia"/>
              <w:noProof/>
              <w:szCs w:val="32"/>
              <w14:ligatures w14:val="standardContextual"/>
            </w:rPr>
          </w:pPr>
          <w:r w:rsidRPr="00591020">
            <w:rPr>
              <w:rFonts w:hint="eastAsia"/>
              <w:szCs w:val="32"/>
            </w:rPr>
            <w:fldChar w:fldCharType="begin"/>
          </w:r>
          <w:r w:rsidRPr="00591020">
            <w:rPr>
              <w:rFonts w:hint="eastAsia"/>
              <w:szCs w:val="32"/>
            </w:rPr>
            <w:instrText xml:space="preserve"> TOC \o "1-3" \h \z \u </w:instrText>
          </w:r>
          <w:r w:rsidRPr="00591020">
            <w:rPr>
              <w:rFonts w:hint="eastAsia"/>
              <w:szCs w:val="32"/>
            </w:rPr>
            <w:fldChar w:fldCharType="separate"/>
          </w:r>
          <w:hyperlink w:anchor="_Toc237876375" w:history="1">
            <w:r w:rsidR="00591020" w:rsidRPr="00591020">
              <w:rPr>
                <w:rStyle w:val="af9"/>
                <w:rFonts w:hint="eastAsia"/>
                <w:noProof/>
                <w:szCs w:val="32"/>
              </w:rPr>
              <w:t>前言</w:t>
            </w:r>
            <w:r w:rsidR="00591020" w:rsidRPr="00591020">
              <w:rPr>
                <w:rFonts w:hint="eastAsia"/>
                <w:noProof/>
                <w:webHidden/>
                <w:szCs w:val="32"/>
              </w:rPr>
              <w:tab/>
            </w:r>
            <w:r w:rsidR="00591020" w:rsidRPr="00591020">
              <w:rPr>
                <w:rFonts w:hint="eastAsia"/>
                <w:noProof/>
                <w:webHidden/>
                <w:szCs w:val="32"/>
              </w:rPr>
              <w:fldChar w:fldCharType="begin"/>
            </w:r>
            <w:r w:rsidR="00591020" w:rsidRPr="00591020">
              <w:rPr>
                <w:rFonts w:hint="eastAsia"/>
                <w:noProof/>
                <w:webHidden/>
                <w:szCs w:val="32"/>
              </w:rPr>
              <w:instrText xml:space="preserve"> PAGEREF _Toc237876375 \h </w:instrText>
            </w:r>
            <w:r w:rsidR="00591020" w:rsidRPr="00591020">
              <w:rPr>
                <w:rFonts w:hint="eastAsia"/>
                <w:noProof/>
                <w:webHidden/>
                <w:szCs w:val="32"/>
              </w:rPr>
            </w:r>
            <w:r w:rsidR="00591020" w:rsidRPr="00591020">
              <w:rPr>
                <w:rFonts w:hint="eastAsia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hint="eastAsia"/>
                <w:noProof/>
                <w:webHidden/>
                <w:szCs w:val="32"/>
              </w:rPr>
              <w:t>1</w:t>
            </w:r>
            <w:r w:rsidR="00591020" w:rsidRPr="00591020">
              <w:rPr>
                <w:rFonts w:hint="eastAsia"/>
                <w:noProof/>
                <w:webHidden/>
                <w:szCs w:val="32"/>
              </w:rPr>
              <w:fldChar w:fldCharType="end"/>
            </w:r>
          </w:hyperlink>
        </w:p>
        <w:p w14:paraId="0547B107" w14:textId="2683A8AF" w:rsidR="00591020" w:rsidRPr="00591020" w:rsidRDefault="00591020" w:rsidP="00D37C0D">
          <w:pPr>
            <w:pStyle w:val="TOC1"/>
            <w:spacing w:line="540" w:lineRule="exact"/>
            <w:rPr>
              <w:rFonts w:hAnsiTheme="minorHAnsi" w:cstheme="minorBidi" w:hint="eastAsia"/>
              <w:noProof/>
              <w:szCs w:val="32"/>
              <w14:ligatures w14:val="standardContextual"/>
            </w:rPr>
          </w:pPr>
          <w:hyperlink w:anchor="_Toc237876376" w:history="1">
            <w:r w:rsidRPr="00591020">
              <w:rPr>
                <w:rStyle w:val="af9"/>
                <w:rFonts w:hint="eastAsia"/>
                <w:noProof/>
                <w:szCs w:val="32"/>
              </w:rPr>
              <w:t>一、发展基础</w:t>
            </w:r>
            <w:r w:rsidRPr="00591020">
              <w:rPr>
                <w:rFonts w:hint="eastAsia"/>
                <w:noProof/>
                <w:webHidden/>
                <w:szCs w:val="32"/>
              </w:rPr>
              <w:tab/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hint="eastAsia"/>
                <w:noProof/>
                <w:webHidden/>
                <w:szCs w:val="32"/>
              </w:rPr>
              <w:instrText xml:space="preserve"> PAGEREF _Toc237876376 \h </w:instrText>
            </w:r>
            <w:r w:rsidRPr="00591020">
              <w:rPr>
                <w:rFonts w:hint="eastAsia"/>
                <w:noProof/>
                <w:webHidden/>
                <w:szCs w:val="32"/>
              </w:rPr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hint="eastAsia"/>
                <w:noProof/>
                <w:webHidden/>
                <w:szCs w:val="32"/>
              </w:rPr>
              <w:t>3</w:t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end"/>
            </w:r>
          </w:hyperlink>
        </w:p>
        <w:p w14:paraId="2A5EFA70" w14:textId="0A4308D1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77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（一）发展成就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_Toc237876377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3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18BA6A90" w14:textId="07CE69AB" w:rsidR="00591020" w:rsidRPr="00591020" w:rsidRDefault="00591020" w:rsidP="00D37C0D">
          <w:pPr>
            <w:pStyle w:val="TOC3"/>
            <w:spacing w:line="540" w:lineRule="exact"/>
            <w:rPr>
              <w:rFonts w:ascii="仿宋_GB2312" w:eastAsia="仿宋_GB2312" w:hAnsiTheme="minorHAnsi" w:cstheme="minorBidi" w:hint="eastAsia"/>
              <w:noProof/>
              <w:w w:val="100"/>
              <w:szCs w:val="32"/>
              <w14:ligatures w14:val="standardContextual"/>
            </w:rPr>
          </w:pPr>
          <w:hyperlink w:anchor="_Toc237876378" w:history="1">
            <w:r w:rsidRPr="00591020">
              <w:rPr>
                <w:rStyle w:val="af9"/>
                <w:rFonts w:ascii="仿宋_GB2312" w:eastAsia="仿宋_GB2312" w:hint="eastAsia"/>
                <w:noProof/>
                <w:w w:val="100"/>
                <w:szCs w:val="32"/>
              </w:rPr>
              <w:t>1.骨干交通基础设施加快建设，网络互联互通成效显著</w:t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instrText xml:space="preserve"> PAGEREF _Toc237876378 \h </w:instrText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fldChar w:fldCharType="separate"/>
            </w:r>
            <w:r w:rsidR="00FF7661">
              <w:rPr>
                <w:rFonts w:ascii="仿宋_GB2312" w:eastAsia="仿宋_GB2312"/>
                <w:noProof/>
                <w:webHidden/>
                <w:w w:val="100"/>
                <w:szCs w:val="32"/>
              </w:rPr>
              <w:t>3</w:t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fldChar w:fldCharType="end"/>
            </w:r>
          </w:hyperlink>
        </w:p>
        <w:p w14:paraId="4296E1EA" w14:textId="05F4205E" w:rsidR="00591020" w:rsidRPr="00591020" w:rsidRDefault="00591020" w:rsidP="00D37C0D">
          <w:pPr>
            <w:pStyle w:val="TOC3"/>
            <w:spacing w:line="540" w:lineRule="exact"/>
            <w:rPr>
              <w:rFonts w:ascii="仿宋_GB2312" w:eastAsia="仿宋_GB2312" w:hAnsiTheme="minorHAnsi" w:cstheme="minorBidi" w:hint="eastAsia"/>
              <w:noProof/>
              <w:w w:val="100"/>
              <w:szCs w:val="32"/>
              <w14:ligatures w14:val="standardContextual"/>
            </w:rPr>
          </w:pPr>
          <w:hyperlink w:anchor="_Toc237876379" w:history="1">
            <w:r w:rsidRPr="00591020">
              <w:rPr>
                <w:rStyle w:val="af9"/>
                <w:rFonts w:ascii="仿宋_GB2312" w:eastAsia="仿宋_GB2312" w:hint="eastAsia"/>
                <w:noProof/>
                <w:w w:val="100"/>
                <w:szCs w:val="32"/>
              </w:rPr>
              <w:t>2.引导绿色低碳出行，绿色服务品质显著提升</w:t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instrText xml:space="preserve"> PAGEREF _Toc237876379 \h </w:instrText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fldChar w:fldCharType="separate"/>
            </w:r>
            <w:r w:rsidR="00FF7661">
              <w:rPr>
                <w:rFonts w:ascii="仿宋_GB2312" w:eastAsia="仿宋_GB2312"/>
                <w:noProof/>
                <w:webHidden/>
                <w:w w:val="100"/>
                <w:szCs w:val="32"/>
              </w:rPr>
              <w:t>4</w:t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fldChar w:fldCharType="end"/>
            </w:r>
          </w:hyperlink>
        </w:p>
        <w:p w14:paraId="3165B26A" w14:textId="35DD927B" w:rsidR="00591020" w:rsidRPr="00591020" w:rsidRDefault="00591020" w:rsidP="00D37C0D">
          <w:pPr>
            <w:pStyle w:val="TOC3"/>
            <w:spacing w:line="540" w:lineRule="exact"/>
            <w:rPr>
              <w:rFonts w:ascii="仿宋_GB2312" w:eastAsia="仿宋_GB2312" w:hAnsiTheme="minorHAnsi" w:cstheme="minorBidi" w:hint="eastAsia"/>
              <w:noProof/>
              <w:w w:val="100"/>
              <w:szCs w:val="32"/>
              <w14:ligatures w14:val="standardContextual"/>
            </w:rPr>
          </w:pPr>
          <w:hyperlink w:anchor="_Toc237876380" w:history="1">
            <w:r w:rsidRPr="00591020">
              <w:rPr>
                <w:rStyle w:val="af9"/>
                <w:rFonts w:ascii="仿宋_GB2312" w:eastAsia="仿宋_GB2312" w:hint="eastAsia"/>
                <w:noProof/>
                <w:w w:val="100"/>
                <w:szCs w:val="32"/>
              </w:rPr>
              <w:t>3.强化综合治理与安全保障，交通运行效能持续提升</w:t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instrText xml:space="preserve"> PAGEREF _Toc237876380 \h </w:instrText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fldChar w:fldCharType="separate"/>
            </w:r>
            <w:r w:rsidR="00FF7661">
              <w:rPr>
                <w:rFonts w:ascii="仿宋_GB2312" w:eastAsia="仿宋_GB2312"/>
                <w:noProof/>
                <w:webHidden/>
                <w:w w:val="100"/>
                <w:szCs w:val="32"/>
              </w:rPr>
              <w:t>5</w:t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fldChar w:fldCharType="end"/>
            </w:r>
          </w:hyperlink>
        </w:p>
        <w:p w14:paraId="257A4F45" w14:textId="6466448D" w:rsidR="00591020" w:rsidRPr="00591020" w:rsidRDefault="00591020" w:rsidP="00D37C0D">
          <w:pPr>
            <w:pStyle w:val="TOC3"/>
            <w:spacing w:line="540" w:lineRule="exact"/>
            <w:rPr>
              <w:rFonts w:ascii="仿宋_GB2312" w:eastAsia="仿宋_GB2312" w:hAnsiTheme="minorHAnsi" w:cstheme="minorBidi" w:hint="eastAsia"/>
              <w:noProof/>
              <w:w w:val="100"/>
              <w:szCs w:val="32"/>
              <w14:ligatures w14:val="standardContextual"/>
            </w:rPr>
          </w:pPr>
          <w:hyperlink w:anchor="_Toc237876381" w:history="1">
            <w:r w:rsidRPr="00591020">
              <w:rPr>
                <w:rStyle w:val="af9"/>
                <w:rFonts w:ascii="仿宋_GB2312" w:eastAsia="仿宋_GB2312" w:hint="eastAsia"/>
                <w:noProof/>
                <w:w w:val="100"/>
                <w:szCs w:val="32"/>
              </w:rPr>
              <w:t>4.科技赋能精准监管，智慧交通治理水平全面提升</w:t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instrText xml:space="preserve"> PAGEREF _Toc237876381 \h </w:instrText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fldChar w:fldCharType="separate"/>
            </w:r>
            <w:r w:rsidR="00FF7661">
              <w:rPr>
                <w:rFonts w:ascii="仿宋_GB2312" w:eastAsia="仿宋_GB2312"/>
                <w:noProof/>
                <w:webHidden/>
                <w:w w:val="100"/>
                <w:szCs w:val="32"/>
              </w:rPr>
              <w:t>6</w:t>
            </w:r>
            <w:r w:rsidRPr="00591020">
              <w:rPr>
                <w:rFonts w:ascii="仿宋_GB2312" w:eastAsia="仿宋_GB2312" w:hint="eastAsia"/>
                <w:noProof/>
                <w:webHidden/>
                <w:w w:val="100"/>
                <w:szCs w:val="32"/>
              </w:rPr>
              <w:fldChar w:fldCharType="end"/>
            </w:r>
          </w:hyperlink>
        </w:p>
        <w:p w14:paraId="603FDDD6" w14:textId="15B5219F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82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（二）形势要求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_Toc237876382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6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0D2E376F" w14:textId="473826FD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83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（三）存在问题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_Toc237876383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8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411144E3" w14:textId="3C885D41" w:rsidR="00591020" w:rsidRPr="00591020" w:rsidRDefault="00591020" w:rsidP="00D37C0D">
          <w:pPr>
            <w:pStyle w:val="TOC1"/>
            <w:spacing w:line="540" w:lineRule="exact"/>
            <w:rPr>
              <w:rFonts w:hAnsiTheme="minorHAnsi" w:cstheme="minorBidi" w:hint="eastAsia"/>
              <w:noProof/>
              <w:szCs w:val="32"/>
              <w14:ligatures w14:val="standardContextual"/>
            </w:rPr>
          </w:pPr>
          <w:hyperlink w:anchor="_Toc237876384" w:history="1">
            <w:r w:rsidRPr="00591020">
              <w:rPr>
                <w:rStyle w:val="af9"/>
                <w:rFonts w:hint="eastAsia"/>
                <w:noProof/>
                <w:szCs w:val="32"/>
              </w:rPr>
              <w:t>二、发展目标</w:t>
            </w:r>
            <w:r w:rsidRPr="00591020">
              <w:rPr>
                <w:rFonts w:hint="eastAsia"/>
                <w:noProof/>
                <w:webHidden/>
                <w:szCs w:val="32"/>
              </w:rPr>
              <w:tab/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hint="eastAsia"/>
                <w:noProof/>
                <w:webHidden/>
                <w:szCs w:val="32"/>
              </w:rPr>
              <w:instrText xml:space="preserve"> PAGEREF _Toc237876384 \h </w:instrText>
            </w:r>
            <w:r w:rsidRPr="00591020">
              <w:rPr>
                <w:rFonts w:hint="eastAsia"/>
                <w:noProof/>
                <w:webHidden/>
                <w:szCs w:val="32"/>
              </w:rPr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hint="eastAsia"/>
                <w:noProof/>
                <w:webHidden/>
                <w:szCs w:val="32"/>
              </w:rPr>
              <w:t>11</w:t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end"/>
            </w:r>
          </w:hyperlink>
        </w:p>
        <w:p w14:paraId="4E8C8EB5" w14:textId="613DED6B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85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（一）指导思想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_Toc237876385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11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014B9238" w14:textId="2445B5B8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86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（二）基本原则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_Toc237876386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11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4B35275D" w14:textId="7420B0EB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87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（三）发展目标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_Toc237876387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12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5133FD64" w14:textId="40A22439" w:rsidR="00591020" w:rsidRPr="00591020" w:rsidRDefault="00591020" w:rsidP="00D37C0D">
          <w:pPr>
            <w:pStyle w:val="TOC1"/>
            <w:spacing w:line="540" w:lineRule="exact"/>
            <w:rPr>
              <w:rFonts w:hAnsiTheme="minorHAnsi" w:cstheme="minorBidi" w:hint="eastAsia"/>
              <w:noProof/>
              <w:szCs w:val="32"/>
              <w14:ligatures w14:val="standardContextual"/>
            </w:rPr>
          </w:pPr>
          <w:hyperlink w:anchor="_Toc237876388" w:history="1">
            <w:r w:rsidRPr="00591020">
              <w:rPr>
                <w:rStyle w:val="af9"/>
                <w:rFonts w:hint="eastAsia"/>
                <w:noProof/>
                <w:spacing w:val="-20"/>
                <w:szCs w:val="32"/>
              </w:rPr>
              <w:t>三、提升综合性国家科学中心交通保障能力</w:t>
            </w:r>
            <w:r w:rsidRPr="00591020">
              <w:rPr>
                <w:rFonts w:hint="eastAsia"/>
                <w:noProof/>
                <w:webHidden/>
                <w:szCs w:val="32"/>
              </w:rPr>
              <w:tab/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hint="eastAsia"/>
                <w:noProof/>
                <w:webHidden/>
                <w:szCs w:val="32"/>
              </w:rPr>
              <w:instrText xml:space="preserve"> PAGEREF _Toc237876388 \h </w:instrText>
            </w:r>
            <w:r w:rsidRPr="00591020">
              <w:rPr>
                <w:rFonts w:hint="eastAsia"/>
                <w:noProof/>
                <w:webHidden/>
                <w:szCs w:val="32"/>
              </w:rPr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hint="eastAsia"/>
                <w:noProof/>
                <w:webHidden/>
                <w:szCs w:val="32"/>
              </w:rPr>
              <w:t>15</w:t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end"/>
            </w:r>
          </w:hyperlink>
        </w:p>
        <w:p w14:paraId="528CCC21" w14:textId="6D8A9113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89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（一）锚定科创战略定位，打造对外骨干交通廊道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_Toc237876389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15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7E7FEFEB" w14:textId="447A92AB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90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（二）打通组团联络通道，优化科学城内部路网体系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_Toc237876390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16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0D23F3B9" w14:textId="5B81E48F" w:rsidR="00591020" w:rsidRPr="00591020" w:rsidRDefault="00591020" w:rsidP="00D37C0D">
          <w:pPr>
            <w:pStyle w:val="TOC1"/>
            <w:spacing w:line="540" w:lineRule="exact"/>
            <w:rPr>
              <w:rFonts w:hAnsiTheme="minorHAnsi" w:cstheme="minorBidi" w:hint="eastAsia"/>
              <w:noProof/>
              <w:szCs w:val="32"/>
              <w14:ligatures w14:val="standardContextual"/>
            </w:rPr>
          </w:pPr>
          <w:hyperlink w:anchor="_Toc237876391" w:history="1">
            <w:r w:rsidRPr="00591020">
              <w:rPr>
                <w:rStyle w:val="af9"/>
                <w:rFonts w:hint="eastAsia"/>
                <w:noProof/>
                <w:szCs w:val="32"/>
              </w:rPr>
              <w:t>四、提升全域路网衔接通达水平</w:t>
            </w:r>
            <w:r w:rsidRPr="00591020">
              <w:rPr>
                <w:rFonts w:hint="eastAsia"/>
                <w:noProof/>
                <w:webHidden/>
                <w:szCs w:val="32"/>
              </w:rPr>
              <w:tab/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hint="eastAsia"/>
                <w:noProof/>
                <w:webHidden/>
                <w:szCs w:val="32"/>
              </w:rPr>
              <w:instrText xml:space="preserve"> PAGEREF _Toc237876391 \h </w:instrText>
            </w:r>
            <w:r w:rsidRPr="00591020">
              <w:rPr>
                <w:rFonts w:hint="eastAsia"/>
                <w:noProof/>
                <w:webHidden/>
                <w:szCs w:val="32"/>
              </w:rPr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hint="eastAsia"/>
                <w:noProof/>
                <w:webHidden/>
                <w:szCs w:val="32"/>
              </w:rPr>
              <w:t>17</w:t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end"/>
            </w:r>
          </w:hyperlink>
        </w:p>
        <w:p w14:paraId="3749C2AB" w14:textId="696D0F8D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92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（一）织密各组团内部路网，畅通城市交通微循环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_Toc237876392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17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23BDF862" w14:textId="7F1219D3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93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（二）统筹城乡区域一体衔接，推动山区路网结构转型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_Toc237876393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17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49EE8E69" w14:textId="608D80CE" w:rsidR="00591020" w:rsidRPr="00591020" w:rsidRDefault="00591020" w:rsidP="00D37C0D">
          <w:pPr>
            <w:pStyle w:val="TOC1"/>
            <w:spacing w:line="540" w:lineRule="exact"/>
            <w:rPr>
              <w:rFonts w:hAnsiTheme="minorHAnsi" w:cstheme="minorBidi" w:hint="eastAsia"/>
              <w:noProof/>
              <w:szCs w:val="32"/>
              <w14:ligatures w14:val="standardContextual"/>
            </w:rPr>
          </w:pPr>
          <w:hyperlink w:anchor="_Toc237876394" w:history="1">
            <w:r w:rsidRPr="00591020">
              <w:rPr>
                <w:rStyle w:val="af9"/>
                <w:rFonts w:hint="eastAsia"/>
                <w:noProof/>
                <w:szCs w:val="32"/>
              </w:rPr>
              <w:t>五、提升交通行业绿色融合发展质量</w:t>
            </w:r>
            <w:r w:rsidRPr="00591020">
              <w:rPr>
                <w:rFonts w:hint="eastAsia"/>
                <w:noProof/>
                <w:webHidden/>
                <w:szCs w:val="32"/>
              </w:rPr>
              <w:tab/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hint="eastAsia"/>
                <w:noProof/>
                <w:webHidden/>
                <w:szCs w:val="32"/>
              </w:rPr>
              <w:instrText xml:space="preserve"> PAGEREF _Toc237876394 \h </w:instrText>
            </w:r>
            <w:r w:rsidRPr="00591020">
              <w:rPr>
                <w:rFonts w:hint="eastAsia"/>
                <w:noProof/>
                <w:webHidden/>
                <w:szCs w:val="32"/>
              </w:rPr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hint="eastAsia"/>
                <w:noProof/>
                <w:webHidden/>
                <w:szCs w:val="32"/>
              </w:rPr>
              <w:t>19</w:t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end"/>
            </w:r>
          </w:hyperlink>
        </w:p>
        <w:p w14:paraId="5FDA1E92" w14:textId="42E89D5C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95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（一）优化公交线网布局，推动场站建设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_Toc237876395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19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4DD3AB5E" w14:textId="4CADF89A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96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（二）完善慢行系统，打造高品质绿色出行环境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_Toc237876396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20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4C62174E" w14:textId="7971BD8D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97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（三）完善旅游交通配套，推进交旅融合发展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_Toc237876397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21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6A24E339" w14:textId="5AAA6717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98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（四）健全高效物流体系，夯实设施基础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_Toc237876398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22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242E0462" w14:textId="3168B2FC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399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（五）推广低碳运输，优化交通能源结构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_Toc237876399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22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146AF50D" w14:textId="630322CD" w:rsidR="00591020" w:rsidRPr="00591020" w:rsidRDefault="00591020" w:rsidP="00D37C0D">
          <w:pPr>
            <w:pStyle w:val="TOC1"/>
            <w:spacing w:line="540" w:lineRule="exact"/>
            <w:rPr>
              <w:rFonts w:hAnsiTheme="minorHAnsi" w:cstheme="minorBidi" w:hint="eastAsia"/>
              <w:noProof/>
              <w:szCs w:val="32"/>
              <w14:ligatures w14:val="standardContextual"/>
            </w:rPr>
          </w:pPr>
          <w:hyperlink w:anchor="_Toc237876400" w:history="1">
            <w:r w:rsidRPr="00591020">
              <w:rPr>
                <w:rStyle w:val="af9"/>
                <w:rFonts w:hint="eastAsia"/>
                <w:noProof/>
                <w:szCs w:val="32"/>
              </w:rPr>
              <w:t>六、提升交通系统安全韧性</w:t>
            </w:r>
            <w:r w:rsidRPr="00591020">
              <w:rPr>
                <w:rFonts w:hint="eastAsia"/>
                <w:noProof/>
                <w:webHidden/>
                <w:szCs w:val="32"/>
              </w:rPr>
              <w:tab/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hint="eastAsia"/>
                <w:noProof/>
                <w:webHidden/>
                <w:szCs w:val="32"/>
              </w:rPr>
              <w:instrText xml:space="preserve"> PAGEREF _Toc237876400 \h </w:instrText>
            </w:r>
            <w:r w:rsidRPr="00591020">
              <w:rPr>
                <w:rFonts w:hint="eastAsia"/>
                <w:noProof/>
                <w:webHidden/>
                <w:szCs w:val="32"/>
              </w:rPr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hint="eastAsia"/>
                <w:noProof/>
                <w:webHidden/>
                <w:szCs w:val="32"/>
              </w:rPr>
              <w:t>24</w:t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end"/>
            </w:r>
          </w:hyperlink>
        </w:p>
        <w:p w14:paraId="6647B835" w14:textId="5F8CCF30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01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（一）强化安全监管，保障行业安全稳定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_Toc237876401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24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6872A3D7" w14:textId="5701145A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02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（二）加快农村公路修复升级，提高支撑保障能力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_Toc237876402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24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1104601A" w14:textId="64892623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03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（三）完善应急保障体系，提升风险处置能力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_Toc237876403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25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6FE7759F" w14:textId="2E5D2097" w:rsidR="00591020" w:rsidRPr="00591020" w:rsidRDefault="00591020" w:rsidP="00D37C0D">
          <w:pPr>
            <w:pStyle w:val="TOC1"/>
            <w:spacing w:line="540" w:lineRule="exact"/>
            <w:rPr>
              <w:rFonts w:hAnsiTheme="minorHAnsi" w:cstheme="minorBidi" w:hint="eastAsia"/>
              <w:noProof/>
              <w:szCs w:val="32"/>
              <w14:ligatures w14:val="standardContextual"/>
            </w:rPr>
          </w:pPr>
          <w:hyperlink w:anchor="_Toc237876404" w:history="1">
            <w:r w:rsidRPr="00591020">
              <w:rPr>
                <w:rStyle w:val="af9"/>
                <w:rFonts w:hint="eastAsia"/>
                <w:noProof/>
                <w:szCs w:val="32"/>
              </w:rPr>
              <w:t>七、提升智慧化管理服务能力</w:t>
            </w:r>
            <w:r w:rsidRPr="00591020">
              <w:rPr>
                <w:rFonts w:hint="eastAsia"/>
                <w:noProof/>
                <w:webHidden/>
                <w:szCs w:val="32"/>
              </w:rPr>
              <w:tab/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hint="eastAsia"/>
                <w:noProof/>
                <w:webHidden/>
                <w:szCs w:val="32"/>
              </w:rPr>
              <w:instrText xml:space="preserve"> PAGEREF _Toc237876404 \h </w:instrText>
            </w:r>
            <w:r w:rsidRPr="00591020">
              <w:rPr>
                <w:rFonts w:hint="eastAsia"/>
                <w:noProof/>
                <w:webHidden/>
                <w:szCs w:val="32"/>
              </w:rPr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hint="eastAsia"/>
                <w:noProof/>
                <w:webHidden/>
                <w:szCs w:val="32"/>
              </w:rPr>
              <w:t>26</w:t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end"/>
            </w:r>
          </w:hyperlink>
        </w:p>
        <w:p w14:paraId="1D984D19" w14:textId="422738DF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05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（一）深化科技赋能应用，推动行业智慧化提质增效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_Toc237876405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26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76D28721" w14:textId="06AA23B3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06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（二）依托智慧化手段，赋能交通精细管理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_Toc237876406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26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0596EF08" w14:textId="490BE3B6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07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（三）培育智慧交通新场景，推动新业态落地见效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_Toc237876407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27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0A5CCB12" w14:textId="69D5577C" w:rsidR="00591020" w:rsidRPr="00591020" w:rsidRDefault="00591020" w:rsidP="00D37C0D">
          <w:pPr>
            <w:pStyle w:val="TOC1"/>
            <w:spacing w:line="540" w:lineRule="exact"/>
            <w:rPr>
              <w:rFonts w:hAnsiTheme="minorHAnsi" w:cstheme="minorBidi" w:hint="eastAsia"/>
              <w:noProof/>
              <w:szCs w:val="32"/>
              <w14:ligatures w14:val="standardContextual"/>
            </w:rPr>
          </w:pPr>
          <w:hyperlink w:anchor="_Toc237876408" w:history="1">
            <w:r w:rsidRPr="00591020">
              <w:rPr>
                <w:rStyle w:val="af9"/>
                <w:rFonts w:hint="eastAsia"/>
                <w:noProof/>
                <w:szCs w:val="32"/>
              </w:rPr>
              <w:t>八、提升交通精细化治理效能</w:t>
            </w:r>
            <w:r w:rsidRPr="00591020">
              <w:rPr>
                <w:rFonts w:hint="eastAsia"/>
                <w:noProof/>
                <w:webHidden/>
                <w:szCs w:val="32"/>
              </w:rPr>
              <w:tab/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hint="eastAsia"/>
                <w:noProof/>
                <w:webHidden/>
                <w:szCs w:val="32"/>
              </w:rPr>
              <w:instrText xml:space="preserve"> PAGEREF _Toc237876408 \h </w:instrText>
            </w:r>
            <w:r w:rsidRPr="00591020">
              <w:rPr>
                <w:rFonts w:hint="eastAsia"/>
                <w:noProof/>
                <w:webHidden/>
                <w:szCs w:val="32"/>
              </w:rPr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hint="eastAsia"/>
                <w:noProof/>
                <w:webHidden/>
                <w:szCs w:val="32"/>
              </w:rPr>
              <w:t>28</w:t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end"/>
            </w:r>
          </w:hyperlink>
        </w:p>
        <w:p w14:paraId="24E717C1" w14:textId="2824DC07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09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（一）完善机制，高标准完成重大活动交通服务任务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_Toc237876409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28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50871304" w14:textId="5C2AA7FB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10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（二）深化停车改革，优化静态交通秩序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_Toc237876410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28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68F15A5D" w14:textId="72A35A7F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11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（三）聚焦重点区域，强化社会治理协同联动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_Toc237876411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29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0E24A0CB" w14:textId="78B76C51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12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（四）加强电动自行车管理，改善停行秩序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_Toc237876412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29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2E393AA7" w14:textId="7144A2C1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13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（五）开展文明出行引导，强化交通秩序管控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_Toc237876413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30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648BE744" w14:textId="2ABF046A" w:rsidR="00591020" w:rsidRPr="00591020" w:rsidRDefault="00591020" w:rsidP="00D37C0D">
          <w:pPr>
            <w:pStyle w:val="TOC1"/>
            <w:spacing w:line="540" w:lineRule="exact"/>
            <w:rPr>
              <w:rFonts w:hAnsiTheme="minorHAnsi" w:cstheme="minorBidi" w:hint="eastAsia"/>
              <w:noProof/>
              <w:szCs w:val="32"/>
              <w14:ligatures w14:val="standardContextual"/>
            </w:rPr>
          </w:pPr>
          <w:hyperlink w:anchor="_Toc237876414" w:history="1">
            <w:r w:rsidRPr="00591020">
              <w:rPr>
                <w:rStyle w:val="af9"/>
                <w:rFonts w:hint="eastAsia"/>
                <w:noProof/>
                <w:szCs w:val="32"/>
              </w:rPr>
              <w:t>九、实施保障</w:t>
            </w:r>
            <w:r w:rsidRPr="00591020">
              <w:rPr>
                <w:rFonts w:hint="eastAsia"/>
                <w:noProof/>
                <w:webHidden/>
                <w:szCs w:val="32"/>
              </w:rPr>
              <w:tab/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hint="eastAsia"/>
                <w:noProof/>
                <w:webHidden/>
                <w:szCs w:val="32"/>
              </w:rPr>
              <w:instrText xml:space="preserve"> PAGEREF _Toc237876414 \h </w:instrText>
            </w:r>
            <w:r w:rsidRPr="00591020">
              <w:rPr>
                <w:rFonts w:hint="eastAsia"/>
                <w:noProof/>
                <w:webHidden/>
                <w:szCs w:val="32"/>
              </w:rPr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hint="eastAsia"/>
                <w:noProof/>
                <w:webHidden/>
                <w:szCs w:val="32"/>
              </w:rPr>
              <w:t>31</w:t>
            </w:r>
            <w:r w:rsidRPr="00591020">
              <w:rPr>
                <w:rFonts w:hint="eastAsia"/>
                <w:noProof/>
                <w:webHidden/>
                <w:szCs w:val="32"/>
              </w:rPr>
              <w:fldChar w:fldCharType="end"/>
            </w:r>
          </w:hyperlink>
        </w:p>
        <w:p w14:paraId="66340A4C" w14:textId="46784502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15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（一）强化统筹协调，压实工作责任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_Toc237876415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31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757BE357" w14:textId="7F146E83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16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（二）完善政策支撑，保障要素供给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_Toc237876416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31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2CCD89BA" w14:textId="3E42C070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17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（三）拓宽资金渠道，提升使用效益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_Toc237876417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31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642967A1" w14:textId="46307A2C" w:rsidR="00591020" w:rsidRPr="00591020" w:rsidRDefault="00591020" w:rsidP="00D37C0D">
          <w:pPr>
            <w:pStyle w:val="TOC2"/>
            <w:spacing w:line="540" w:lineRule="exact"/>
            <w:rPr>
              <w:rFonts w:ascii="仿宋_GB2312" w:eastAsia="仿宋_GB2312" w:hAnsiTheme="minorHAnsi" w:cstheme="minorBidi" w:hint="eastAsia"/>
              <w:b w:val="0"/>
              <w:bCs w:val="0"/>
              <w:noProof/>
              <w:kern w:val="2"/>
              <w:szCs w:val="32"/>
              <w14:ligatures w14:val="standardContextual"/>
            </w:rPr>
          </w:pPr>
          <w:hyperlink w:anchor="_Toc237876418" w:history="1">
            <w:r w:rsidRPr="00591020">
              <w:rPr>
                <w:rStyle w:val="af9"/>
                <w:rFonts w:ascii="仿宋_GB2312" w:eastAsia="仿宋_GB2312" w:hint="eastAsia"/>
                <w:b w:val="0"/>
                <w:bCs w:val="0"/>
                <w:noProof/>
                <w:szCs w:val="32"/>
              </w:rPr>
              <w:t>（四）健全监测考核，强化闭环管理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ab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begin"/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instrText xml:space="preserve"> PAGEREF _Toc237876418 \h </w:instrTex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separate"/>
            </w:r>
            <w:r w:rsidR="00FF7661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t>31</w:t>
            </w:r>
            <w:r w:rsidRPr="00591020">
              <w:rPr>
                <w:rFonts w:ascii="仿宋_GB2312" w:eastAsia="仿宋_GB2312" w:hint="eastAsia"/>
                <w:b w:val="0"/>
                <w:bCs w:val="0"/>
                <w:noProof/>
                <w:webHidden/>
                <w:szCs w:val="32"/>
              </w:rPr>
              <w:fldChar w:fldCharType="end"/>
            </w:r>
          </w:hyperlink>
        </w:p>
        <w:p w14:paraId="62C90C1D" w14:textId="23797B22" w:rsidR="00A06593" w:rsidRDefault="000D2478" w:rsidP="00D37C0D">
          <w:pPr>
            <w:pStyle w:val="TOC1"/>
            <w:spacing w:line="540" w:lineRule="exact"/>
            <w:rPr>
              <w:rFonts w:hint="eastAsia"/>
            </w:rPr>
          </w:pPr>
          <w:r w:rsidRPr="00591020">
            <w:rPr>
              <w:rFonts w:hint="eastAsia"/>
              <w:szCs w:val="32"/>
              <w:lang w:val="zh-CN"/>
            </w:rPr>
            <w:fldChar w:fldCharType="end"/>
          </w:r>
        </w:p>
      </w:sdtContent>
    </w:sdt>
    <w:p w14:paraId="55E2932B" w14:textId="322412D2" w:rsidR="00A06593" w:rsidRDefault="000D2478" w:rsidP="00591020">
      <w:pPr>
        <w:ind w:firstLineChars="0" w:firstLine="0"/>
        <w:rPr>
          <w:sz w:val="28"/>
          <w:szCs w:val="24"/>
        </w:rPr>
        <w:sectPr w:rsidR="00A06593" w:rsidSect="00D37C0D">
          <w:pgSz w:w="11906" w:h="16838"/>
          <w:pgMar w:top="1440" w:right="1800" w:bottom="1440" w:left="1800" w:header="737" w:footer="992" w:gutter="0"/>
          <w:pgNumType w:fmt="upperRoman" w:start="1"/>
          <w:cols w:space="425"/>
          <w:docGrid w:type="lines" w:linePitch="435"/>
        </w:sectPr>
      </w:pPr>
      <w:r>
        <w:rPr>
          <w:rFonts w:ascii="黑体" w:eastAsia="黑体" w:hAnsi="黑体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E9B1D0" wp14:editId="435782BB">
                <wp:simplePos x="0" y="0"/>
                <wp:positionH relativeFrom="margin">
                  <wp:align>center</wp:align>
                </wp:positionH>
                <wp:positionV relativeFrom="paragraph">
                  <wp:posOffset>5189220</wp:posOffset>
                </wp:positionV>
                <wp:extent cx="5908040" cy="511175"/>
                <wp:effectExtent l="0" t="0" r="0" b="3810"/>
                <wp:wrapNone/>
                <wp:docPr id="117680125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7741" cy="5109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" o:spid="_x0000_s1026" o:spt="1" style="position:absolute;left:0pt;margin-top:408.6pt;height:40.25pt;width:465.2pt;mso-position-horizontal:center;mso-position-horizontal-relative:margin;z-index:251661312;v-text-anchor:middle;mso-width-relative:page;mso-height-relative:page;" fillcolor="#FFFFFF [3212]" filled="t" stroked="f" coordsize="21600,21600" o:gfxdata="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NAip22AAAAAgBAAAPAAAAAAAAAAEAIAAAACIAAABkcnMvZG93&#10;bnJldi54bWxQSwECFAAUAAAACACHTuJAALER4HICAADUBAAADgAAAAAAAAABACAAAAAn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034C244" w14:textId="77777777" w:rsidR="00A06593" w:rsidRDefault="000D2478">
      <w:pPr>
        <w:pStyle w:val="1"/>
        <w:ind w:firstLineChars="0" w:firstLine="0"/>
        <w:jc w:val="center"/>
      </w:pPr>
      <w:bookmarkStart w:id="2" w:name="_Toc237876375"/>
      <w:r>
        <w:rPr>
          <w:rFonts w:hint="eastAsia"/>
        </w:rPr>
        <w:lastRenderedPageBreak/>
        <w:t>前言</w:t>
      </w:r>
      <w:bookmarkEnd w:id="2"/>
    </w:p>
    <w:p w14:paraId="330DAF41" w14:textId="77777777" w:rsidR="00A06593" w:rsidRDefault="000D2478">
      <w:pPr>
        <w:ind w:firstLine="640"/>
      </w:pPr>
      <w:bookmarkStart w:id="3" w:name="OLE_LINK67"/>
      <w:bookmarkStart w:id="4" w:name="_Hlk234419937"/>
      <w:r>
        <w:rPr>
          <w:rFonts w:hint="eastAsia"/>
        </w:rPr>
        <w:t>“十五五”时期（2026—2030年）是我国基本建成交通强国承上启下的关键攻坚期，是北京市加快“三个转变”、推动高质量发展的战略机遇期，也是统筹高质量发展和高水平安全的关键</w:t>
      </w:r>
      <w:r>
        <w:t>落实期</w:t>
      </w:r>
      <w:r>
        <w:rPr>
          <w:rFonts w:hint="eastAsia"/>
        </w:rPr>
        <w:t>。对怀柔</w:t>
      </w:r>
      <w:r>
        <w:t>区而言</w:t>
      </w:r>
      <w:r>
        <w:rPr>
          <w:rFonts w:hint="eastAsia"/>
        </w:rPr>
        <w:t>，这一时期更是立足首都功能重要承载地和生态涵养区战略定位，主动服务科学城、国际会都、中国影都建设，全面推动区域高质量发展的重大窗口期。围绕落实北京“四个中心”功能建设与提升“四个服务”水平的</w:t>
      </w:r>
      <w:r>
        <w:t>总体</w:t>
      </w:r>
      <w:r>
        <w:rPr>
          <w:rFonts w:hint="eastAsia"/>
        </w:rPr>
        <w:t>目标，怀柔区综合交通体系建设需发挥支撑战略科技、保障国际交往、赋能影视产业、筑牢安全屏障、服务城乡融合的核心作用，为建设国际一流的战略科技融合发展示范区、更高水平的美丽怀柔提供坚实交通保障。</w:t>
      </w:r>
    </w:p>
    <w:bookmarkEnd w:id="3"/>
    <w:p w14:paraId="2F091087" w14:textId="77777777" w:rsidR="00A06593" w:rsidRDefault="000D2478">
      <w:pPr>
        <w:ind w:firstLine="640"/>
      </w:pPr>
      <w:r>
        <w:rPr>
          <w:rFonts w:hint="eastAsia"/>
        </w:rPr>
        <w:t>为紧密结合“十五五”时期新形势新要求，认真落实《北京城市总体规划（201</w:t>
      </w:r>
      <w:r>
        <w:t>6</w:t>
      </w:r>
      <w:r>
        <w:rPr>
          <w:rFonts w:hint="eastAsia"/>
        </w:rPr>
        <w:t>-20</w:t>
      </w:r>
      <w:r>
        <w:t>3</w:t>
      </w:r>
      <w:r>
        <w:rPr>
          <w:rFonts w:hint="eastAsia"/>
        </w:rPr>
        <w:t>5年）》《北京市国民经济和社会发展第十五个五年规划纲要》《怀柔区分区规划（国土</w:t>
      </w:r>
      <w:r>
        <w:t>空间规划</w:t>
      </w:r>
      <w:r>
        <w:rPr>
          <w:rFonts w:hint="eastAsia"/>
        </w:rPr>
        <w:t>）（2017年-2035年）》《北京市怀柔区国民经济和社会发展第十五个五年规划纲要》等上位规划，科学指导未来五年怀柔区交通高质量发展，按照市、区政府统一部署，区交通局会同区发展改革委、市规划自然资源委怀柔分局、区住房城乡建设委、怀柔公路分局、区公安交通支队等相关部门，组织开展了本计划研究编制工作。</w:t>
      </w:r>
    </w:p>
    <w:p w14:paraId="09CBE290" w14:textId="77777777" w:rsidR="00A06593" w:rsidRDefault="000D2478">
      <w:pPr>
        <w:pStyle w:val="a0"/>
        <w:ind w:firstLine="640"/>
        <w:rPr>
          <w:rFonts w:hAnsiTheme="minorHAnsi" w:hint="eastAsia"/>
          <w:szCs w:val="32"/>
        </w:rPr>
      </w:pPr>
      <w:r>
        <w:rPr>
          <w:rFonts w:hAnsiTheme="minorHAnsi" w:hint="eastAsia"/>
          <w:szCs w:val="32"/>
        </w:rPr>
        <w:t>本行动计划的空间范围为怀柔行政辖区内，同时适当拓展至北京市域以及整个京津冀区域，实施期限为2026年至</w:t>
      </w:r>
      <w:r>
        <w:rPr>
          <w:rFonts w:hAnsiTheme="minorHAnsi" w:hint="eastAsia"/>
          <w:szCs w:val="32"/>
        </w:rPr>
        <w:lastRenderedPageBreak/>
        <w:t>2030年，远期展望至2035年。</w:t>
      </w:r>
    </w:p>
    <w:p w14:paraId="6DBF67C8" w14:textId="77777777" w:rsidR="00A06593" w:rsidRDefault="000D2478">
      <w:pPr>
        <w:widowControl/>
        <w:spacing w:line="240" w:lineRule="auto"/>
        <w:ind w:firstLineChars="0" w:firstLine="0"/>
        <w:jc w:val="left"/>
        <w:rPr>
          <w:rFonts w:hAnsiTheme="minorHAnsi" w:hint="eastAsia"/>
          <w:szCs w:val="32"/>
        </w:rPr>
      </w:pPr>
      <w:r>
        <w:rPr>
          <w:rFonts w:hAnsiTheme="minorHAnsi" w:hint="eastAsia"/>
          <w:szCs w:val="32"/>
        </w:rPr>
        <w:br w:type="page"/>
      </w:r>
    </w:p>
    <w:p w14:paraId="62FD49B5" w14:textId="77777777" w:rsidR="00A06593" w:rsidRDefault="000D2478">
      <w:pPr>
        <w:pStyle w:val="afc"/>
        <w:numPr>
          <w:ilvl w:val="0"/>
          <w:numId w:val="1"/>
        </w:numPr>
        <w:topLinePunct/>
        <w:spacing w:line="360" w:lineRule="auto"/>
        <w:ind w:firstLineChars="0"/>
        <w:jc w:val="center"/>
        <w:outlineLvl w:val="0"/>
        <w:rPr>
          <w:rFonts w:eastAsia="方正小标宋简体" w:cs="方正小标宋简体"/>
          <w:sz w:val="44"/>
          <w:szCs w:val="44"/>
        </w:rPr>
      </w:pPr>
      <w:bookmarkStart w:id="5" w:name="_Toc237876376"/>
      <w:bookmarkEnd w:id="4"/>
      <w:r>
        <w:rPr>
          <w:rFonts w:eastAsia="方正小标宋简体" w:cs="方正小标宋简体" w:hint="eastAsia"/>
          <w:sz w:val="44"/>
          <w:szCs w:val="44"/>
        </w:rPr>
        <w:lastRenderedPageBreak/>
        <w:t>发展基础</w:t>
      </w:r>
      <w:bookmarkEnd w:id="5"/>
    </w:p>
    <w:p w14:paraId="2A018DE1" w14:textId="77777777" w:rsidR="00A06593" w:rsidRDefault="000D2478">
      <w:pPr>
        <w:ind w:firstLine="640"/>
      </w:pPr>
      <w:r>
        <w:rPr>
          <w:rFonts w:hint="eastAsia"/>
        </w:rPr>
        <w:t>“十四五”期间，怀柔区交通发展紧扣科学城、国际会都、中国影都功能定位，交通基础设施建设稳步推进，公共交通服务品质显著提升，交通综合治理效能显著增强，道路运行安全顺畅，安全发展基础不断夯实，有力支撑了区域经济社会发展和群众出行需求，为服务首都功能、建设最美生态涵养区提供了坚实交通保障。</w:t>
      </w:r>
    </w:p>
    <w:p w14:paraId="18ACC483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6" w:name="_Toc237876377"/>
      <w:r>
        <w:rPr>
          <w:rFonts w:ascii="楷体" w:eastAsia="楷体" w:hAnsi="楷体" w:cs="Times New Roman" w:hint="eastAsia"/>
          <w:bCs w:val="0"/>
          <w:kern w:val="0"/>
        </w:rPr>
        <w:t>（一）发展成就</w:t>
      </w:r>
      <w:bookmarkEnd w:id="6"/>
    </w:p>
    <w:p w14:paraId="36FB8BEA" w14:textId="41F1D157" w:rsidR="00A06593" w:rsidRDefault="000D2478">
      <w:pPr>
        <w:pStyle w:val="3"/>
        <w:spacing w:before="0" w:after="0" w:line="560" w:lineRule="exact"/>
        <w:ind w:firstLine="643"/>
        <w:rPr>
          <w:rFonts w:ascii="楷体_GB2312" w:eastAsia="楷体_GB2312" w:cstheme="minorBidi"/>
        </w:rPr>
      </w:pPr>
      <w:bookmarkStart w:id="7" w:name="_Toc237876378"/>
      <w:r>
        <w:rPr>
          <w:rFonts w:ascii="楷体_GB2312" w:eastAsia="楷体_GB2312" w:cstheme="minorBidi" w:hint="eastAsia"/>
        </w:rPr>
        <w:t>1.</w:t>
      </w:r>
      <w:bookmarkStart w:id="8" w:name="_Hlk234394887"/>
      <w:r>
        <w:rPr>
          <w:rFonts w:ascii="楷体_GB2312" w:eastAsia="楷体_GB2312" w:cstheme="minorBidi" w:hint="eastAsia"/>
        </w:rPr>
        <w:t>骨干交通基础设施</w:t>
      </w:r>
      <w:r w:rsidR="001E01BB">
        <w:rPr>
          <w:rFonts w:ascii="楷体_GB2312" w:eastAsia="楷体_GB2312" w:cstheme="minorBidi" w:hint="eastAsia"/>
        </w:rPr>
        <w:t>加快</w:t>
      </w:r>
      <w:r>
        <w:rPr>
          <w:rFonts w:ascii="楷体_GB2312" w:eastAsia="楷体_GB2312" w:cstheme="minorBidi" w:hint="eastAsia"/>
        </w:rPr>
        <w:t>建设</w:t>
      </w:r>
      <w:bookmarkStart w:id="9" w:name="_Hlk236987125"/>
      <w:r>
        <w:rPr>
          <w:rFonts w:ascii="楷体_GB2312" w:eastAsia="楷体_GB2312" w:cstheme="minorBidi" w:hint="eastAsia"/>
        </w:rPr>
        <w:t>，网络互联互通成效显著</w:t>
      </w:r>
      <w:bookmarkEnd w:id="7"/>
      <w:bookmarkEnd w:id="8"/>
      <w:bookmarkEnd w:id="9"/>
    </w:p>
    <w:p w14:paraId="6B335DEE" w14:textId="77777777" w:rsidR="00A06593" w:rsidRDefault="000D2478">
      <w:pPr>
        <w:pStyle w:val="a0"/>
        <w:ind w:firstLine="643"/>
        <w:rPr>
          <w:bCs/>
        </w:rPr>
      </w:pPr>
      <w:bookmarkStart w:id="10" w:name="_Hlk234395867"/>
      <w:r>
        <w:rPr>
          <w:rFonts w:hint="eastAsia"/>
          <w:b/>
          <w:bCs/>
        </w:rPr>
        <w:t>轨道交通骨干廊道初步构建</w:t>
      </w:r>
      <w:bookmarkEnd w:id="10"/>
      <w:r>
        <w:rPr>
          <w:rFonts w:hint="eastAsia"/>
          <w:b/>
          <w:bCs/>
        </w:rPr>
        <w:t>。</w:t>
      </w:r>
      <w:r>
        <w:rPr>
          <w:rFonts w:hint="eastAsia"/>
          <w:bCs/>
        </w:rPr>
        <w:t>“十四五”期间京哈高铁开通运营，截至目前全区共计怀密线、通密线、京哈高铁3条轨道交通线路，运营里程约62.2公里（其中高速铁路11.2公里，市郊铁路51公里），怀柔与密云、顺义及北京城市副中心的交通联系进一步加强。轨道交通接驳运力不断强化，优化调整枢纽站点周边公交线路，实现轨道交通站点与科学城的公交接驳，试运营景区旅游接驳线路，提供共享单车服务，满足多样化出行需求。</w:t>
      </w:r>
    </w:p>
    <w:p w14:paraId="2CA77011" w14:textId="77777777" w:rsidR="00A06593" w:rsidRDefault="000D2478">
      <w:pPr>
        <w:pStyle w:val="a0"/>
        <w:ind w:firstLine="643"/>
        <w:rPr>
          <w:bCs/>
        </w:rPr>
      </w:pPr>
      <w:bookmarkStart w:id="11" w:name="_Hlk234395873"/>
      <w:r>
        <w:rPr>
          <w:rFonts w:hint="eastAsia"/>
          <w:b/>
          <w:bCs/>
        </w:rPr>
        <w:t>道路交通路网体系日益完善。</w:t>
      </w:r>
      <w:bookmarkEnd w:id="11"/>
      <w:r>
        <w:rPr>
          <w:rFonts w:hint="eastAsia"/>
          <w:bCs/>
        </w:rPr>
        <w:t>“十四五”期间通怀路、科雁路、永乐大街、科院路等建成通车，111国道出京线、335国道怀柔段开工建设。</w:t>
      </w:r>
      <w:bookmarkStart w:id="12" w:name="_Hlk233142525"/>
      <w:r>
        <w:rPr>
          <w:rFonts w:hint="eastAsia"/>
          <w:bCs/>
        </w:rPr>
        <w:t>科学城、庙城区域等重点片区道路建设取得阶段性成效，其中科学城片区支路及以上道路总里程214公里，</w:t>
      </w:r>
      <w:bookmarkEnd w:id="12"/>
      <w:r>
        <w:rPr>
          <w:rFonts w:hint="eastAsia"/>
          <w:bCs/>
        </w:rPr>
        <w:t>道路实施率约52%。农村公路完成大修工程96公里，创建最美乡村路，全区农村公路里程1279公里（其中乡村公路960多公里），等级路率100%，列养率100%。全区基</w:t>
      </w:r>
      <w:r>
        <w:rPr>
          <w:rFonts w:hint="eastAsia"/>
          <w:bCs/>
        </w:rPr>
        <w:lastRenderedPageBreak/>
        <w:t>本形成以怀柔城区为中心、以国市干线为骨架、以县乡公路为主体、以村级道路为毛细的公路交通网络，公路网密度达到79.65公里/百平方公里，集中建设区道路网密度达到5.4公里/平方公里。</w:t>
      </w:r>
    </w:p>
    <w:p w14:paraId="2E8318B7" w14:textId="77777777" w:rsidR="00A06593" w:rsidRDefault="000D2478">
      <w:pPr>
        <w:pStyle w:val="3"/>
        <w:spacing w:before="0" w:after="0" w:line="560" w:lineRule="exact"/>
        <w:ind w:firstLine="643"/>
        <w:rPr>
          <w:rFonts w:ascii="楷体_GB2312" w:eastAsia="楷体_GB2312" w:cstheme="minorBidi"/>
        </w:rPr>
      </w:pPr>
      <w:bookmarkStart w:id="13" w:name="_Toc237876379"/>
      <w:r>
        <w:rPr>
          <w:rFonts w:ascii="楷体_GB2312" w:eastAsia="楷体_GB2312" w:cstheme="minorBidi" w:hint="eastAsia"/>
        </w:rPr>
        <w:t>2.</w:t>
      </w:r>
      <w:bookmarkStart w:id="14" w:name="_Hlk234395884"/>
      <w:r>
        <w:rPr>
          <w:rFonts w:ascii="楷体_GB2312" w:eastAsia="楷体_GB2312" w:cstheme="minorBidi" w:hint="eastAsia"/>
        </w:rPr>
        <w:t>引导绿色低碳出行，绿色服务品质显著提升</w:t>
      </w:r>
      <w:bookmarkEnd w:id="13"/>
      <w:bookmarkEnd w:id="14"/>
    </w:p>
    <w:p w14:paraId="7657E477" w14:textId="77777777" w:rsidR="00A06593" w:rsidRDefault="000D2478">
      <w:pPr>
        <w:pStyle w:val="a0"/>
        <w:ind w:firstLine="643"/>
        <w:rPr>
          <w:bCs/>
        </w:rPr>
      </w:pPr>
      <w:bookmarkStart w:id="15" w:name="_Hlk234395893"/>
      <w:r>
        <w:rPr>
          <w:rFonts w:hint="eastAsia"/>
          <w:b/>
          <w:bCs/>
        </w:rPr>
        <w:t>公交优先发展战略深入落实</w:t>
      </w:r>
      <w:bookmarkEnd w:id="15"/>
      <w:r>
        <w:rPr>
          <w:rFonts w:hint="eastAsia"/>
          <w:b/>
          <w:bCs/>
        </w:rPr>
        <w:t>。</w:t>
      </w:r>
      <w:r>
        <w:rPr>
          <w:rFonts w:hint="eastAsia"/>
          <w:bCs/>
        </w:rPr>
        <w:t>精准摸排出行需求，“十四五”时期，完成包括枢纽站点接驳、景区接驳等在内139条区域公交线路优化调整。截至“十四五”末，市区公交线路84条，年运营总里程2519.6万公里，年载客量2337.5万人次，行政村通车率达100%。具备基本功能的公交场站3处、停车场3处，同步配建充电、加气等能源补给设施，实现场站建设与配套设施“同步规划、同步施工、同步投用”。公交站点候车条件持续改善，新建及调整公交站亭、站台，根据12345诉求及时优化，完成16条线路266根站杆、944块站牌建设。</w:t>
      </w:r>
    </w:p>
    <w:p w14:paraId="24E4AE15" w14:textId="77777777" w:rsidR="00A06593" w:rsidRDefault="000D2478">
      <w:pPr>
        <w:pStyle w:val="a0"/>
        <w:ind w:firstLine="643"/>
        <w:rPr>
          <w:bCs/>
        </w:rPr>
      </w:pPr>
      <w:bookmarkStart w:id="16" w:name="_Hlk234395900"/>
      <w:r>
        <w:rPr>
          <w:rFonts w:hint="eastAsia"/>
          <w:b/>
          <w:bCs/>
        </w:rPr>
        <w:t>慢行环境提质升级。</w:t>
      </w:r>
      <w:bookmarkEnd w:id="16"/>
      <w:r>
        <w:rPr>
          <w:rFonts w:hint="eastAsia"/>
          <w:bCs/>
        </w:rPr>
        <w:t>老城区路面宽度12米以上自行车道设置率达97.3%，宽度达标率97.6%。科学城、影都依托新建道路持续完善慢行基础设施条件。“十四五”期间举办徒步、骑行等各类特色体育活动，全域慢行运动氛围浓厚，交旅融合成效显著。共享</w:t>
      </w:r>
      <w:r>
        <w:rPr>
          <w:rFonts w:hAnsi="仿宋_GB2312" w:cs="仿宋_GB2312" w:hint="eastAsia"/>
          <w:bCs/>
        </w:rPr>
        <w:t>单车入驻怀柔，每月为</w:t>
      </w:r>
      <w:r>
        <w:rPr>
          <w:rFonts w:hint="eastAsia"/>
          <w:bCs/>
        </w:rPr>
        <w:t>2万多用户提供服务，通过高精度轮毂锁车、垂直停车技术和网格化管理，基本实现区域单车停放有序。</w:t>
      </w:r>
    </w:p>
    <w:p w14:paraId="73F7110D" w14:textId="77777777" w:rsidR="00A06593" w:rsidRDefault="000D2478">
      <w:pPr>
        <w:pStyle w:val="a0"/>
        <w:ind w:firstLine="643"/>
        <w:rPr>
          <w:bCs/>
        </w:rPr>
      </w:pPr>
      <w:bookmarkStart w:id="17" w:name="_Hlk234395906"/>
      <w:r>
        <w:rPr>
          <w:rFonts w:hint="eastAsia"/>
          <w:b/>
          <w:bCs/>
        </w:rPr>
        <w:t>交通绿色低碳发展成效显著</w:t>
      </w:r>
      <w:bookmarkEnd w:id="17"/>
      <w:r>
        <w:rPr>
          <w:rFonts w:hint="eastAsia"/>
          <w:b/>
          <w:bCs/>
        </w:rPr>
        <w:t>。</w:t>
      </w:r>
      <w:r>
        <w:rPr>
          <w:rFonts w:hint="eastAsia"/>
          <w:bCs/>
        </w:rPr>
        <w:t>全区营运性新能源汽车保有量已达1400辆，其中新能源绿色公交车比率达93%，道路</w:t>
      </w:r>
      <w:r>
        <w:rPr>
          <w:rFonts w:hint="eastAsia"/>
          <w:bCs/>
        </w:rPr>
        <w:lastRenderedPageBreak/>
        <w:t>客运新能源车辆占比90.5%。累计更新淘汰“国四”货车100多辆。构建“公交+慢行”绿色出行网络，有效减少私家车使用频率。深化交通污染防治，设置4处综合执法站、4处非现场执法设施，严控路面遗撒扬尘，狠抓汽修行业VOC治理，建立环保电子档案。</w:t>
      </w:r>
    </w:p>
    <w:p w14:paraId="68560D1E" w14:textId="77777777" w:rsidR="00A06593" w:rsidRDefault="000D2478">
      <w:pPr>
        <w:pStyle w:val="3"/>
        <w:spacing w:before="0" w:after="0" w:line="560" w:lineRule="exact"/>
        <w:ind w:firstLine="643"/>
        <w:rPr>
          <w:rFonts w:ascii="楷体_GB2312" w:eastAsia="楷体_GB2312" w:cstheme="minorBidi"/>
        </w:rPr>
      </w:pPr>
      <w:bookmarkStart w:id="18" w:name="_Toc237876380"/>
      <w:r>
        <w:rPr>
          <w:rFonts w:ascii="楷体_GB2312" w:eastAsia="楷体_GB2312" w:cstheme="minorBidi" w:hint="eastAsia"/>
        </w:rPr>
        <w:t>3.</w:t>
      </w:r>
      <w:bookmarkStart w:id="19" w:name="_Hlk234395917"/>
      <w:r>
        <w:rPr>
          <w:rFonts w:ascii="楷体_GB2312" w:eastAsia="楷体_GB2312" w:cstheme="minorBidi" w:hint="eastAsia"/>
        </w:rPr>
        <w:t>强化综合治理与安全保障，交通运行效能持续提升</w:t>
      </w:r>
      <w:bookmarkEnd w:id="18"/>
      <w:bookmarkEnd w:id="19"/>
    </w:p>
    <w:p w14:paraId="4842193B" w14:textId="77777777" w:rsidR="00A06593" w:rsidRDefault="000D2478">
      <w:pPr>
        <w:pStyle w:val="a0"/>
        <w:ind w:firstLine="643"/>
        <w:rPr>
          <w:bCs/>
        </w:rPr>
      </w:pPr>
      <w:bookmarkStart w:id="20" w:name="_Hlk234395922"/>
      <w:r>
        <w:rPr>
          <w:rFonts w:hint="eastAsia"/>
          <w:b/>
          <w:bCs/>
        </w:rPr>
        <w:t>多措并举推动停车有序。</w:t>
      </w:r>
      <w:bookmarkEnd w:id="20"/>
      <w:r>
        <w:rPr>
          <w:rFonts w:hint="eastAsia"/>
          <w:bCs/>
        </w:rPr>
        <w:t>完成《怀柔区机动车停车设施信息报送分析报告》，建立停车矛盾突出点位资源台账。开展备案经营性停车场有偿错时共享，大力推动机关企事业单位停车资源共享。截至“十四五”末，域内停车位合计10.71万个。</w:t>
      </w:r>
    </w:p>
    <w:p w14:paraId="2ACEC467" w14:textId="77777777" w:rsidR="00A06593" w:rsidRDefault="000D2478">
      <w:pPr>
        <w:pStyle w:val="a0"/>
        <w:ind w:firstLine="643"/>
        <w:rPr>
          <w:bCs/>
        </w:rPr>
      </w:pPr>
      <w:bookmarkStart w:id="21" w:name="_Hlk234395929"/>
      <w:r>
        <w:rPr>
          <w:rFonts w:hint="eastAsia"/>
          <w:b/>
          <w:bCs/>
        </w:rPr>
        <w:t>重点区域治理成效明显</w:t>
      </w:r>
      <w:bookmarkEnd w:id="21"/>
      <w:r>
        <w:rPr>
          <w:rFonts w:hint="eastAsia"/>
          <w:b/>
          <w:bCs/>
        </w:rPr>
        <w:t>。</w:t>
      </w:r>
      <w:r>
        <w:rPr>
          <w:rFonts w:hint="eastAsia"/>
          <w:bCs/>
        </w:rPr>
        <w:t>每年研究制定区级交通综合治理行动计划，并顺利通过年度全市综治工作评审。加强学、医、景、商及会都周边等重点区域治理，有效缓解交通拥堵。全面梳理桥下空间台账，组织开展2处桥下空间整治提升。与12345“接诉即办”深度融合，依法严厉打击场站枢纽区域等非法营运行为。</w:t>
      </w:r>
    </w:p>
    <w:p w14:paraId="59516055" w14:textId="77777777" w:rsidR="00A06593" w:rsidRDefault="000D2478">
      <w:pPr>
        <w:pStyle w:val="a0"/>
        <w:ind w:firstLine="643"/>
        <w:rPr>
          <w:bCs/>
        </w:rPr>
      </w:pPr>
      <w:bookmarkStart w:id="22" w:name="_Hlk234395935"/>
      <w:r>
        <w:rPr>
          <w:rFonts w:hint="eastAsia"/>
          <w:b/>
          <w:bCs/>
        </w:rPr>
        <w:t>平安出行态势稳固向好</w:t>
      </w:r>
      <w:bookmarkEnd w:id="22"/>
      <w:r>
        <w:rPr>
          <w:rFonts w:hint="eastAsia"/>
          <w:b/>
          <w:bCs/>
        </w:rPr>
        <w:t>。</w:t>
      </w:r>
      <w:r>
        <w:rPr>
          <w:rFonts w:hint="eastAsia"/>
          <w:bCs/>
        </w:rPr>
        <w:t>强化非营业性化学危险品运输、长途客运、旅游汽车、机动车维修、货运等行业监管及安全管理，落实水运游船企业安全监管体系。深化文明出行宣传引导，“十四五”时期区域亡人事故的事故起数与亡人数均呈现连年下降趋势，交通安全形势持续向好。</w:t>
      </w:r>
    </w:p>
    <w:p w14:paraId="21E99092" w14:textId="77777777" w:rsidR="00A06593" w:rsidRDefault="000D2478">
      <w:pPr>
        <w:pStyle w:val="a0"/>
        <w:ind w:firstLine="643"/>
        <w:rPr>
          <w:bCs/>
        </w:rPr>
      </w:pPr>
      <w:bookmarkStart w:id="23" w:name="_Hlk234395941"/>
      <w:r>
        <w:rPr>
          <w:rFonts w:hint="eastAsia"/>
          <w:b/>
          <w:bCs/>
        </w:rPr>
        <w:t>重大活动交通服务保障有力</w:t>
      </w:r>
      <w:bookmarkEnd w:id="23"/>
      <w:r>
        <w:rPr>
          <w:rFonts w:hint="eastAsia"/>
          <w:b/>
          <w:bCs/>
        </w:rPr>
        <w:t>。</w:t>
      </w:r>
      <w:r>
        <w:rPr>
          <w:rFonts w:hint="eastAsia"/>
          <w:bCs/>
        </w:rPr>
        <w:t>全区交通系统精心组织、周密部署，“十四五”时期圆满完成6场重大外事活动保障任</w:t>
      </w:r>
      <w:r>
        <w:rPr>
          <w:rFonts w:hint="eastAsia"/>
          <w:bCs/>
        </w:rPr>
        <w:lastRenderedPageBreak/>
        <w:t>务，累计完成近三百万人次交通保障，单日最大保障规模3万人，提供高效、有序、温馨的交通服务。</w:t>
      </w:r>
    </w:p>
    <w:p w14:paraId="185BF5E7" w14:textId="77777777" w:rsidR="00A06593" w:rsidRDefault="000D2478">
      <w:pPr>
        <w:pStyle w:val="3"/>
        <w:spacing w:before="0" w:after="0" w:line="560" w:lineRule="exact"/>
        <w:ind w:firstLine="643"/>
        <w:rPr>
          <w:rFonts w:ascii="楷体_GB2312" w:eastAsia="楷体_GB2312" w:cstheme="minorBidi"/>
        </w:rPr>
      </w:pPr>
      <w:bookmarkStart w:id="24" w:name="_Toc237876381"/>
      <w:r>
        <w:rPr>
          <w:rFonts w:ascii="楷体_GB2312" w:eastAsia="楷体_GB2312" w:cstheme="minorBidi" w:hint="eastAsia"/>
        </w:rPr>
        <w:t>4.</w:t>
      </w:r>
      <w:bookmarkStart w:id="25" w:name="_Hlk234395963"/>
      <w:r>
        <w:rPr>
          <w:rFonts w:ascii="楷体_GB2312" w:eastAsia="楷体_GB2312" w:cstheme="minorBidi" w:hint="eastAsia"/>
        </w:rPr>
        <w:t>科技赋能精准监管，智慧交通治理水平全面提升</w:t>
      </w:r>
      <w:bookmarkEnd w:id="24"/>
      <w:bookmarkEnd w:id="25"/>
    </w:p>
    <w:p w14:paraId="1AF54FA0" w14:textId="77777777" w:rsidR="00A06593" w:rsidRDefault="000D2478">
      <w:pPr>
        <w:pStyle w:val="a0"/>
        <w:ind w:firstLine="643"/>
        <w:rPr>
          <w:bCs/>
        </w:rPr>
      </w:pPr>
      <w:bookmarkStart w:id="26" w:name="_Hlk234395968"/>
      <w:r>
        <w:rPr>
          <w:rFonts w:hint="eastAsia"/>
          <w:b/>
          <w:bCs/>
        </w:rPr>
        <w:t>信息化应用不断深化。</w:t>
      </w:r>
      <w:bookmarkEnd w:id="26"/>
      <w:r>
        <w:rPr>
          <w:rFonts w:hint="eastAsia"/>
          <w:bCs/>
        </w:rPr>
        <w:t>为执法分队配备综合监管设备，交通运输政务服务信息化建设全面推进，实现95%行业领域、85%政务服务事项通过信息共享与网络流转完成办理。信息化赋能公交升级，区内79条公交线路可实时查询，出行体验不断提升。</w:t>
      </w:r>
    </w:p>
    <w:p w14:paraId="4FFC6326" w14:textId="77777777" w:rsidR="00A06593" w:rsidRDefault="000D2478">
      <w:pPr>
        <w:pStyle w:val="a0"/>
        <w:ind w:firstLine="643"/>
        <w:rPr>
          <w:bCs/>
        </w:rPr>
      </w:pPr>
      <w:bookmarkStart w:id="27" w:name="_Hlk236987270"/>
      <w:bookmarkStart w:id="28" w:name="_Hlk234395975"/>
      <w:r>
        <w:rPr>
          <w:rFonts w:hint="eastAsia"/>
          <w:b/>
          <w:bCs/>
        </w:rPr>
        <w:t>可视化监控技术实现重点行业动态管控</w:t>
      </w:r>
      <w:bookmarkEnd w:id="27"/>
      <w:r>
        <w:rPr>
          <w:rFonts w:hint="eastAsia"/>
          <w:b/>
          <w:bCs/>
        </w:rPr>
        <w:t>。</w:t>
      </w:r>
      <w:bookmarkEnd w:id="28"/>
      <w:r>
        <w:rPr>
          <w:rFonts w:hint="eastAsia"/>
          <w:bCs/>
        </w:rPr>
        <w:t>实现对辖区29家汽修厂喷漆房全程可视化远程监控，全区危化品运输企业4G视频监控设备全覆盖，水运游船行业分批推进驾驶台智能监控，旅游客运车辆智能视频监控报警装置安装占比达98%。持续开展超限超载治理，新增非现场称重检测设备5处，有力保障道路运输安全畅通。</w:t>
      </w:r>
    </w:p>
    <w:p w14:paraId="20748139" w14:textId="77777777" w:rsidR="00A06593" w:rsidRDefault="000D2478">
      <w:pPr>
        <w:pStyle w:val="a0"/>
        <w:ind w:firstLine="643"/>
        <w:rPr>
          <w:bCs/>
        </w:rPr>
      </w:pPr>
      <w:bookmarkStart w:id="29" w:name="_Hlk234395980"/>
      <w:r>
        <w:rPr>
          <w:rFonts w:hint="eastAsia"/>
          <w:b/>
          <w:bCs/>
        </w:rPr>
        <w:t>智慧交通场景逐步落地应用。</w:t>
      </w:r>
      <w:bookmarkEnd w:id="29"/>
      <w:r>
        <w:rPr>
          <w:rFonts w:hint="eastAsia"/>
          <w:bCs/>
        </w:rPr>
        <w:t>全区信号灯367处，联网率达到41%，完成杨雁路、京沈线绿波协调控制方案布设。新技术应用场景不断拓展，怀柔区被正式纳入北京市高级别自动驾驶示范区4.0阶段建设范围，车联网设施建设逐步推进，完成218个路口现状设施系统性摸排，依托科学城智慧城市平台同步规划车联网数据管理云控平台框架。</w:t>
      </w:r>
    </w:p>
    <w:p w14:paraId="308E2812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30" w:name="_Toc237876382"/>
      <w:r>
        <w:rPr>
          <w:rFonts w:ascii="楷体" w:eastAsia="楷体" w:hAnsi="楷体" w:cs="Times New Roman" w:hint="eastAsia"/>
          <w:bCs w:val="0"/>
          <w:kern w:val="0"/>
        </w:rPr>
        <w:t>（二）形势要求</w:t>
      </w:r>
      <w:bookmarkEnd w:id="30"/>
    </w:p>
    <w:p w14:paraId="58A41580" w14:textId="77777777" w:rsidR="00A06593" w:rsidRDefault="000D2478">
      <w:pPr>
        <w:ind w:firstLine="640"/>
        <w:rPr>
          <w:b/>
          <w:bCs/>
        </w:rPr>
      </w:pPr>
      <w:bookmarkStart w:id="31" w:name="_Hlk234396034"/>
      <w:r>
        <w:rPr>
          <w:rFonts w:hAnsiTheme="minorHAnsi" w:cstheme="minorBidi" w:hint="eastAsia"/>
          <w:szCs w:val="32"/>
        </w:rPr>
        <w:t>“十五五”时期是怀柔区深度融入京津冀协同发展、全面推进“三城一区”主平台建设、攻坚山区乡村振兴与安全韧性建设的关键阶段。</w:t>
      </w:r>
      <w:bookmarkEnd w:id="31"/>
      <w:r>
        <w:rPr>
          <w:rFonts w:hAnsiTheme="minorHAnsi" w:cstheme="minorBidi" w:hint="eastAsia"/>
          <w:szCs w:val="32"/>
        </w:rPr>
        <w:t>怀柔区的发展需要立足首都都市圈产</w:t>
      </w:r>
      <w:r>
        <w:rPr>
          <w:rFonts w:hAnsiTheme="minorHAnsi" w:cstheme="minorBidi" w:hint="eastAsia"/>
          <w:szCs w:val="32"/>
        </w:rPr>
        <w:lastRenderedPageBreak/>
        <w:t>业创新格局，充分发挥科技创新资源富集优势和作为京津、京雄走廊关键节点的牵引效能，打造新质生产力策源地；需要加快支撑“三城一区”主平台建设，构建“科学+城”融合发展模式，打造国际科技创新产业高地；需要深刻汲取极端强降雨导致的水毁教训，构建安全韧性的山区交通体系，支撑北部山区协同发展。</w:t>
      </w:r>
      <w:bookmarkStart w:id="32" w:name="_Hlk234396056"/>
      <w:r>
        <w:rPr>
          <w:rFonts w:hAnsiTheme="minorHAnsi" w:cstheme="minorBidi" w:hint="eastAsia"/>
          <w:szCs w:val="32"/>
        </w:rPr>
        <w:t>围绕怀柔区产业升级、区域发展、城乡建设三大战略主线，怀柔综合交通体系面临</w:t>
      </w:r>
      <w:bookmarkEnd w:id="32"/>
      <w:r>
        <w:rPr>
          <w:rFonts w:hAnsiTheme="minorHAnsi" w:cstheme="minorBidi" w:hint="eastAsia"/>
          <w:szCs w:val="32"/>
        </w:rPr>
        <w:t>以下三大形势要求。</w:t>
      </w:r>
    </w:p>
    <w:p w14:paraId="29D9BCF9" w14:textId="77777777" w:rsidR="00A06593" w:rsidRDefault="000D2478">
      <w:pPr>
        <w:ind w:firstLine="643"/>
        <w:rPr>
          <w:b/>
          <w:bCs/>
        </w:rPr>
      </w:pPr>
      <w:bookmarkStart w:id="33" w:name="_Hlk234396062"/>
      <w:r>
        <w:rPr>
          <w:rFonts w:cstheme="minorBidi" w:hint="eastAsia"/>
          <w:b/>
          <w:bCs/>
        </w:rPr>
        <w:t>一是推动交通体系</w:t>
      </w:r>
      <w:r>
        <w:rPr>
          <w:rStyle w:val="af8"/>
          <w:rFonts w:hAnsi="Segoe UI" w:cs="Segoe UI" w:hint="eastAsia"/>
          <w:color w:val="0F1115"/>
          <w:shd w:val="clear" w:color="auto" w:fill="FFFFFF"/>
        </w:rPr>
        <w:t>由“配套支撑”向“战略牵引”转变，构建服务世界级原始创新承载区的协同交通骨架</w:t>
      </w:r>
      <w:r>
        <w:rPr>
          <w:rFonts w:cstheme="minorBidi" w:hint="eastAsia"/>
          <w:b/>
          <w:bCs/>
        </w:rPr>
        <w:t>。</w:t>
      </w:r>
      <w:bookmarkEnd w:id="33"/>
      <w:r>
        <w:rPr>
          <w:rFonts w:hint="eastAsia"/>
        </w:rPr>
        <w:t>《北京城市总体规划（2016年-2035年）》赋予怀柔“首都北部重点生态保育及区域生态治理协作区、服务国家对外交往的生态发展示范区、绿色创新引领的高端科技文化发展区”的定位，</w:t>
      </w:r>
      <w:r>
        <w:rPr>
          <w:rFonts w:hAnsi="Segoe UI" w:cs="Segoe UI" w:hint="eastAsia"/>
          <w:color w:val="0F1115"/>
          <w:shd w:val="clear" w:color="auto" w:fill="FFFFFF"/>
        </w:rPr>
        <w:t>科学城、国际会都、中国影都建设已进入创新爆发期</w:t>
      </w:r>
      <w:r>
        <w:rPr>
          <w:rFonts w:hint="eastAsia"/>
        </w:rPr>
        <w:t>，</w:t>
      </w:r>
      <w:r>
        <w:rPr>
          <w:rFonts w:hAnsi="Segoe UI" w:cs="Segoe UI" w:hint="eastAsia"/>
          <w:color w:val="0F1115"/>
          <w:shd w:val="clear" w:color="auto" w:fill="FFFFFF"/>
        </w:rPr>
        <w:t>交通不仅是配套设施，更是吸引全球顶尖人才与高端要素的“先导力”。“十五五”期间交通体系必须紧扣“三城一区”联动发展，超前布局对外交通廊道，对外强化怀柔与八站两场的快速交通联系，主动融入国家干线铁路网和公路网，对内强化与中心城区、城市副中心及周边新城的快速直连，提升轨道交通的服务通达深度，以高韧性的骨干通道支撑国家战略科技力量集聚，赋能区域协同创新格局。</w:t>
      </w:r>
    </w:p>
    <w:p w14:paraId="21335E65" w14:textId="77777777" w:rsidR="00A06593" w:rsidRDefault="000D2478">
      <w:pPr>
        <w:ind w:firstLine="643"/>
      </w:pPr>
      <w:bookmarkStart w:id="34" w:name="_Hlk234396072"/>
      <w:r>
        <w:rPr>
          <w:rFonts w:hint="eastAsia"/>
          <w:b/>
          <w:bCs/>
        </w:rPr>
        <w:t>二是推动交通体系</w:t>
      </w:r>
      <w:r>
        <w:rPr>
          <w:rStyle w:val="af8"/>
          <w:rFonts w:hAnsi="Segoe UI" w:cs="Segoe UI" w:hint="eastAsia"/>
          <w:color w:val="0F1115"/>
          <w:shd w:val="clear" w:color="auto" w:fill="FFFFFF"/>
        </w:rPr>
        <w:t>由</w:t>
      </w:r>
      <w:r>
        <w:rPr>
          <w:rFonts w:hAnsi="Segoe UI" w:cs="Segoe UI" w:hint="eastAsia"/>
          <w:b/>
          <w:bCs/>
          <w:color w:val="0F1115"/>
          <w:shd w:val="clear" w:color="auto" w:fill="FFFFFF"/>
        </w:rPr>
        <w:t>“</w:t>
      </w:r>
      <w:r>
        <w:rPr>
          <w:rStyle w:val="af8"/>
          <w:rFonts w:hAnsi="Segoe UI" w:cs="Segoe UI" w:hint="eastAsia"/>
          <w:color w:val="0F1115"/>
          <w:shd w:val="clear" w:color="auto" w:fill="FFFFFF"/>
        </w:rPr>
        <w:t>保障基本通达</w:t>
      </w:r>
      <w:r>
        <w:rPr>
          <w:rFonts w:hAnsi="Segoe UI" w:cs="Segoe UI" w:hint="eastAsia"/>
          <w:b/>
          <w:bCs/>
          <w:color w:val="0F1115"/>
          <w:shd w:val="clear" w:color="auto" w:fill="FFFFFF"/>
        </w:rPr>
        <w:t>”</w:t>
      </w:r>
      <w:r>
        <w:rPr>
          <w:rStyle w:val="af8"/>
          <w:rFonts w:hAnsi="Segoe UI" w:cs="Segoe UI" w:hint="eastAsia"/>
          <w:color w:val="0F1115"/>
          <w:shd w:val="clear" w:color="auto" w:fill="FFFFFF"/>
        </w:rPr>
        <w:t>向“引领绿色集约”跃升，构建与生态涵养区相匹配的现代化综合交通体系</w:t>
      </w:r>
      <w:r>
        <w:rPr>
          <w:rFonts w:hint="eastAsia"/>
          <w:b/>
          <w:bCs/>
        </w:rPr>
        <w:t>。</w:t>
      </w:r>
      <w:bookmarkEnd w:id="34"/>
      <w:r>
        <w:rPr>
          <w:rFonts w:hint="eastAsia"/>
        </w:rPr>
        <w:t>《中共北京市委关于制定北京市国民经济和社会发展第十</w:t>
      </w:r>
      <w:r>
        <w:rPr>
          <w:rFonts w:hint="eastAsia"/>
        </w:rPr>
        <w:lastRenderedPageBreak/>
        <w:t>五个五年规划的建议》提出要加强多网融合与绿色出行，破解“对外快速联络不足”与“内部绿色品质不高”的双重交通矛盾。因此，“十五五”期间不仅要依托轨道交通和干线公路打通对外联络“大动脉”，更要深入实施公交优先战略，推动轨道公交融合发展，改善慢行系统品质，提升绿色交通出行比例，同时推动车辆新能源化，优化交通运输能源结构，推动交通发展模式由注重规模扩张向存量增效、绿色集约深度转型，切实将生态优势转化为交通新质生产力。</w:t>
      </w:r>
    </w:p>
    <w:p w14:paraId="4AB91C89" w14:textId="77777777" w:rsidR="00A06593" w:rsidRDefault="000D2478">
      <w:pPr>
        <w:ind w:firstLine="643"/>
      </w:pPr>
      <w:bookmarkStart w:id="35" w:name="_Hlk234396078"/>
      <w:r>
        <w:rPr>
          <w:rFonts w:hint="eastAsia"/>
          <w:b/>
          <w:bCs/>
        </w:rPr>
        <w:t>三是推动交通体系</w:t>
      </w:r>
      <w:r>
        <w:rPr>
          <w:rStyle w:val="af8"/>
          <w:rFonts w:hAnsi="Segoe UI" w:cs="Segoe UI" w:hint="eastAsia"/>
          <w:color w:val="0F1115"/>
          <w:shd w:val="clear" w:color="auto" w:fill="FFFFFF"/>
        </w:rPr>
        <w:t>由“满足出行”向“人享其行、韧性安全”升华，</w:t>
      </w:r>
      <w:r>
        <w:rPr>
          <w:rFonts w:hint="eastAsia"/>
          <w:b/>
          <w:bCs/>
        </w:rPr>
        <w:t>打造宜居、韧性、智慧的高质量交通发展城区。</w:t>
      </w:r>
      <w:bookmarkEnd w:id="35"/>
      <w:r>
        <w:rPr>
          <w:rFonts w:hint="eastAsia"/>
          <w:bCs/>
        </w:rPr>
        <w:t>深入贯彻</w:t>
      </w:r>
      <w:r>
        <w:rPr>
          <w:rFonts w:hint="eastAsia"/>
        </w:rPr>
        <w:t>习近平总书记</w:t>
      </w:r>
      <w:r>
        <w:rPr>
          <w:rFonts w:hAnsi="Segoe UI" w:cs="Segoe UI" w:hint="eastAsia"/>
          <w:color w:val="0F1115"/>
          <w:shd w:val="clear" w:color="auto" w:fill="FFFFFF"/>
        </w:rPr>
        <w:t>关于建设可持续交通体系的重要论述，以及国办《关于持续推进城市更新行动的意见》精神，把握怀柔城乡建设正步入存量优化与品质提升并重的阶段特征，坚持以人民为中心，将安全韧性放在交通发展的首位，提高交通设施网络韧性、提升应急处突能力，有效应对极端天气对山区道路的挑战。同时，紧密结合城市更新行动，优化职住空间布局、提升通勤效率，加强交通精细化、智慧化治理，提升出行环境，让交通成为赓续城市文脉、提升市民获得感的重要载体，支撑更高水平的“美丽怀柔”建设</w:t>
      </w:r>
      <w:r>
        <w:rPr>
          <w:rFonts w:hint="eastAsia"/>
        </w:rPr>
        <w:t>。</w:t>
      </w:r>
    </w:p>
    <w:p w14:paraId="3A88976D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36" w:name="_Toc237876383"/>
      <w:r>
        <w:rPr>
          <w:rFonts w:ascii="楷体" w:eastAsia="楷体" w:hAnsi="楷体" w:cs="Times New Roman" w:hint="eastAsia"/>
          <w:bCs w:val="0"/>
          <w:kern w:val="0"/>
        </w:rPr>
        <w:t>（三）存在问题</w:t>
      </w:r>
      <w:bookmarkEnd w:id="36"/>
    </w:p>
    <w:p w14:paraId="2525FA67" w14:textId="77777777" w:rsidR="00A06593" w:rsidRDefault="000D2478">
      <w:pPr>
        <w:ind w:firstLineChars="196" w:firstLine="627"/>
        <w:rPr>
          <w:szCs w:val="32"/>
        </w:rPr>
      </w:pPr>
      <w:bookmarkStart w:id="37" w:name="_Hlk234396105"/>
      <w:r>
        <w:rPr>
          <w:rFonts w:hint="eastAsia"/>
          <w:szCs w:val="32"/>
        </w:rPr>
        <w:t>“十四五”时期交通发展取得较好成效，但与怀柔交通体系的高质量发展要求存在一定差距。</w:t>
      </w:r>
      <w:bookmarkEnd w:id="37"/>
    </w:p>
    <w:p w14:paraId="3D041809" w14:textId="77777777" w:rsidR="00A06593" w:rsidRDefault="000D2478">
      <w:pPr>
        <w:ind w:firstLineChars="196" w:firstLine="630"/>
        <w:rPr>
          <w:szCs w:val="32"/>
        </w:rPr>
      </w:pPr>
      <w:bookmarkStart w:id="38" w:name="_Hlk234396113"/>
      <w:r>
        <w:rPr>
          <w:rFonts w:hint="eastAsia"/>
          <w:b/>
          <w:bCs/>
          <w:szCs w:val="32"/>
        </w:rPr>
        <w:t>一是与中心城的快速联通仍需提升。</w:t>
      </w:r>
      <w:bookmarkEnd w:id="38"/>
      <w:r>
        <w:rPr>
          <w:rFonts w:hint="eastAsia"/>
          <w:b/>
          <w:bCs/>
        </w:rPr>
        <w:t>道路交通方面，</w:t>
      </w:r>
      <w:r>
        <w:rPr>
          <w:rFonts w:hint="eastAsia"/>
        </w:rPr>
        <w:t>对外交通联系以公路为主，61.2%进入怀柔的出行来自于北京</w:t>
      </w:r>
      <w:r>
        <w:rPr>
          <w:rFonts w:hint="eastAsia"/>
        </w:rPr>
        <w:lastRenderedPageBreak/>
        <w:t>主城方向，京密、京承等干线道路交通承载力不足，潮汐拥堵问题明显。</w:t>
      </w:r>
      <w:r>
        <w:rPr>
          <w:rFonts w:hint="eastAsia"/>
          <w:b/>
          <w:bCs/>
          <w:szCs w:val="32"/>
        </w:rPr>
        <w:t>轨道交通方面，</w:t>
      </w:r>
      <w:r>
        <w:rPr>
          <w:rFonts w:hint="eastAsia"/>
          <w:szCs w:val="32"/>
        </w:rPr>
        <w:t>既有铁路设施利用效能和便捷性不足，难以支撑长距离通勤需求，轨道通勤时间接近100分钟、高峰时段车次少，难以支撑“科学+科研+产业”连接联动。轨道站点接驳服务水平不高，接驳效率偏低，制约科学城通勤人员公共交通出行效率。</w:t>
      </w:r>
    </w:p>
    <w:p w14:paraId="611AEA35" w14:textId="77777777" w:rsidR="00A06593" w:rsidRDefault="000D2478">
      <w:pPr>
        <w:ind w:firstLine="643"/>
        <w:rPr>
          <w:b/>
          <w:bCs/>
        </w:rPr>
      </w:pPr>
      <w:bookmarkStart w:id="39" w:name="_Hlk234396118"/>
      <w:r>
        <w:rPr>
          <w:rFonts w:hint="eastAsia"/>
          <w:b/>
          <w:bCs/>
        </w:rPr>
        <w:t>二是内部路网连通性和级配结构仍需优化。</w:t>
      </w:r>
      <w:bookmarkEnd w:id="39"/>
      <w:r>
        <w:rPr>
          <w:rFonts w:hint="eastAsia"/>
          <w:b/>
          <w:bCs/>
        </w:rPr>
        <w:t>路网联通方面，</w:t>
      </w:r>
      <w:r>
        <w:rPr>
          <w:rFonts w:hint="eastAsia"/>
        </w:rPr>
        <w:t>组团间交通联系不足，影都与科学城、会都与老城区间缺乏直接联系道路，通行效率较低。重要枢纽周边道路建设尚未实现规划，对内快速集散联通能力不足。科学城内部各个空间单元道路实施不同步，南区道路实施进展相对滞后，制约功能区发展。农村公路缺乏系统性研究，资金长效保障机制不完善。</w:t>
      </w:r>
      <w:r>
        <w:rPr>
          <w:rFonts w:ascii="Times New Roman" w:hint="eastAsia"/>
          <w:b/>
          <w:bCs/>
        </w:rPr>
        <w:t>路网级配结构方面，</w:t>
      </w:r>
      <w:r>
        <w:rPr>
          <w:rFonts w:hint="eastAsia"/>
        </w:rPr>
        <w:t>区域主干路网体系已基本成型，但主干路、次干路、支路比为1:0.9:0.6，呈“倒金字塔”结构，路网层级失衡，支路建设相对滞后，道路微循环能力有待提升。</w:t>
      </w:r>
    </w:p>
    <w:p w14:paraId="6097E465" w14:textId="77777777" w:rsidR="00A06593" w:rsidRDefault="000D2478">
      <w:pPr>
        <w:ind w:firstLine="643"/>
      </w:pPr>
      <w:bookmarkStart w:id="40" w:name="_Hlk234396124"/>
      <w:r>
        <w:rPr>
          <w:rFonts w:hint="eastAsia"/>
          <w:b/>
          <w:bCs/>
        </w:rPr>
        <w:t>三是绿色出行服务品质仍需进一步提升。</w:t>
      </w:r>
      <w:bookmarkEnd w:id="40"/>
      <w:r>
        <w:rPr>
          <w:rFonts w:hint="eastAsia"/>
          <w:b/>
          <w:bCs/>
        </w:rPr>
        <w:t>公交方面，</w:t>
      </w:r>
      <w:r>
        <w:rPr>
          <w:rFonts w:hint="eastAsia"/>
        </w:rPr>
        <w:t>城区部分路段公交线路重复率高，公交线网需持续优化调整与提升。公交场站用地不足，场站布局不合理，全区50%的公交场站、62%的车辆停放集中在老城区内，制约线网调整和车辆新清能源化的转变。</w:t>
      </w:r>
      <w:r>
        <w:rPr>
          <w:rFonts w:hint="eastAsia"/>
          <w:b/>
          <w:bCs/>
        </w:rPr>
        <w:t>慢行方面，</w:t>
      </w:r>
      <w:r>
        <w:rPr>
          <w:rFonts w:hint="eastAsia"/>
        </w:rPr>
        <w:t>部分路段慢行设施缺失，慢行设施品质有待提升。慢行优先标识不足，老城区组团路面宽度12m以下机非混行路段均未设置优先标识，机非通行权无明确指引。</w:t>
      </w:r>
    </w:p>
    <w:p w14:paraId="3E21DB2C" w14:textId="77777777" w:rsidR="00A06593" w:rsidRDefault="000D2478">
      <w:pPr>
        <w:ind w:firstLine="643"/>
        <w:rPr>
          <w:b/>
          <w:bCs/>
        </w:rPr>
      </w:pPr>
      <w:bookmarkStart w:id="41" w:name="_Hlk234396129"/>
      <w:r>
        <w:rPr>
          <w:rFonts w:hint="eastAsia"/>
          <w:b/>
          <w:bCs/>
        </w:rPr>
        <w:lastRenderedPageBreak/>
        <w:t>四是安全与韧性交通体系建设仍需给予更多关注。</w:t>
      </w:r>
      <w:bookmarkEnd w:id="41"/>
      <w:r>
        <w:rPr>
          <w:rFonts w:hint="eastAsia"/>
        </w:rPr>
        <w:t>农村公路中路网老龄化趋势明显，路网质量、信息化水平和管理体制机制有待进一步提升。“十四五”期间，怀柔区两度发生特大暴雨并引发洪涝灾害</w:t>
      </w:r>
      <w:bookmarkStart w:id="42" w:name="OLE_LINK3"/>
      <w:r>
        <w:rPr>
          <w:rFonts w:hint="eastAsia"/>
        </w:rPr>
        <w:t>。2025年“25</w:t>
      </w:r>
      <w:r>
        <w:rPr>
          <w:rFonts w:hint="eastAsia"/>
        </w:rPr>
        <w:sym w:font="Wingdings" w:char="F09E"/>
      </w:r>
      <w:r>
        <w:rPr>
          <w:rFonts w:hint="eastAsia"/>
        </w:rPr>
        <w:t>7”</w:t>
      </w:r>
      <w:bookmarkEnd w:id="42"/>
      <w:r>
        <w:rPr>
          <w:rFonts w:hint="eastAsia"/>
        </w:rPr>
        <w:t>区域性极端降雨造成大量道路、市政基础设施损毁，全区近10万人遭受灾害影响。重灾区琉璃庙镇境内南北向G111国道、东西向G234国道汛情期间全部阻断，全区8条县级及以上公路水毁严重，交通安全与韧性面临挑战。</w:t>
      </w:r>
    </w:p>
    <w:p w14:paraId="33E1F0B7" w14:textId="77777777" w:rsidR="00A06593" w:rsidRDefault="000D2478">
      <w:pPr>
        <w:widowControl/>
        <w:spacing w:line="240" w:lineRule="auto"/>
        <w:ind w:firstLineChars="0" w:firstLine="0"/>
        <w:jc w:val="left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/>
          <w:sz w:val="44"/>
          <w:szCs w:val="44"/>
        </w:rPr>
        <w:br w:type="page"/>
      </w:r>
    </w:p>
    <w:p w14:paraId="7DDC6C20" w14:textId="77777777" w:rsidR="00A06593" w:rsidRDefault="000D2478">
      <w:pPr>
        <w:topLinePunct/>
        <w:spacing w:line="360" w:lineRule="auto"/>
        <w:ind w:firstLineChars="0" w:firstLine="0"/>
        <w:jc w:val="center"/>
        <w:outlineLvl w:val="0"/>
        <w:rPr>
          <w:rFonts w:eastAsia="方正小标宋简体" w:cs="方正小标宋简体"/>
          <w:sz w:val="44"/>
          <w:szCs w:val="44"/>
        </w:rPr>
      </w:pPr>
      <w:bookmarkStart w:id="43" w:name="_Toc237876384"/>
      <w:r>
        <w:rPr>
          <w:rFonts w:eastAsia="方正小标宋简体" w:cs="方正小标宋简体" w:hint="eastAsia"/>
          <w:sz w:val="44"/>
          <w:szCs w:val="44"/>
        </w:rPr>
        <w:lastRenderedPageBreak/>
        <w:t>二、发展目标</w:t>
      </w:r>
      <w:bookmarkEnd w:id="43"/>
    </w:p>
    <w:p w14:paraId="0C2D0B0D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44" w:name="_Toc237876385"/>
      <w:r>
        <w:rPr>
          <w:rFonts w:ascii="楷体" w:eastAsia="楷体" w:hAnsi="楷体" w:cs="Times New Roman" w:hint="eastAsia"/>
          <w:bCs w:val="0"/>
          <w:kern w:val="0"/>
        </w:rPr>
        <w:t>（一）指导思想</w:t>
      </w:r>
      <w:bookmarkEnd w:id="44"/>
    </w:p>
    <w:p w14:paraId="370DBC47" w14:textId="77777777" w:rsidR="00A06593" w:rsidRDefault="000D2478">
      <w:pPr>
        <w:ind w:firstLine="640"/>
      </w:pPr>
      <w:r>
        <w:rPr>
          <w:rFonts w:hint="eastAsia"/>
        </w:rPr>
        <w:t>以习近平新时代中国特色社会主义思想为指导，深入贯彻习近平总书记对北京系列重要讲话和指示批示精神，全面贯彻党的二十大和二十届历次全会、中央城市工作会议、全国交通运输工作会和市委十三届历次全会决策部署，坚持以首都发展为统领，立足新时代首都高质量发展和高水平安全要求，紧扣怀柔区“一城两都”功能定位，深入落实《怀柔分区规划（国土空间规划）（2017年—2035年）》，牢牢把握交通“先行官”定位，立足首都生态涵养区与首都功能重要承载地战略属性，统筹发展和安全、城乡与区域、效率与公平，着力构建衔接顺畅、内外联动、绿色低碳、智慧高效、安全韧性的现代化综合交通体系，全力服务首都“四个中心”功能建设、提升“四个服务”水平，高效支撑科技创新、国际交往、文旅融合发展，为怀柔区建设幸福美丽现代化新城、打造国际一流战略科技融合发展示范区提供坚实交通保障。</w:t>
      </w:r>
    </w:p>
    <w:p w14:paraId="24FCBF5E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45" w:name="_Toc237876386"/>
      <w:r>
        <w:rPr>
          <w:rFonts w:ascii="楷体" w:eastAsia="楷体" w:hAnsi="楷体" w:cs="Times New Roman" w:hint="eastAsia"/>
          <w:bCs w:val="0"/>
          <w:kern w:val="0"/>
        </w:rPr>
        <w:t>（二）基本原则</w:t>
      </w:r>
      <w:bookmarkEnd w:id="45"/>
    </w:p>
    <w:p w14:paraId="0F464F3F" w14:textId="77777777" w:rsidR="00A06593" w:rsidRDefault="000D2478">
      <w:pPr>
        <w:ind w:firstLine="643"/>
        <w:rPr>
          <w:b/>
          <w:bCs/>
        </w:rPr>
      </w:pPr>
      <w:bookmarkStart w:id="46" w:name="_Hlk234396229"/>
      <w:r>
        <w:rPr>
          <w:rFonts w:hint="eastAsia"/>
          <w:b/>
          <w:bCs/>
        </w:rPr>
        <w:t>坚持服务首都功能。</w:t>
      </w:r>
      <w:bookmarkEnd w:id="46"/>
      <w:r>
        <w:rPr>
          <w:rFonts w:hint="eastAsia"/>
        </w:rPr>
        <w:t>紧扣“四个中心”建设与“四个服务”提升，强化与首都功能核心区、城市副中心及周边区域快速联通，全力保障科学城、国际会都、中国影都核心功能落地，高效支撑国际交往活动、科技创新承载、文旅休闲融合发展，打造首都北部生态屏障区与功能拓展区的重要交通支点。</w:t>
      </w:r>
    </w:p>
    <w:p w14:paraId="175ACC0D" w14:textId="77777777" w:rsidR="00A06593" w:rsidRDefault="000D2478">
      <w:pPr>
        <w:pStyle w:val="a0"/>
        <w:ind w:firstLine="643"/>
      </w:pPr>
      <w:bookmarkStart w:id="47" w:name="_Hlk234396237"/>
      <w:r>
        <w:rPr>
          <w:rFonts w:hint="eastAsia"/>
          <w:b/>
          <w:bCs/>
        </w:rPr>
        <w:t>坚持以人为本</w:t>
      </w:r>
      <w:bookmarkEnd w:id="47"/>
      <w:r>
        <w:rPr>
          <w:rFonts w:hint="eastAsia"/>
          <w:b/>
          <w:bCs/>
        </w:rPr>
        <w:t>。</w:t>
      </w:r>
      <w:r>
        <w:rPr>
          <w:rFonts w:hint="eastAsia"/>
        </w:rPr>
        <w:t>面向各类出行群体构建全龄友好的交通</w:t>
      </w:r>
      <w:r>
        <w:rPr>
          <w:rFonts w:hint="eastAsia"/>
        </w:rPr>
        <w:lastRenderedPageBreak/>
        <w:t>体系，服务老龄人群，构建安全、舒适全龄友好慢行网络；服务通勤人员，提升通勤出行效率，保障长距离通勤的可靠性与便捷性；服务游客出行，推进交旅融合设施建设，提升游客在怀体验；服务城乡居民，提质城乡公共交通服务，全面满足群众安全、便捷、舒适的出行期盼。</w:t>
      </w:r>
    </w:p>
    <w:p w14:paraId="1152CFFD" w14:textId="77777777" w:rsidR="00A06593" w:rsidRDefault="000D2478">
      <w:pPr>
        <w:ind w:firstLine="643"/>
        <w:rPr>
          <w:b/>
          <w:bCs/>
        </w:rPr>
      </w:pPr>
      <w:bookmarkStart w:id="48" w:name="_Hlk234396243"/>
      <w:r>
        <w:rPr>
          <w:rFonts w:hint="eastAsia"/>
          <w:b/>
          <w:bCs/>
        </w:rPr>
        <w:t>坚持绿色优先</w:t>
      </w:r>
      <w:bookmarkEnd w:id="48"/>
      <w:r>
        <w:rPr>
          <w:rFonts w:hint="eastAsia"/>
          <w:b/>
          <w:bCs/>
        </w:rPr>
        <w:t>。</w:t>
      </w:r>
      <w:r>
        <w:rPr>
          <w:rFonts w:hint="eastAsia"/>
        </w:rPr>
        <w:t>立足怀柔生态涵养区功能定位，将绿色低碳贯穿交通发展全过程。大力实施公交优先、慢行优先战略，优化山区与平原组团公交线网，完善滨水、环山慢行系统，推动集约绿色出行方式，推广清洁能源车辆与低碳设施，降低交通能耗与排放，实现交通发展与生态涵养协同共进。</w:t>
      </w:r>
    </w:p>
    <w:p w14:paraId="3101D868" w14:textId="77777777" w:rsidR="00A06593" w:rsidRDefault="000D2478">
      <w:pPr>
        <w:ind w:firstLine="643"/>
        <w:rPr>
          <w:b/>
          <w:bCs/>
        </w:rPr>
      </w:pPr>
      <w:bookmarkStart w:id="49" w:name="_Hlk234396249"/>
      <w:r>
        <w:rPr>
          <w:rFonts w:hint="eastAsia"/>
          <w:b/>
          <w:bCs/>
        </w:rPr>
        <w:t>坚持综合治理</w:t>
      </w:r>
      <w:bookmarkEnd w:id="49"/>
      <w:r>
        <w:rPr>
          <w:rFonts w:hint="eastAsia"/>
          <w:b/>
          <w:bCs/>
        </w:rPr>
        <w:t>。</w:t>
      </w:r>
      <w:r>
        <w:rPr>
          <w:rFonts w:hint="eastAsia"/>
        </w:rPr>
        <w:t>依托智慧交通赋能，坚持多措并举、综合施策，统筹推进路网优化、需求调控与秩序管理，持续深耕交通精细化管理，全面提升治理效能，有力推动区域交通高质量发展。</w:t>
      </w:r>
    </w:p>
    <w:p w14:paraId="2ED7C9CD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50" w:name="_Toc237876387"/>
      <w:r>
        <w:rPr>
          <w:rFonts w:ascii="楷体" w:eastAsia="楷体" w:hAnsi="楷体" w:cs="Times New Roman" w:hint="eastAsia"/>
          <w:bCs w:val="0"/>
          <w:kern w:val="0"/>
        </w:rPr>
        <w:t>（三）发展目标</w:t>
      </w:r>
      <w:bookmarkEnd w:id="50"/>
    </w:p>
    <w:p w14:paraId="276583E8" w14:textId="77777777" w:rsidR="00A06593" w:rsidRDefault="000D2478">
      <w:pPr>
        <w:ind w:firstLine="640"/>
      </w:pPr>
      <w:bookmarkStart w:id="51" w:name="_Hlk234396269"/>
      <w:r>
        <w:rPr>
          <w:rFonts w:hint="eastAsia"/>
        </w:rPr>
        <w:t>到2030年初步建成与怀柔区“一区、五高地”功能定位相匹配、与城市空间布局相协调、与居民高品质生活需求相适应的现代化综合交通体系，助力怀柔区打造幸福美丽现代化新城。</w:t>
      </w:r>
    </w:p>
    <w:p w14:paraId="7C822B3A" w14:textId="77777777" w:rsidR="00A06593" w:rsidRDefault="000D2478">
      <w:pPr>
        <w:pStyle w:val="a0"/>
        <w:ind w:firstLine="643"/>
      </w:pPr>
      <w:bookmarkStart w:id="52" w:name="OLE_LINK11"/>
      <w:bookmarkEnd w:id="51"/>
      <w:r>
        <w:rPr>
          <w:rFonts w:hint="eastAsia"/>
          <w:b/>
          <w:bCs/>
        </w:rPr>
        <w:t>一是全域路网联通支撑能力进一步夯实</w:t>
      </w:r>
      <w:r>
        <w:rPr>
          <w:rFonts w:hint="eastAsia"/>
        </w:rPr>
        <w:t>。</w:t>
      </w:r>
      <w:bookmarkEnd w:id="52"/>
      <w:r>
        <w:rPr>
          <w:rFonts w:hint="eastAsia"/>
        </w:rPr>
        <w:t>聚焦科学城发展定位，打造对外骨干交通廊道，打通与各组团联络通道，完善科学城内部路网体系，实现科学城通勤效率明显提升。补齐区域综合交通体系弱项，实现路网架构不断完善、内部通达效率稳步提升、山区路网结构转型，整体综合承载力与</w:t>
      </w:r>
      <w:r>
        <w:rPr>
          <w:rFonts w:hint="eastAsia"/>
        </w:rPr>
        <w:lastRenderedPageBreak/>
        <w:t>运行稳定性显著提高。</w:t>
      </w:r>
    </w:p>
    <w:p w14:paraId="28C14902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二是绿色出行服务品质持续提档。</w:t>
      </w:r>
      <w:r>
        <w:rPr>
          <w:rFonts w:hint="eastAsia"/>
        </w:rPr>
        <w:t>落实公交优先发展政策，优化公交线网布局、推进场站设施建设，完善绿色慢行系统，实现出行环境安全舒适、便民便捷，立足交旅深度融合发展目标，擦亮交通文旅融合发展名片。绿色高效物流体系进一步完善，全力实现交通能源结构清洁低碳。</w:t>
      </w:r>
    </w:p>
    <w:p w14:paraId="1A1A8BCC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三是安全韧性交通体系全面筑牢。</w:t>
      </w:r>
      <w:r>
        <w:rPr>
          <w:rFonts w:hint="eastAsia"/>
        </w:rPr>
        <w:t>从严落实行业安全监管，实现安全风险源头管控，推进农村公路修复升级，完善交通风险防控与应急保障配套设施，极端天气、突发事件下</w:t>
      </w:r>
      <w:r>
        <w:t>交通</w:t>
      </w:r>
      <w:r>
        <w:rPr>
          <w:rFonts w:hint="eastAsia"/>
        </w:rPr>
        <w:t>应急处置能力稳步增强。</w:t>
      </w:r>
    </w:p>
    <w:p w14:paraId="0771E230" w14:textId="77777777" w:rsidR="00A06593" w:rsidRDefault="000D2478">
      <w:pPr>
        <w:pStyle w:val="a0"/>
        <w:ind w:firstLine="643"/>
        <w:rPr>
          <w:b/>
          <w:bCs/>
        </w:rPr>
      </w:pPr>
      <w:r>
        <w:rPr>
          <w:rFonts w:hint="eastAsia"/>
          <w:b/>
          <w:bCs/>
        </w:rPr>
        <w:t>四是交通综合治理效能不断深化。</w:t>
      </w:r>
      <w:r>
        <w:rPr>
          <w:rFonts w:hint="eastAsia"/>
        </w:rPr>
        <w:t>以智慧交通建设为引领，实现各行业管理与服务提质增效，推进停车综合治理，高标准完成重大活动服务保障，统筹各要素管理资源，实现精细化管理水平显著提升。</w:t>
      </w:r>
    </w:p>
    <w:p w14:paraId="36FEED15" w14:textId="77777777" w:rsidR="00A06593" w:rsidRDefault="000D2478">
      <w:pPr>
        <w:pStyle w:val="a0"/>
        <w:ind w:firstLine="640"/>
        <w:rPr>
          <w:bCs/>
        </w:rPr>
      </w:pPr>
      <w:r>
        <w:rPr>
          <w:rFonts w:hint="eastAsia"/>
        </w:rPr>
        <w:t>具体指标如下：</w:t>
      </w:r>
    </w:p>
    <w:p w14:paraId="6CDA0775" w14:textId="77777777" w:rsidR="00A06593" w:rsidRDefault="000D2478">
      <w:pPr>
        <w:pStyle w:val="a0"/>
        <w:ind w:firstLineChars="0" w:firstLine="0"/>
        <w:jc w:val="center"/>
        <w:rPr>
          <w:sz w:val="28"/>
          <w:szCs w:val="18"/>
        </w:rPr>
      </w:pPr>
      <w:r>
        <w:rPr>
          <w:rFonts w:hint="eastAsia"/>
          <w:sz w:val="28"/>
          <w:szCs w:val="18"/>
        </w:rPr>
        <w:t>表3-1“十五五”时期怀柔区交通发展具体指标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08"/>
        <w:gridCol w:w="3546"/>
        <w:gridCol w:w="1701"/>
        <w:gridCol w:w="1268"/>
      </w:tblGrid>
      <w:tr w:rsidR="00A06593" w14:paraId="3A936046" w14:textId="77777777">
        <w:trPr>
          <w:cantSplit/>
          <w:trHeight w:val="20"/>
          <w:tblHeader/>
          <w:jc w:val="center"/>
        </w:trPr>
        <w:tc>
          <w:tcPr>
            <w:tcW w:w="602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5D02A0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b/>
                <w:bCs/>
                <w:sz w:val="28"/>
                <w:szCs w:val="28"/>
              </w:rPr>
            </w:pPr>
            <w:r>
              <w:rPr>
                <w:rFonts w:hAnsi="华文仿宋" w:cs="Arial" w:hint="eastAsia"/>
                <w:b/>
                <w:bCs/>
                <w:sz w:val="28"/>
                <w:szCs w:val="28"/>
              </w:rPr>
              <w:t>领域</w:t>
            </w:r>
          </w:p>
        </w:tc>
        <w:tc>
          <w:tcPr>
            <w:tcW w:w="431" w:type="pct"/>
            <w:vAlign w:val="center"/>
          </w:tcPr>
          <w:p w14:paraId="223A75FD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b/>
                <w:bCs/>
                <w:sz w:val="28"/>
                <w:szCs w:val="28"/>
              </w:rPr>
            </w:pPr>
            <w:r>
              <w:rPr>
                <w:rFonts w:hAnsi="华文仿宋" w:cs="Arial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CD37CA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b/>
                <w:bCs/>
                <w:sz w:val="28"/>
                <w:szCs w:val="28"/>
              </w:rPr>
            </w:pPr>
            <w:r>
              <w:rPr>
                <w:rFonts w:hAnsi="华文仿宋" w:cs="Arial" w:hint="eastAsia"/>
                <w:b/>
                <w:bCs/>
                <w:sz w:val="28"/>
                <w:szCs w:val="28"/>
              </w:rPr>
              <w:t>指标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201CB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b/>
                <w:bCs/>
                <w:sz w:val="28"/>
                <w:szCs w:val="28"/>
              </w:rPr>
            </w:pPr>
            <w:r>
              <w:rPr>
                <w:rFonts w:hAnsi="华文仿宋" w:cs="Arial" w:hint="eastAsia"/>
                <w:b/>
                <w:bCs/>
                <w:sz w:val="28"/>
                <w:szCs w:val="28"/>
              </w:rPr>
              <w:t>“十五五”目标值</w:t>
            </w:r>
          </w:p>
        </w:tc>
        <w:tc>
          <w:tcPr>
            <w:tcW w:w="772" w:type="pct"/>
            <w:vAlign w:val="center"/>
          </w:tcPr>
          <w:p w14:paraId="376BB88A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b/>
                <w:bCs/>
                <w:sz w:val="28"/>
                <w:szCs w:val="28"/>
              </w:rPr>
            </w:pPr>
            <w:r>
              <w:rPr>
                <w:rFonts w:hAnsi="华文仿宋" w:cs="Arial" w:hint="eastAsia"/>
                <w:b/>
                <w:bCs/>
                <w:sz w:val="28"/>
                <w:szCs w:val="28"/>
              </w:rPr>
              <w:t>指标属性</w:t>
            </w:r>
          </w:p>
        </w:tc>
      </w:tr>
      <w:tr w:rsidR="00A06593" w14:paraId="56E4980D" w14:textId="77777777">
        <w:trPr>
          <w:cantSplit/>
          <w:trHeight w:val="20"/>
          <w:jc w:val="center"/>
        </w:trPr>
        <w:tc>
          <w:tcPr>
            <w:tcW w:w="602" w:type="pct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E1249D" w14:textId="77777777" w:rsidR="00A06593" w:rsidRDefault="000D2478">
            <w:pPr>
              <w:spacing w:line="240" w:lineRule="atLeast"/>
              <w:ind w:firstLineChars="0" w:firstLine="0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联通支撑</w:t>
            </w:r>
          </w:p>
        </w:tc>
        <w:tc>
          <w:tcPr>
            <w:tcW w:w="431" w:type="pct"/>
            <w:vAlign w:val="center"/>
          </w:tcPr>
          <w:p w14:paraId="524663F1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1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74E446" w14:textId="77777777" w:rsidR="00A06593" w:rsidRDefault="000D2478">
            <w:pPr>
              <w:widowControl/>
              <w:spacing w:line="240" w:lineRule="auto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公路网密度（公里/百平方公里）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663576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80</w:t>
            </w:r>
          </w:p>
        </w:tc>
        <w:tc>
          <w:tcPr>
            <w:tcW w:w="772" w:type="pct"/>
            <w:vAlign w:val="center"/>
          </w:tcPr>
          <w:p w14:paraId="681DB639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</w:p>
        </w:tc>
      </w:tr>
      <w:tr w:rsidR="00A06593" w14:paraId="3134F43F" w14:textId="77777777">
        <w:trPr>
          <w:cantSplit/>
          <w:trHeight w:val="20"/>
          <w:jc w:val="center"/>
        </w:trPr>
        <w:tc>
          <w:tcPr>
            <w:tcW w:w="602" w:type="pct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AA016B" w14:textId="77777777" w:rsidR="00A06593" w:rsidRDefault="00A06593">
            <w:pPr>
              <w:spacing w:line="240" w:lineRule="atLeast"/>
              <w:ind w:firstLine="560"/>
              <w:rPr>
                <w:rFonts w:hAnsi="华文仿宋" w:cs="Arial" w:hint="eastAsia"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07051F6B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2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931287" w14:textId="77777777" w:rsidR="00A06593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集中建设区道路网密度（公里/平方公里）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3AA9E6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6.7</w:t>
            </w:r>
          </w:p>
        </w:tc>
        <w:tc>
          <w:tcPr>
            <w:tcW w:w="772" w:type="pct"/>
            <w:vAlign w:val="center"/>
          </w:tcPr>
          <w:p w14:paraId="1094A2C4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</w:p>
        </w:tc>
      </w:tr>
      <w:tr w:rsidR="00A06593" w14:paraId="27E154EA" w14:textId="77777777">
        <w:trPr>
          <w:cantSplit/>
          <w:trHeight w:val="20"/>
          <w:jc w:val="center"/>
        </w:trPr>
        <w:tc>
          <w:tcPr>
            <w:tcW w:w="602" w:type="pct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8AF3D2" w14:textId="77777777" w:rsidR="00A06593" w:rsidRDefault="00A06593">
            <w:pPr>
              <w:spacing w:line="240" w:lineRule="atLeast"/>
              <w:ind w:firstLine="560"/>
              <w:rPr>
                <w:rFonts w:hAnsi="华文仿宋" w:cs="Arial" w:hint="eastAsia"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08B89E74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3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36F7B" w14:textId="77777777" w:rsidR="00A06593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创建“美丽乡村路”（公里）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88305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＞60</w:t>
            </w:r>
          </w:p>
        </w:tc>
        <w:tc>
          <w:tcPr>
            <w:tcW w:w="772" w:type="pct"/>
            <w:vAlign w:val="center"/>
          </w:tcPr>
          <w:p w14:paraId="65C73FA4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</w:p>
        </w:tc>
      </w:tr>
      <w:tr w:rsidR="00A06593" w14:paraId="069EDBF7" w14:textId="77777777">
        <w:trPr>
          <w:cantSplit/>
          <w:trHeight w:val="20"/>
          <w:jc w:val="center"/>
        </w:trPr>
        <w:tc>
          <w:tcPr>
            <w:tcW w:w="602" w:type="pct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8362C9" w14:textId="77777777" w:rsidR="00A06593" w:rsidRDefault="000D2478">
            <w:pPr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绿色</w:t>
            </w:r>
            <w:r>
              <w:rPr>
                <w:rFonts w:hAnsi="华文仿宋" w:cs="Arial" w:hint="eastAsia"/>
                <w:sz w:val="28"/>
                <w:szCs w:val="28"/>
              </w:rPr>
              <w:lastRenderedPageBreak/>
              <w:t>品质</w:t>
            </w:r>
          </w:p>
        </w:tc>
        <w:tc>
          <w:tcPr>
            <w:tcW w:w="431" w:type="pct"/>
            <w:vAlign w:val="center"/>
          </w:tcPr>
          <w:p w14:paraId="6D718153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7B31DB" w14:textId="77777777" w:rsidR="00A06593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绿色出行比例（%）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347D32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78</w:t>
            </w:r>
          </w:p>
        </w:tc>
        <w:tc>
          <w:tcPr>
            <w:tcW w:w="772" w:type="pct"/>
            <w:vAlign w:val="center"/>
          </w:tcPr>
          <w:p w14:paraId="0BB3AA74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</w:p>
        </w:tc>
      </w:tr>
      <w:tr w:rsidR="00A06593" w14:paraId="3052DF81" w14:textId="77777777">
        <w:trPr>
          <w:cantSplit/>
          <w:trHeight w:val="20"/>
          <w:jc w:val="center"/>
        </w:trPr>
        <w:tc>
          <w:tcPr>
            <w:tcW w:w="602" w:type="pct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695292" w14:textId="77777777" w:rsidR="00A06593" w:rsidRDefault="00A06593">
            <w:pPr>
              <w:spacing w:line="240" w:lineRule="atLeast"/>
              <w:ind w:firstLineChars="0" w:firstLine="0"/>
              <w:rPr>
                <w:rFonts w:hAnsi="华文仿宋" w:cs="Arial" w:hint="eastAsia"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3E917B96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5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3F0D72" w14:textId="77777777" w:rsidR="00A06593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新城集中建设区公交站点500米半径覆盖（%）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F3B419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95</w:t>
            </w:r>
          </w:p>
        </w:tc>
        <w:tc>
          <w:tcPr>
            <w:tcW w:w="772" w:type="pct"/>
            <w:vAlign w:val="center"/>
          </w:tcPr>
          <w:p w14:paraId="3750C2ED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</w:p>
        </w:tc>
      </w:tr>
      <w:tr w:rsidR="00A06593" w14:paraId="38D58EC4" w14:textId="77777777">
        <w:trPr>
          <w:cantSplit/>
          <w:trHeight w:val="20"/>
          <w:jc w:val="center"/>
        </w:trPr>
        <w:tc>
          <w:tcPr>
            <w:tcW w:w="602" w:type="pct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5536CB" w14:textId="77777777" w:rsidR="00A06593" w:rsidRDefault="00A06593">
            <w:pPr>
              <w:spacing w:line="240" w:lineRule="atLeast"/>
              <w:ind w:firstLineChars="0" w:firstLine="0"/>
              <w:rPr>
                <w:rFonts w:hAnsi="华文仿宋" w:cs="Arial" w:hint="eastAsia"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3E240F45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6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6A97EC" w14:textId="77777777" w:rsidR="00A06593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50米内公交接驳的轨道站点比例（%）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2E1A4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100</w:t>
            </w:r>
          </w:p>
        </w:tc>
        <w:tc>
          <w:tcPr>
            <w:tcW w:w="772" w:type="pct"/>
            <w:vAlign w:val="center"/>
          </w:tcPr>
          <w:p w14:paraId="12A75787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</w:p>
        </w:tc>
      </w:tr>
      <w:tr w:rsidR="00A06593" w14:paraId="3FC1CB24" w14:textId="77777777">
        <w:trPr>
          <w:cantSplit/>
          <w:trHeight w:val="20"/>
          <w:jc w:val="center"/>
        </w:trPr>
        <w:tc>
          <w:tcPr>
            <w:tcW w:w="602" w:type="pct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D2BBEF" w14:textId="77777777" w:rsidR="00A06593" w:rsidRDefault="00A06593">
            <w:pPr>
              <w:spacing w:line="240" w:lineRule="atLeast"/>
              <w:ind w:firstLine="560"/>
              <w:rPr>
                <w:rFonts w:hAnsi="华文仿宋" w:cs="Arial" w:hint="eastAsia"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7680ABA5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7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45C177" w14:textId="77777777" w:rsidR="00A06593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新增公交场站（处）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1BDB0F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8</w:t>
            </w:r>
          </w:p>
        </w:tc>
        <w:tc>
          <w:tcPr>
            <w:tcW w:w="772" w:type="pct"/>
            <w:vAlign w:val="center"/>
          </w:tcPr>
          <w:p w14:paraId="43AF8659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</w:p>
        </w:tc>
      </w:tr>
      <w:tr w:rsidR="00A06593" w14:paraId="488DB32E" w14:textId="77777777">
        <w:trPr>
          <w:cantSplit/>
          <w:trHeight w:val="20"/>
          <w:jc w:val="center"/>
        </w:trPr>
        <w:tc>
          <w:tcPr>
            <w:tcW w:w="602" w:type="pct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9AF082" w14:textId="77777777" w:rsidR="00A06593" w:rsidRDefault="00A06593">
            <w:pPr>
              <w:spacing w:line="240" w:lineRule="atLeast"/>
              <w:ind w:firstLine="560"/>
              <w:rPr>
                <w:rFonts w:hAnsi="华文仿宋" w:cs="Arial" w:hint="eastAsia"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3B096931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8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155EF4" w14:textId="77777777" w:rsidR="00A06593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新增建设绿道（公里）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E8B4E6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＞50</w:t>
            </w:r>
          </w:p>
        </w:tc>
        <w:tc>
          <w:tcPr>
            <w:tcW w:w="772" w:type="pct"/>
            <w:vAlign w:val="center"/>
          </w:tcPr>
          <w:p w14:paraId="1B709195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</w:p>
        </w:tc>
      </w:tr>
      <w:tr w:rsidR="00A06593" w14:paraId="246F7127" w14:textId="77777777">
        <w:trPr>
          <w:cantSplit/>
          <w:trHeight w:val="20"/>
          <w:jc w:val="center"/>
        </w:trPr>
        <w:tc>
          <w:tcPr>
            <w:tcW w:w="602" w:type="pct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1FD26F" w14:textId="77777777" w:rsidR="00A06593" w:rsidRDefault="00A06593">
            <w:pPr>
              <w:spacing w:line="240" w:lineRule="atLeast"/>
              <w:ind w:firstLine="560"/>
              <w:rPr>
                <w:rFonts w:hAnsi="华文仿宋" w:cs="Arial" w:hint="eastAsia"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02D8EDA8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9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21E6EC" w14:textId="77777777" w:rsidR="00A06593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新建、扩建和改建交通设施无障碍达标率（%）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A4E1F9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100</w:t>
            </w:r>
          </w:p>
        </w:tc>
        <w:tc>
          <w:tcPr>
            <w:tcW w:w="772" w:type="pct"/>
            <w:vAlign w:val="center"/>
          </w:tcPr>
          <w:p w14:paraId="327DF010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bookmarkStart w:id="53" w:name="OLE_LINK6"/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  <w:bookmarkEnd w:id="53"/>
          </w:p>
        </w:tc>
      </w:tr>
      <w:tr w:rsidR="00A06593" w14:paraId="78CEA2A4" w14:textId="77777777">
        <w:trPr>
          <w:cantSplit/>
          <w:trHeight w:val="20"/>
          <w:jc w:val="center"/>
        </w:trPr>
        <w:tc>
          <w:tcPr>
            <w:tcW w:w="602" w:type="pct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54A8C0" w14:textId="77777777" w:rsidR="00A06593" w:rsidRDefault="00A06593">
            <w:pPr>
              <w:widowControl/>
              <w:spacing w:line="240" w:lineRule="atLeast"/>
              <w:ind w:firstLineChars="0" w:firstLine="0"/>
              <w:rPr>
                <w:rFonts w:hAnsi="华文仿宋" w:cs="Arial" w:hint="eastAsia"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64DAC7CE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10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025EB" w14:textId="77777777" w:rsidR="00A06593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新能源货运车辆比例（%）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2B7A6B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23.27</w:t>
            </w:r>
          </w:p>
        </w:tc>
        <w:tc>
          <w:tcPr>
            <w:tcW w:w="772" w:type="pct"/>
            <w:vAlign w:val="center"/>
          </w:tcPr>
          <w:p w14:paraId="610430BD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</w:p>
        </w:tc>
      </w:tr>
      <w:tr w:rsidR="00A06593" w14:paraId="124DDD6A" w14:textId="77777777">
        <w:trPr>
          <w:cantSplit/>
          <w:trHeight w:val="20"/>
          <w:jc w:val="center"/>
        </w:trPr>
        <w:tc>
          <w:tcPr>
            <w:tcW w:w="602" w:type="pct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426192" w14:textId="77777777" w:rsidR="00A06593" w:rsidRDefault="00A06593">
            <w:pPr>
              <w:widowControl/>
              <w:spacing w:line="240" w:lineRule="atLeast"/>
              <w:ind w:firstLineChars="0" w:firstLine="0"/>
              <w:rPr>
                <w:rFonts w:hAnsi="华文仿宋" w:cs="Arial" w:hint="eastAsia"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4FA5D868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11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BFABB" w14:textId="77777777" w:rsidR="00A06593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 w:rsidRPr="000E5E57">
              <w:rPr>
                <w:rFonts w:hAnsi="华文仿宋" w:cs="Arial" w:hint="eastAsia"/>
                <w:sz w:val="28"/>
                <w:szCs w:val="28"/>
              </w:rPr>
              <w:t>新能源客运车辆比例（%）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7E8F74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 w:rsidRPr="000E5E57">
              <w:rPr>
                <w:rFonts w:hAnsi="华文仿宋" w:cs="Arial" w:hint="eastAsia"/>
                <w:sz w:val="28"/>
                <w:szCs w:val="28"/>
              </w:rPr>
              <w:t>90</w:t>
            </w:r>
          </w:p>
        </w:tc>
        <w:tc>
          <w:tcPr>
            <w:tcW w:w="772" w:type="pct"/>
            <w:vAlign w:val="center"/>
          </w:tcPr>
          <w:p w14:paraId="7F5245D4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</w:p>
        </w:tc>
      </w:tr>
      <w:tr w:rsidR="00A06593" w14:paraId="7D072F56" w14:textId="77777777">
        <w:trPr>
          <w:cantSplit/>
          <w:trHeight w:val="20"/>
          <w:jc w:val="center"/>
        </w:trPr>
        <w:tc>
          <w:tcPr>
            <w:tcW w:w="602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3E7AD" w14:textId="77777777" w:rsidR="00A06593" w:rsidRDefault="000D2478">
            <w:pPr>
              <w:widowControl/>
              <w:spacing w:line="240" w:lineRule="atLeast"/>
              <w:ind w:firstLineChars="0" w:firstLine="0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安全韧性</w:t>
            </w:r>
          </w:p>
        </w:tc>
        <w:tc>
          <w:tcPr>
            <w:tcW w:w="431" w:type="pct"/>
            <w:vAlign w:val="center"/>
          </w:tcPr>
          <w:p w14:paraId="724BAC37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12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AA80C" w14:textId="77777777" w:rsidR="00A06593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道路交通事故死亡人数下降比例（%）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ADCE1F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3</w:t>
            </w:r>
          </w:p>
        </w:tc>
        <w:tc>
          <w:tcPr>
            <w:tcW w:w="772" w:type="pct"/>
            <w:vAlign w:val="center"/>
          </w:tcPr>
          <w:p w14:paraId="77C9351A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约束性</w:t>
            </w:r>
          </w:p>
        </w:tc>
      </w:tr>
      <w:tr w:rsidR="00A06593" w14:paraId="219BBA86" w14:textId="77777777">
        <w:trPr>
          <w:cantSplit/>
          <w:trHeight w:val="20"/>
          <w:jc w:val="center"/>
        </w:trPr>
        <w:tc>
          <w:tcPr>
            <w:tcW w:w="602" w:type="pct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AFF10D" w14:textId="77777777" w:rsidR="00A06593" w:rsidRDefault="000D2478">
            <w:pPr>
              <w:widowControl/>
              <w:spacing w:line="240" w:lineRule="atLeast"/>
              <w:ind w:firstLineChars="0" w:firstLine="0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治理效能</w:t>
            </w:r>
          </w:p>
        </w:tc>
        <w:tc>
          <w:tcPr>
            <w:tcW w:w="431" w:type="pct"/>
            <w:vAlign w:val="center"/>
          </w:tcPr>
          <w:p w14:paraId="53BF4E79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13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324E1F" w14:textId="77777777" w:rsidR="00A06593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新增治超非现场称重点位（处）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EBF71E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2</w:t>
            </w:r>
          </w:p>
        </w:tc>
        <w:tc>
          <w:tcPr>
            <w:tcW w:w="772" w:type="pct"/>
            <w:vAlign w:val="center"/>
          </w:tcPr>
          <w:p w14:paraId="20741D7B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</w:p>
        </w:tc>
      </w:tr>
      <w:tr w:rsidR="00A06593" w14:paraId="0BE1F936" w14:textId="77777777">
        <w:trPr>
          <w:cantSplit/>
          <w:trHeight w:val="20"/>
          <w:jc w:val="center"/>
        </w:trPr>
        <w:tc>
          <w:tcPr>
            <w:tcW w:w="602" w:type="pct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4F5B0D" w14:textId="77777777" w:rsidR="00A06593" w:rsidRDefault="00A06593">
            <w:pPr>
              <w:widowControl/>
              <w:spacing w:line="240" w:lineRule="atLeast"/>
              <w:ind w:firstLineChars="0" w:firstLine="0"/>
              <w:rPr>
                <w:rFonts w:hAnsi="华文仿宋" w:cs="Arial" w:hint="eastAsia"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756500A6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14</w:t>
            </w:r>
          </w:p>
        </w:tc>
        <w:tc>
          <w:tcPr>
            <w:tcW w:w="21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D6D51E" w14:textId="77777777" w:rsidR="00A06593" w:rsidRPr="000E5E57" w:rsidRDefault="000D2478">
            <w:pPr>
              <w:widowControl/>
              <w:spacing w:line="240" w:lineRule="atLeast"/>
              <w:ind w:firstLineChars="0" w:firstLine="0"/>
              <w:jc w:val="left"/>
              <w:rPr>
                <w:rFonts w:hAnsi="华文仿宋" w:cs="Arial" w:hint="eastAsia"/>
                <w:sz w:val="28"/>
                <w:szCs w:val="28"/>
              </w:rPr>
            </w:pPr>
            <w:r w:rsidRPr="000E5E57">
              <w:rPr>
                <w:rFonts w:hAnsi="华文仿宋" w:cs="Arial" w:hint="eastAsia"/>
                <w:sz w:val="28"/>
                <w:szCs w:val="28"/>
              </w:rPr>
              <w:t>新增建设综合检查站（处）</w:t>
            </w:r>
          </w:p>
        </w:tc>
        <w:tc>
          <w:tcPr>
            <w:tcW w:w="103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BAC0A1" w14:textId="77777777" w:rsidR="00A06593" w:rsidRDefault="000D2478" w:rsidP="000E5E57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 w:rsidRPr="000E5E57">
              <w:rPr>
                <w:rFonts w:hAnsi="华文仿宋" w:cs="Arial" w:hint="eastAsia"/>
                <w:sz w:val="28"/>
                <w:szCs w:val="28"/>
              </w:rPr>
              <w:t>3</w:t>
            </w:r>
          </w:p>
        </w:tc>
        <w:tc>
          <w:tcPr>
            <w:tcW w:w="772" w:type="pct"/>
            <w:vAlign w:val="center"/>
          </w:tcPr>
          <w:p w14:paraId="617CCD6F" w14:textId="77777777" w:rsidR="00A06593" w:rsidRDefault="000D2478">
            <w:pPr>
              <w:widowControl/>
              <w:spacing w:line="240" w:lineRule="atLeast"/>
              <w:ind w:firstLineChars="0" w:firstLine="0"/>
              <w:jc w:val="center"/>
              <w:rPr>
                <w:rFonts w:hAnsi="华文仿宋" w:cs="Arial" w:hint="eastAsia"/>
                <w:sz w:val="28"/>
                <w:szCs w:val="28"/>
              </w:rPr>
            </w:pPr>
            <w:r>
              <w:rPr>
                <w:rFonts w:hAnsi="华文仿宋" w:cs="Arial" w:hint="eastAsia"/>
                <w:sz w:val="28"/>
                <w:szCs w:val="28"/>
              </w:rPr>
              <w:t>预期性</w:t>
            </w:r>
          </w:p>
        </w:tc>
      </w:tr>
    </w:tbl>
    <w:p w14:paraId="772256F1" w14:textId="77777777" w:rsidR="00A06593" w:rsidRDefault="00A06593">
      <w:pPr>
        <w:pStyle w:val="a0"/>
        <w:ind w:firstLineChars="0" w:firstLine="0"/>
        <w:jc w:val="center"/>
      </w:pPr>
    </w:p>
    <w:p w14:paraId="7B6E62F1" w14:textId="77777777" w:rsidR="00A06593" w:rsidRDefault="000D2478">
      <w:pPr>
        <w:topLinePunct/>
        <w:spacing w:line="360" w:lineRule="auto"/>
        <w:ind w:firstLineChars="0" w:firstLine="0"/>
        <w:jc w:val="center"/>
        <w:outlineLvl w:val="0"/>
        <w:rPr>
          <w:rFonts w:eastAsia="方正小标宋简体" w:cs="方正小标宋简体"/>
          <w:spacing w:val="-20"/>
          <w:sz w:val="44"/>
          <w:szCs w:val="44"/>
        </w:rPr>
      </w:pPr>
      <w:r>
        <w:rPr>
          <w:rFonts w:eastAsia="方正小标宋简体" w:cs="方正小标宋简体"/>
          <w:sz w:val="44"/>
          <w:szCs w:val="44"/>
        </w:rPr>
        <w:br w:type="page"/>
      </w:r>
      <w:bookmarkStart w:id="54" w:name="_Toc237876388"/>
      <w:bookmarkStart w:id="55" w:name="OLE_LINK4"/>
      <w:bookmarkStart w:id="56" w:name="OLE_LINK22"/>
      <w:bookmarkStart w:id="57" w:name="_Hlk201689345"/>
      <w:bookmarkStart w:id="58" w:name="OLE_LINK21"/>
      <w:r>
        <w:rPr>
          <w:rFonts w:eastAsia="方正小标宋简体" w:cs="方正小标宋简体" w:hint="eastAsia"/>
          <w:spacing w:val="-20"/>
          <w:sz w:val="44"/>
          <w:szCs w:val="44"/>
        </w:rPr>
        <w:lastRenderedPageBreak/>
        <w:t>三、提升</w:t>
      </w:r>
      <w:r>
        <w:rPr>
          <w:rFonts w:eastAsia="方正小标宋简体" w:cs="方正小标宋简体"/>
          <w:spacing w:val="-20"/>
          <w:sz w:val="44"/>
          <w:szCs w:val="44"/>
        </w:rPr>
        <w:t>综合性国家科学中心</w:t>
      </w:r>
      <w:r>
        <w:rPr>
          <w:rFonts w:eastAsia="方正小标宋简体" w:cs="方正小标宋简体" w:hint="eastAsia"/>
          <w:spacing w:val="-20"/>
          <w:sz w:val="44"/>
          <w:szCs w:val="44"/>
        </w:rPr>
        <w:t>交通保障能力</w:t>
      </w:r>
      <w:bookmarkEnd w:id="54"/>
    </w:p>
    <w:p w14:paraId="54D6C072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rPr>
          <w:rFonts w:ascii="楷体" w:eastAsia="楷体" w:hAnsi="楷体" w:cs="Times New Roman" w:hint="eastAsia"/>
          <w:bCs w:val="0"/>
          <w:kern w:val="0"/>
        </w:rPr>
      </w:pPr>
      <w:bookmarkStart w:id="59" w:name="_Toc237876389"/>
      <w:r>
        <w:rPr>
          <w:rFonts w:ascii="楷体" w:eastAsia="楷体" w:hAnsi="楷体" w:cs="Times New Roman" w:hint="eastAsia"/>
          <w:bCs w:val="0"/>
          <w:kern w:val="0"/>
        </w:rPr>
        <w:t>（一）锚定科创战略定位，打造对外骨干交通廊道</w:t>
      </w:r>
      <w:bookmarkEnd w:id="59"/>
    </w:p>
    <w:p w14:paraId="4DA1A9DC" w14:textId="77777777" w:rsidR="00A06593" w:rsidRDefault="000D2478">
      <w:pPr>
        <w:ind w:firstLine="643"/>
        <w:rPr>
          <w:b/>
          <w:bCs/>
        </w:rPr>
      </w:pPr>
      <w:r>
        <w:rPr>
          <w:rFonts w:hint="eastAsia"/>
          <w:b/>
          <w:bCs/>
        </w:rPr>
        <w:t>辐射全国全球，搭建对外开放科创通道。</w:t>
      </w:r>
      <w:r>
        <w:rPr>
          <w:rFonts w:hint="eastAsia"/>
        </w:rPr>
        <w:t>完成京密高速三期（怀柔段）和国道101(六环路至西统路段)局部改建工程，强化科学城至首都国际机场及中心城区通勤通行效能。统筹盘活既有铁路存量资源，推进怀密线改造，推动国铁集团加快通密线通勤化改造，推动京哈铁路优化运营模式，实现与北京北站、朝阳站、通州西站等重点场站高效快速联通，全面增强科学城面向全国、联通全球的辐射集聚能力。</w:t>
      </w:r>
    </w:p>
    <w:p w14:paraId="4DFE2B99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跨域联动，主动融入京津冀协同发展大局。</w:t>
      </w:r>
      <w:r>
        <w:rPr>
          <w:rFonts w:hint="eastAsia"/>
        </w:rPr>
        <w:t>落实首都都市圈与京津冀协同发展要求，主动发挥区域功能性节点引领作用，研究谋划科学城与雄安新区、滨海新区快速联络通道，打造高效互通、科创赋能的跨区域科创交通廊道，以交通先行引领区域科创协同高质量发展。</w:t>
      </w:r>
    </w:p>
    <w:p w14:paraId="2ADB5BC8" w14:textId="77777777" w:rsidR="00A06593" w:rsidRDefault="000D2478">
      <w:pPr>
        <w:ind w:firstLine="643"/>
        <w:rPr>
          <w:highlight w:val="yellow"/>
        </w:rPr>
      </w:pPr>
      <w:r>
        <w:rPr>
          <w:rFonts w:hint="eastAsia"/>
          <w:b/>
          <w:bCs/>
        </w:rPr>
        <w:t>畅联主城，强化与中心城快速互联互通。</w:t>
      </w:r>
      <w:r>
        <w:rPr>
          <w:rFonts w:hint="eastAsia"/>
        </w:rPr>
        <w:t>推动既有市郊铁路通勤化改造的同时，开展铁路客北环线与科学城会都支线项目前期工作，预留与京哈高铁、S6线的衔接条件。开展东部发展带联络线北段高速公路前期研究，依托通道实现与北京城市副中心、京哈高速、京沪高速快速直连，进一步强化跨区域交通联动效能。</w:t>
      </w:r>
    </w:p>
    <w:p w14:paraId="3C5CE145" w14:textId="77777777" w:rsidR="00A06593" w:rsidRDefault="000D2478">
      <w:pPr>
        <w:ind w:firstLine="643"/>
      </w:pPr>
      <w:r>
        <w:rPr>
          <w:rFonts w:hint="eastAsia"/>
          <w:b/>
          <w:bCs/>
        </w:rPr>
        <w:t>跨区联通，加密周边重点区域通勤廊道</w:t>
      </w:r>
      <w:r>
        <w:rPr>
          <w:rFonts w:hint="eastAsia"/>
        </w:rPr>
        <w:t>。聚焦科创通勤痛点，全面缩短科学城与城市副中心、海淀、顺义、昌平、密云等多方向跨区通行时间。谋划研究科学城与海淀中关村直连轨道方案。发挥轨道引领城市发展作用，怀柔站片区研</w:t>
      </w:r>
      <w:r>
        <w:rPr>
          <w:rFonts w:hint="eastAsia"/>
        </w:rPr>
        <w:lastRenderedPageBreak/>
        <w:t>究推动TOD一体化站城融合发展，建设城市轨道“微中心”。持续完善轨道交通接驳服务，开行快速接驳公交线路，扩大市郊铁路吸引范围，提高通勤人员整体出行时效。</w:t>
      </w:r>
    </w:p>
    <w:p w14:paraId="523AF732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rPr>
          <w:rFonts w:ascii="楷体" w:eastAsia="楷体" w:hAnsi="楷体" w:cs="Times New Roman" w:hint="eastAsia"/>
          <w:bCs w:val="0"/>
          <w:kern w:val="0"/>
        </w:rPr>
      </w:pPr>
      <w:bookmarkStart w:id="60" w:name="_Toc237876390"/>
      <w:r>
        <w:rPr>
          <w:rFonts w:ascii="楷体" w:eastAsia="楷体" w:hAnsi="楷体" w:cs="Times New Roman" w:hint="eastAsia"/>
          <w:bCs w:val="0"/>
          <w:kern w:val="0"/>
        </w:rPr>
        <w:t>（二）打通组团联络通道，优化科学城内部路网体系</w:t>
      </w:r>
      <w:bookmarkEnd w:id="60"/>
    </w:p>
    <w:p w14:paraId="3B2A1EEB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组团互通，强化片区联动发展。</w:t>
      </w:r>
      <w:r>
        <w:rPr>
          <w:rFonts w:hint="eastAsia"/>
        </w:rPr>
        <w:t>畅通科学城与老城联系通道，深化惠民街、府前街东延等东西向主干路贯通方案研究，缩短双向通行时长。强化科学城与国际会都互联互通，提速范各庄路西延建设。优化中国影都至科学城通行条件，实施中高路提档升级。</w:t>
      </w:r>
    </w:p>
    <w:p w14:paraId="59F0EA79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城内提质，优化内部路网布局。</w:t>
      </w:r>
      <w:r>
        <w:rPr>
          <w:rFonts w:hint="eastAsia"/>
        </w:rPr>
        <w:t>加密科学城中心区与东区路网，加快实施雁密路、密新路、新峰街东延工程。实施北大街东延，统筹推进沙河西路、雁栖南四街、乐园大街、高端仪器周边支路、101东侧路等配套道路实施。提前研究推动科学城南区04街区两河东路、怀安北一街道路建设。</w:t>
      </w:r>
    </w:p>
    <w:p w14:paraId="0A5FFA47" w14:textId="77777777" w:rsidR="00A06593" w:rsidRDefault="000D2478">
      <w:pPr>
        <w:pStyle w:val="a0"/>
        <w:ind w:firstLine="640"/>
      </w:pPr>
      <w:r>
        <w:br w:type="page"/>
      </w:r>
    </w:p>
    <w:p w14:paraId="1F1132DD" w14:textId="77777777" w:rsidR="00A06593" w:rsidRDefault="000D2478">
      <w:pPr>
        <w:topLinePunct/>
        <w:spacing w:line="360" w:lineRule="auto"/>
        <w:ind w:firstLineChars="0" w:firstLine="0"/>
        <w:jc w:val="center"/>
        <w:outlineLvl w:val="0"/>
        <w:rPr>
          <w:rFonts w:eastAsia="方正小标宋简体" w:cs="方正小标宋简体"/>
          <w:sz w:val="44"/>
          <w:szCs w:val="44"/>
        </w:rPr>
      </w:pPr>
      <w:bookmarkStart w:id="61" w:name="_Toc237876391"/>
      <w:r>
        <w:rPr>
          <w:rFonts w:eastAsia="方正小标宋简体" w:cs="方正小标宋简体" w:hint="eastAsia"/>
          <w:sz w:val="44"/>
          <w:szCs w:val="44"/>
        </w:rPr>
        <w:lastRenderedPageBreak/>
        <w:t>四、提升全域路网衔接通达水平</w:t>
      </w:r>
      <w:bookmarkEnd w:id="61"/>
    </w:p>
    <w:p w14:paraId="71D8FD2F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62" w:name="_Toc237876392"/>
      <w:r>
        <w:rPr>
          <w:rFonts w:ascii="楷体" w:eastAsia="楷体" w:hAnsi="楷体" w:cs="Times New Roman" w:hint="eastAsia"/>
          <w:bCs w:val="0"/>
          <w:kern w:val="0"/>
        </w:rPr>
        <w:t>（一）织密各组团内部路网，畅通城市交通微循环</w:t>
      </w:r>
      <w:bookmarkEnd w:id="62"/>
    </w:p>
    <w:p w14:paraId="2C75D70E" w14:textId="77777777" w:rsidR="00A06593" w:rsidRDefault="000D2478">
      <w:pPr>
        <w:pStyle w:val="a0"/>
        <w:ind w:firstLine="640"/>
      </w:pPr>
      <w:r>
        <w:rPr>
          <w:rFonts w:hint="eastAsia"/>
        </w:rPr>
        <w:t>围绕雁栖湖站、怀柔北站、怀柔南站，加快完善轨道周边配套路网规划建设，提高轨道交通与各组团的接驳效率。全面提升会都片区交通承载能力，完成慕莲路建成通车，加快推动环湖岸线贯通。强化中国影都内外交通网络衔接，推动祥瑞路东延道路建设，研究鹤鸣路、怀耿路（凤翔公园-鹤鸣路）等内部路网建设，推动新城南路建设，强化与庙城片区的连接。完成怀柔新城14街区棚户区改造配套创业街改造工程，实施刘各长村1号路等区域微循环道路建设，加密区域次支路微循环网络。同步谋划老城区青春路南延等道路项目，构建四通八达的内部微循环路网体系。</w:t>
      </w:r>
    </w:p>
    <w:p w14:paraId="3FC80BFA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rPr>
          <w:rFonts w:ascii="楷体" w:eastAsia="楷体" w:hAnsi="楷体" w:cs="Times New Roman" w:hint="eastAsia"/>
          <w:bCs w:val="0"/>
          <w:kern w:val="0"/>
        </w:rPr>
      </w:pPr>
      <w:bookmarkStart w:id="63" w:name="_Toc237876393"/>
      <w:r>
        <w:rPr>
          <w:rFonts w:ascii="楷体" w:eastAsia="楷体" w:hAnsi="楷体" w:cs="Times New Roman" w:hint="eastAsia"/>
          <w:bCs w:val="0"/>
          <w:kern w:val="0"/>
        </w:rPr>
        <w:t>（二）</w:t>
      </w:r>
      <w:r>
        <w:rPr>
          <w:rFonts w:ascii="楷体" w:eastAsia="楷体" w:hAnsi="楷体" w:cs="Times New Roman" w:hint="eastAsia"/>
          <w:kern w:val="0"/>
        </w:rPr>
        <w:t>统筹城乡区域一体衔接，推动山区路网结构转型</w:t>
      </w:r>
      <w:bookmarkEnd w:id="63"/>
    </w:p>
    <w:p w14:paraId="78805221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完善城乡干线公路建设。</w:t>
      </w:r>
      <w:r>
        <w:rPr>
          <w:rFonts w:hint="eastAsia"/>
        </w:rPr>
        <w:t>实现G335道路工程、G111一期完工通车，加快推进G234、天北路北延二期道路工程，推动国道G111新线工程（安四路）。研究谋划国道G111（汤河口至市界段）道路改造提升工程，优化道路线形、完善配套设施，强化北部山区与延庆、密云、河北的联通能力。研究汤河口检查站外迁，优化过境车流查验组织，提升干线通道通行效率。</w:t>
      </w:r>
    </w:p>
    <w:p w14:paraId="6DDBB3CC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推动山区公路由“鱼骨形”路网向“网络型”路网转变。</w:t>
      </w:r>
      <w:r>
        <w:rPr>
          <w:rFonts w:hint="eastAsia"/>
        </w:rPr>
        <w:t>统筹优化山区交通基础设施布局，北部山区依托既有路网骨架贯通怀黄路-范崎路-宝崎路-宝碾路、京加路-通怀路-杨雁路两条南北向交通动脉。浅山区依托黄渤路、慕莲路、科</w:t>
      </w:r>
      <w:r>
        <w:rPr>
          <w:rFonts w:hint="eastAsia"/>
        </w:rPr>
        <w:lastRenderedPageBreak/>
        <w:t>雁路，实现四条沟域联通，构建路网环线。稳步完成慕莲路建设，推动宝崎路、黄渤路道路工程建设。推动范崎路提级改造工程，研究统筹优化范崎路整体通行条件，对通行瓶颈路段按需研判、必要时研究谋划新增替代路由，以穿山取直、局部绕行重塑道路线位，形成北部山区第二条纵向通道。</w:t>
      </w:r>
    </w:p>
    <w:p w14:paraId="208D8409" w14:textId="77777777" w:rsidR="00A06593" w:rsidRDefault="00A06593">
      <w:pPr>
        <w:pStyle w:val="a0"/>
        <w:ind w:firstLine="640"/>
      </w:pPr>
    </w:p>
    <w:p w14:paraId="700F0889" w14:textId="77777777" w:rsidR="00A06593" w:rsidRDefault="00A06593">
      <w:pPr>
        <w:pStyle w:val="a0"/>
        <w:ind w:firstLine="640"/>
      </w:pPr>
    </w:p>
    <w:p w14:paraId="0BC7639D" w14:textId="77777777" w:rsidR="00A06593" w:rsidRDefault="000D2478">
      <w:pPr>
        <w:widowControl/>
        <w:spacing w:line="240" w:lineRule="auto"/>
        <w:ind w:firstLineChars="0" w:firstLine="0"/>
        <w:jc w:val="left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/>
          <w:sz w:val="44"/>
          <w:szCs w:val="44"/>
        </w:rPr>
        <w:br w:type="page"/>
      </w:r>
    </w:p>
    <w:p w14:paraId="7B452A9D" w14:textId="77777777" w:rsidR="00A06593" w:rsidRDefault="000D2478">
      <w:pPr>
        <w:topLinePunct/>
        <w:spacing w:line="360" w:lineRule="auto"/>
        <w:ind w:firstLineChars="0" w:firstLine="0"/>
        <w:jc w:val="center"/>
        <w:outlineLvl w:val="0"/>
        <w:rPr>
          <w:rFonts w:eastAsia="方正小标宋简体" w:cs="方正小标宋简体"/>
          <w:sz w:val="44"/>
          <w:szCs w:val="44"/>
        </w:rPr>
      </w:pPr>
      <w:bookmarkStart w:id="64" w:name="_Toc237876394"/>
      <w:r>
        <w:rPr>
          <w:rFonts w:eastAsia="方正小标宋简体" w:cs="方正小标宋简体" w:hint="eastAsia"/>
          <w:sz w:val="44"/>
          <w:szCs w:val="44"/>
        </w:rPr>
        <w:lastRenderedPageBreak/>
        <w:t>五、提升交通行业绿色融合发展质量</w:t>
      </w:r>
      <w:bookmarkEnd w:id="64"/>
    </w:p>
    <w:p w14:paraId="2780CC29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65" w:name="_Toc237876395"/>
      <w:r>
        <w:rPr>
          <w:rFonts w:ascii="楷体" w:eastAsia="楷体" w:hAnsi="楷体" w:cs="Times New Roman" w:hint="eastAsia"/>
          <w:bCs w:val="0"/>
          <w:kern w:val="0"/>
        </w:rPr>
        <w:t>（一）优化公交线网布局，推动场站建设</w:t>
      </w:r>
      <w:bookmarkEnd w:id="65"/>
    </w:p>
    <w:p w14:paraId="132515F1" w14:textId="77777777" w:rsidR="00A06593" w:rsidRDefault="000D2478">
      <w:pPr>
        <w:pStyle w:val="a0"/>
        <w:ind w:firstLine="643"/>
        <w:rPr>
          <w:highlight w:val="yellow"/>
        </w:rPr>
      </w:pPr>
      <w:r>
        <w:rPr>
          <w:rFonts w:hint="eastAsia"/>
          <w:b/>
          <w:bCs/>
        </w:rPr>
        <w:t>持续完善公交线网。</w:t>
      </w:r>
      <w:bookmarkStart w:id="66" w:name="_Hlk233894713"/>
      <w:r>
        <w:rPr>
          <w:rFonts w:hint="eastAsia"/>
        </w:rPr>
        <w:t>一是开展《公交线网优化专项研究》，为全域公交网络提质升级提供科学支撑。二是聚焦城市新建居住区与重点功能片区，扩大公交服务覆盖。针对星悦雅苑等新建居住区，同步配套开通公交线路，保障居民基础出行需求。重点优化科学城公交配套，新开直达未来科学城、海淀等重点科创片区的快速通勤线路；搭建片区公交微循环线路，串联院所、住宅、商超等功能节点，实现内部便捷接驳。三是构建与中心城区“</w:t>
      </w:r>
      <w:r>
        <w:t>1</w:t>
      </w:r>
      <w:r>
        <w:rPr>
          <w:rFonts w:hint="eastAsia"/>
        </w:rPr>
        <w:t>小时”快速公交体系。依托京密路三期与公交枢纽站建设完成，开设怀柔城区与中心城快速直达公交专线。聚焦中心城区、城市副中心、17号轨道线等重点客流方向，提质优化916路、快速直达专线8路等骨干公交线路，强化区域联动，满足群众通勤、商务、旅游等多元出行需求。四是动态优化区内公交线网布局。结合电影学院周边改造提升等片区发展实际，动态优化调整常规公交线路，适配区域出行变化。结合北部山区客流出行特征，依据客流需求统筹整合山区线路，实现公交服务精细覆盖。五是提供多元化特色公交服务。贴合科学城科创人才出行需求，动态新增、优化定制班车线路。</w:t>
      </w:r>
      <w:bookmarkEnd w:id="66"/>
      <w:r>
        <w:rPr>
          <w:rFonts w:hint="eastAsia"/>
        </w:rPr>
        <w:t>立足客流实际需求，探索发展需求响应式公交模式，推动公交运力按需调配。</w:t>
      </w:r>
    </w:p>
    <w:p w14:paraId="10C77840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优化场站布局。</w:t>
      </w:r>
      <w:r>
        <w:rPr>
          <w:rFonts w:hint="eastAsia"/>
        </w:rPr>
        <w:t>完成杨宋镇公交首末站等8个公交场站建设，推动刘各长村公交首末站、庙城公交中心站落实规划。</w:t>
      </w:r>
    </w:p>
    <w:p w14:paraId="4F5CDD7B" w14:textId="77777777" w:rsidR="00A06593" w:rsidRDefault="000D2478">
      <w:pPr>
        <w:pStyle w:val="a0"/>
        <w:ind w:firstLineChars="0" w:firstLine="0"/>
      </w:pPr>
      <w:r>
        <w:rPr>
          <w:rFonts w:hint="eastAsia"/>
        </w:rPr>
        <w:t>结合空间发展规划与怀柔新城发展需求，研究与轨道交通接</w:t>
      </w:r>
      <w:r>
        <w:rPr>
          <w:rFonts w:hint="eastAsia"/>
        </w:rPr>
        <w:lastRenderedPageBreak/>
        <w:t>驳的枢纽场站建设，并依托新建枢纽场站实现对外与中心城快速联通，强化主城联动，对内服务科学城、国科大及重点景区等核心片区，提升区域客流快速集散效率。根据公交线路变化更新，动态优化、调整区域内公共交通基础设施。探索灵活的公交资源保障方式，在车流量小、位置偏远的路段施划路侧公交停车区，满足驻车需求。推动公交场站“区建企租”建设模式落地实施，推进公交场站综合开发利用，面向社会开放有偿错时共享场站资源。落实花园城市建设理念，推动公交车站绿色升级与景观融合，着力打造兼具生态功能与休憩功能的花园式公交场站。</w:t>
      </w:r>
    </w:p>
    <w:p w14:paraId="38A9944C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67" w:name="_Toc237876396"/>
      <w:r>
        <w:rPr>
          <w:rFonts w:ascii="楷体" w:eastAsia="楷体" w:hAnsi="楷体" w:cs="Times New Roman" w:hint="eastAsia"/>
          <w:bCs w:val="0"/>
          <w:kern w:val="0"/>
        </w:rPr>
        <w:t>（二）完善慢行系统，打造高品质绿色出行环境</w:t>
      </w:r>
      <w:bookmarkEnd w:id="67"/>
    </w:p>
    <w:p w14:paraId="5CAAEE91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提升慢行出行体验，</w:t>
      </w:r>
      <w:r>
        <w:rPr>
          <w:rFonts w:hint="eastAsia"/>
        </w:rPr>
        <w:t>加快慢行交通网络建设，推动会都与雁栖小镇慢行交通系统建设，打造“遇见怀柔”等特色骑行路线，形成“安全便捷、衔接融合、科技智慧、生态宜居”慢行交通系统。通过新建、拓宽人行步道等方式，保障步行空间连续、顺畅，切实保障行人路权。有序清理拆除冗余隔离护栏，结合城市绿化，营造通透、舒适慢行环境。结合老龄化发展实际，开展城市道路人行步道、盲道、公交站台等无障碍设施改进提升，构建全龄友好慢行系统。丰富慢行出行服务供给。增设共享单车投放数量及停靠点位，有序推进试点布局共享电单车，为多样化出行创造便利条件。</w:t>
      </w:r>
    </w:p>
    <w:p w14:paraId="248F0B0B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织密生态慢行绿网。</w:t>
      </w:r>
      <w:r>
        <w:rPr>
          <w:rFonts w:hint="eastAsia"/>
        </w:rPr>
        <w:t>落实市级绿道专项规划，打造浅山区-东南部平原环线绿道（怀柔段）和潮白河绿道（怀柔段）两条市级品质绿道。有序推进环怀柔新城（科学城）绿道落</w:t>
      </w:r>
      <w:r>
        <w:rPr>
          <w:rFonts w:hint="eastAsia"/>
        </w:rPr>
        <w:lastRenderedPageBreak/>
        <w:t>地实施，织密社区级绿道，推动新城绿道连通成网。</w:t>
      </w:r>
      <w:bookmarkStart w:id="68" w:name="OLE_LINK13"/>
      <w:r>
        <w:rPr>
          <w:rFonts w:hint="eastAsia"/>
        </w:rPr>
        <w:t>持续做强慢行赛事品牌，培育全域慢行生活氛围，打造生态宜居慢行休闲示范区，依托山水资源塑造特色户外休闲名片。</w:t>
      </w:r>
    </w:p>
    <w:p w14:paraId="1EA75AB9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69" w:name="_Toc237876397"/>
      <w:bookmarkEnd w:id="68"/>
      <w:r>
        <w:rPr>
          <w:rFonts w:ascii="楷体" w:eastAsia="楷体" w:hAnsi="楷体" w:cs="Times New Roman" w:hint="eastAsia"/>
          <w:bCs w:val="0"/>
          <w:kern w:val="0"/>
        </w:rPr>
        <w:t>（三）完善旅游交通配套，推进交旅融合发展</w:t>
      </w:r>
      <w:bookmarkEnd w:id="69"/>
    </w:p>
    <w:p w14:paraId="155027C1" w14:textId="77777777" w:rsidR="00A06593" w:rsidRDefault="000D2478">
      <w:pPr>
        <w:ind w:firstLine="643"/>
      </w:pPr>
      <w:r>
        <w:rPr>
          <w:rFonts w:hint="eastAsia"/>
          <w:b/>
          <w:bCs/>
        </w:rPr>
        <w:t>结合景区构建快慢相宜的公共交通体系。</w:t>
      </w:r>
      <w:r>
        <w:rPr>
          <w:rFonts w:hint="eastAsia"/>
        </w:rPr>
        <w:t>立足轨道枢纽集散优势，围绕雁栖湖站、怀柔北站、怀柔南站等重点站点布设直达景区的接驳公交线路，针对节假日、旅游旺季客流高峰动态增开区间直达、应急疏运公交专线，保障游客快速集散。同时结合怀柔文旅资源，创新“交通+景区”“交通+乡村旅游”发展模式，探索“车票+门票”一体化服务，畅通景区公交出行链路，持续提升公共交通服务品质与文旅吸引力。</w:t>
      </w:r>
    </w:p>
    <w:p w14:paraId="3F11C199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完善景区周边停车设施和行车引导。</w:t>
      </w:r>
      <w:r>
        <w:rPr>
          <w:rFonts w:hint="eastAsia"/>
        </w:rPr>
        <w:t>针对慕田峪长城、雁栖湖国际会都旅游度假区等重点旅游区节假日停车供需矛盾，深挖周边闲置场地、村域空地、道路边角资源配建增设临时泊位，全面强化高峰时段大客流停车承载能力，缓解景区停车难问题。同时在主要停车点路口设置三级停车诱导屏，发布泊位数量信息，指引车主选择合适的停车地点，提高停车效率和停车场利用率。根据停车场与景区的空间距离，按需增设停车场至景区接驳摆渡线路，提升游客换乘便捷度。</w:t>
      </w:r>
    </w:p>
    <w:p w14:paraId="273CE40C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推进交通沿线高品质绿廊建设。</w:t>
      </w:r>
      <w:r>
        <w:rPr>
          <w:rFonts w:hint="eastAsia"/>
        </w:rPr>
        <w:t>在重要通道统筹景观风貌整体塑造，布局特色交通景观，持续丰富道路沿线生态休闲游憩体验。以国道111出京线、国道234提级改造工程等山区交通干线建设为契机，推进交通沿线绿廊建设，提升旅客在怀出行体验。建设特色生态廊道，重点提升沿京承高速</w:t>
      </w:r>
      <w:r>
        <w:rPr>
          <w:rFonts w:hint="eastAsia"/>
        </w:rPr>
        <w:lastRenderedPageBreak/>
        <w:t>公路、京密路、京漠路形成的线性生态绿廊。结合特色资源，提升怀长路、范崎路等串联风景的公路风景廊。推进多途扩绿、增彩延绿，重点绿化彩化雁栖湖联络线、北台路、杨雁路等展现怀柔门户形象的联络迎宾廊。建设科学城绿色街道网络，塑造生态宜居、产城融合的绿色科创街区风貌。</w:t>
      </w:r>
    </w:p>
    <w:p w14:paraId="6605758D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70" w:name="_Toc237876398"/>
      <w:r>
        <w:rPr>
          <w:rFonts w:ascii="楷体" w:eastAsia="楷体" w:hAnsi="楷体" w:cs="Times New Roman" w:hint="eastAsia"/>
          <w:bCs w:val="0"/>
          <w:kern w:val="0"/>
        </w:rPr>
        <w:t>（四）健全高效物流体系，夯实设施基础</w:t>
      </w:r>
      <w:bookmarkEnd w:id="70"/>
    </w:p>
    <w:p w14:paraId="7A7B9037" w14:textId="77777777" w:rsidR="00A06593" w:rsidRDefault="000D2478">
      <w:pPr>
        <w:ind w:firstLine="643"/>
        <w:rPr>
          <w:b/>
          <w:bCs/>
        </w:rPr>
      </w:pPr>
      <w:bookmarkStart w:id="71" w:name="OLE_LINK14"/>
      <w:r>
        <w:rPr>
          <w:rFonts w:hint="eastAsia"/>
          <w:b/>
          <w:bCs/>
        </w:rPr>
        <w:t>加强区域产业和商贸物流运输保障。</w:t>
      </w:r>
      <w:bookmarkEnd w:id="71"/>
      <w:r>
        <w:rPr>
          <w:rFonts w:hint="eastAsia"/>
        </w:rPr>
        <w:t>开展区域物流专项研究，全面掌握物资分布、运输流向等情况，逐步构建货运数据底座，研究物流设施空间布局，构建“仓储+运输+解决方案”一体化物流服务体系，完善城乡物流基础设施网络，促进物流与产业链深度融合。立足庙城优越交通区位，研究建设区级综合性货运集散中心，联动北部货运通道，推动区域货运资源互通，服务京津冀一体化物流发展。研究建设科学城物流仓储中心，服务未来科研运输需求。依托整车制造产业物流需求，研究在区域北部布局物流集散中心的可行性。完善快递基础设施，健全城乡高效配送体系，鼓励农村地区商业网点等拓展物流功能。</w:t>
      </w:r>
    </w:p>
    <w:p w14:paraId="715880B1" w14:textId="77777777" w:rsidR="00A06593" w:rsidRDefault="000D2478">
      <w:pPr>
        <w:pStyle w:val="a0"/>
        <w:ind w:firstLine="643"/>
      </w:pPr>
      <w:bookmarkStart w:id="72" w:name="OLE_LINK15"/>
      <w:r>
        <w:rPr>
          <w:rFonts w:hint="eastAsia"/>
          <w:b/>
          <w:bCs/>
        </w:rPr>
        <w:t>提升通道运输能力</w:t>
      </w:r>
      <w:r>
        <w:rPr>
          <w:rFonts w:hint="eastAsia"/>
        </w:rPr>
        <w:t>。结合产业发展空间布局，构建快速货运走廊，全面提升干线通行能力与运输保障水平，助力区域绿色货运体系建设。研究区域货车通行政策，实现客货有效分离，夯实区域产业协同发展交通根基，服务区域经济社会可持续发展。</w:t>
      </w:r>
    </w:p>
    <w:p w14:paraId="6B4E0A19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73" w:name="_Toc237876399"/>
      <w:bookmarkEnd w:id="72"/>
      <w:r>
        <w:rPr>
          <w:rFonts w:ascii="楷体" w:eastAsia="楷体" w:hAnsi="楷体" w:cs="Times New Roman" w:hint="eastAsia"/>
          <w:bCs w:val="0"/>
          <w:kern w:val="0"/>
        </w:rPr>
        <w:t>（五）推广低碳运输，优化交通能源结构</w:t>
      </w:r>
      <w:bookmarkEnd w:id="73"/>
    </w:p>
    <w:p w14:paraId="2BE64E67" w14:textId="77777777" w:rsidR="00A06593" w:rsidRDefault="000D2478">
      <w:pPr>
        <w:pStyle w:val="a0"/>
        <w:ind w:firstLine="640"/>
        <w:sectPr w:rsidR="00A06593">
          <w:headerReference w:type="default" r:id="rId15"/>
          <w:pgSz w:w="11906" w:h="16838"/>
          <w:pgMar w:top="1440" w:right="1800" w:bottom="1440" w:left="1800" w:header="737" w:footer="510" w:gutter="0"/>
          <w:pgNumType w:start="1"/>
          <w:cols w:space="425"/>
          <w:docGrid w:type="lines" w:linePitch="435"/>
        </w:sectPr>
      </w:pPr>
      <w:r>
        <w:rPr>
          <w:rFonts w:hint="eastAsia"/>
        </w:rPr>
        <w:t>推动交通领域低碳转型，统筹构建全域绿色交通发展格</w:t>
      </w:r>
      <w:r>
        <w:rPr>
          <w:rFonts w:hint="eastAsia"/>
        </w:rPr>
        <w:lastRenderedPageBreak/>
        <w:t>局。稳步提高交通运输领域新能源车比例，统筹推进充电桩、换电站等配套设施建设，构建绿色交通体系。加强移动污染源治理，加快淘汰国四排放标准的重型营运柴油货车，推进机动车和非道路移动机械新能源化。将绿色低碳理念贯穿交通基础设施全生命周期，推广绿色建材与节能装备。</w:t>
      </w:r>
    </w:p>
    <w:p w14:paraId="3D5A9FDB" w14:textId="77777777" w:rsidR="00A06593" w:rsidRDefault="000D2478">
      <w:pPr>
        <w:topLinePunct/>
        <w:spacing w:line="360" w:lineRule="auto"/>
        <w:ind w:firstLineChars="0" w:firstLine="0"/>
        <w:jc w:val="center"/>
        <w:outlineLvl w:val="0"/>
        <w:rPr>
          <w:rFonts w:eastAsia="方正小标宋简体" w:cs="方正小标宋简体"/>
          <w:sz w:val="44"/>
          <w:szCs w:val="44"/>
        </w:rPr>
      </w:pPr>
      <w:bookmarkStart w:id="74" w:name="_Hlk232622955"/>
      <w:bookmarkStart w:id="75" w:name="_Toc237876400"/>
      <w:bookmarkStart w:id="76" w:name="OLE_LINK12"/>
      <w:bookmarkEnd w:id="55"/>
      <w:r>
        <w:rPr>
          <w:rFonts w:eastAsia="方正小标宋简体" w:cs="方正小标宋简体" w:hint="eastAsia"/>
          <w:sz w:val="44"/>
          <w:szCs w:val="44"/>
        </w:rPr>
        <w:lastRenderedPageBreak/>
        <w:t>六、</w:t>
      </w:r>
      <w:bookmarkEnd w:id="74"/>
      <w:r>
        <w:rPr>
          <w:rFonts w:eastAsia="方正小标宋简体" w:cs="方正小标宋简体" w:hint="eastAsia"/>
          <w:sz w:val="44"/>
          <w:szCs w:val="44"/>
        </w:rPr>
        <w:t>提升交通系统安全韧性</w:t>
      </w:r>
      <w:bookmarkEnd w:id="75"/>
    </w:p>
    <w:p w14:paraId="58B3779D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77" w:name="_Hlk232622968"/>
      <w:bookmarkStart w:id="78" w:name="_Toc237876401"/>
      <w:bookmarkEnd w:id="76"/>
      <w:r>
        <w:rPr>
          <w:rFonts w:ascii="楷体" w:eastAsia="楷体" w:hAnsi="楷体" w:cs="Times New Roman" w:hint="eastAsia"/>
          <w:bCs w:val="0"/>
          <w:kern w:val="0"/>
        </w:rPr>
        <w:t>（一）强化安全监管</w:t>
      </w:r>
      <w:bookmarkEnd w:id="77"/>
      <w:r>
        <w:rPr>
          <w:rFonts w:ascii="楷体" w:eastAsia="楷体" w:hAnsi="楷体" w:cs="Times New Roman" w:hint="eastAsia"/>
          <w:bCs w:val="0"/>
          <w:kern w:val="0"/>
        </w:rPr>
        <w:t>，保障行业安全稳定</w:t>
      </w:r>
      <w:bookmarkEnd w:id="78"/>
    </w:p>
    <w:p w14:paraId="7800A0D1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加强重点领域和行业安全监管。</w:t>
      </w:r>
      <w:r>
        <w:rPr>
          <w:rFonts w:hint="eastAsia"/>
        </w:rPr>
        <w:t>持续强化公交、巡游出租、汽车租赁、两客一危、普通货运、景区水运游船、机动车维修、驾驶培训等重点交通运输行业安全生产监管。紧盯节假日交通出行安全保障，加大对未整改安全隐患的监督检查。常态化强化铁路道口巡查，及时发现隐患点位，维护铁路运输稳定。加强加大超限超载治理，重点抓好打击“百吨王”、建筑垃圾运输等治超专项行动，坚决打击违法运输行为。</w:t>
      </w:r>
    </w:p>
    <w:p w14:paraId="4B266983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提升综合检查和治理效能。</w:t>
      </w:r>
      <w:r>
        <w:rPr>
          <w:rFonts w:hint="eastAsia"/>
        </w:rPr>
        <w:t>“十五五”期间新增2处治超非现场称重点位，推动具备条件的检查站设置电子抓拍系统。根据京津冀一体化总体战略，着力推进首都安全维稳“护城河”工程，推进G335长哨营、宝山寺、喇叭沟门综合检查站项目建设。持续推进“安全生产进企业”宣传工作，全力营造交通行业安全稳定氛围。到“十五五”末，道路交通事故死亡人数下降3%。</w:t>
      </w:r>
    </w:p>
    <w:p w14:paraId="1BAA9C89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79" w:name="_Toc237876402"/>
      <w:r>
        <w:rPr>
          <w:rFonts w:ascii="楷体" w:eastAsia="楷体" w:hAnsi="楷体" w:cs="Times New Roman" w:hint="eastAsia"/>
          <w:bCs w:val="0"/>
          <w:kern w:val="0"/>
        </w:rPr>
        <w:t>（二）加快</w:t>
      </w:r>
      <w:bookmarkStart w:id="80" w:name="_Hlk232622978"/>
      <w:r>
        <w:rPr>
          <w:rFonts w:ascii="楷体" w:eastAsia="楷体" w:hAnsi="楷体" w:cs="Times New Roman" w:hint="eastAsia"/>
          <w:bCs w:val="0"/>
          <w:kern w:val="0"/>
        </w:rPr>
        <w:t>农村公路修复升级</w:t>
      </w:r>
      <w:bookmarkEnd w:id="80"/>
      <w:r>
        <w:rPr>
          <w:rFonts w:ascii="楷体" w:eastAsia="楷体" w:hAnsi="楷体" w:cs="Times New Roman" w:hint="eastAsia"/>
          <w:bCs w:val="0"/>
          <w:kern w:val="0"/>
        </w:rPr>
        <w:t>，提高支撑保障能力</w:t>
      </w:r>
      <w:bookmarkEnd w:id="79"/>
    </w:p>
    <w:p w14:paraId="7B43F45B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推动道路灾后重建和系统提升。</w:t>
      </w:r>
      <w:r>
        <w:rPr>
          <w:rFonts w:hint="eastAsia"/>
        </w:rPr>
        <w:t>提升琉璃庙、汤河口等山区乡镇公路抗灾标准，完成县道范崎路、四宝路、帽山路、对角沟门支线、长司路修复，增强城市生命线保障能力。完成琉璃庙镇、喇叭沟门乡等镇乡乡村公路水毁恢复重建。加强农村公路规划研究，对路网底账进行规范性、系统性摸排研究。加快建设畅通、安全、舒适、优美的“美丽乡村路”，“十五五”期间创建“美丽乡村路”大于60公里。</w:t>
      </w:r>
    </w:p>
    <w:p w14:paraId="790236EC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lastRenderedPageBreak/>
        <w:t>强化农村公路风险防控与平急两用综合服务体系建设。</w:t>
      </w:r>
      <w:r>
        <w:rPr>
          <w:rFonts w:hint="eastAsia"/>
        </w:rPr>
        <w:t>增强山区关键道路抗水毁能力，加强农村公路地质灾害隐患点及事故易发多发路口监测预警、动态排查和整治能力。立足“平急两用”功能，在农村公路制高点、桥梁周边等适宜位置，建设集应急避险、观景休憩于一体的服务平台，全面提升农村公路应急保障与综合服务能力。</w:t>
      </w:r>
    </w:p>
    <w:p w14:paraId="65020347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81" w:name="_Hlk232622985"/>
      <w:bookmarkStart w:id="82" w:name="_Toc237876403"/>
      <w:r>
        <w:rPr>
          <w:rFonts w:ascii="楷体" w:eastAsia="楷体" w:hAnsi="楷体" w:cs="Times New Roman" w:hint="eastAsia"/>
          <w:bCs w:val="0"/>
          <w:kern w:val="0"/>
        </w:rPr>
        <w:t>（三）完善应急保障体系，</w:t>
      </w:r>
      <w:bookmarkEnd w:id="81"/>
      <w:r>
        <w:rPr>
          <w:rFonts w:ascii="楷体" w:eastAsia="楷体" w:hAnsi="楷体" w:cs="Times New Roman" w:hint="eastAsia"/>
          <w:bCs w:val="0"/>
          <w:kern w:val="0"/>
        </w:rPr>
        <w:t>提升风险处置能力</w:t>
      </w:r>
      <w:bookmarkEnd w:id="82"/>
    </w:p>
    <w:p w14:paraId="1944AB43" w14:textId="77777777" w:rsidR="00A06593" w:rsidRDefault="000D2478">
      <w:pPr>
        <w:pStyle w:val="a0"/>
        <w:ind w:firstLine="640"/>
        <w:sectPr w:rsidR="00A06593">
          <w:footerReference w:type="default" r:id="rId16"/>
          <w:pgSz w:w="11906" w:h="16838"/>
          <w:pgMar w:top="1440" w:right="1800" w:bottom="1440" w:left="1800" w:header="737" w:footer="510" w:gutter="0"/>
          <w:cols w:space="425"/>
          <w:docGrid w:type="lines" w:linePitch="435"/>
        </w:sectPr>
      </w:pPr>
      <w:r>
        <w:rPr>
          <w:rFonts w:hint="eastAsia"/>
        </w:rPr>
        <w:t>统筹推进道路地质灾害治理与交通应急体系建设。加强对京漠路沿线地质灾害的风险评估与治理，重点提升山洪沟与京漠路交汇处设防能力，防止灾时因洪涝和地质灾害造成交通堵点。完善韧性城市体制机制建设，研究交通应急领域城市安全保障体制机制，加强交通运输应急处置和救援能力。</w:t>
      </w:r>
    </w:p>
    <w:p w14:paraId="7A6AF577" w14:textId="77777777" w:rsidR="00A06593" w:rsidRDefault="000D2478">
      <w:pPr>
        <w:topLinePunct/>
        <w:spacing w:line="360" w:lineRule="auto"/>
        <w:ind w:firstLineChars="0" w:firstLine="0"/>
        <w:jc w:val="center"/>
        <w:outlineLvl w:val="0"/>
        <w:rPr>
          <w:rFonts w:eastAsia="方正小标宋简体" w:cs="方正小标宋简体"/>
          <w:sz w:val="44"/>
          <w:szCs w:val="44"/>
        </w:rPr>
      </w:pPr>
      <w:bookmarkStart w:id="83" w:name="_Hlk232623006"/>
      <w:bookmarkStart w:id="84" w:name="_Toc237876404"/>
      <w:r>
        <w:rPr>
          <w:rFonts w:eastAsia="方正小标宋简体" w:cs="方正小标宋简体" w:hint="eastAsia"/>
          <w:sz w:val="44"/>
          <w:szCs w:val="44"/>
        </w:rPr>
        <w:lastRenderedPageBreak/>
        <w:t>七、</w:t>
      </w:r>
      <w:bookmarkEnd w:id="83"/>
      <w:r>
        <w:rPr>
          <w:rFonts w:eastAsia="方正小标宋简体" w:cs="方正小标宋简体" w:hint="eastAsia"/>
          <w:sz w:val="44"/>
          <w:szCs w:val="44"/>
        </w:rPr>
        <w:t>提升智慧化管理服务能力</w:t>
      </w:r>
      <w:bookmarkEnd w:id="84"/>
    </w:p>
    <w:p w14:paraId="7457C50C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85" w:name="_Toc237876405"/>
      <w:r>
        <w:rPr>
          <w:rFonts w:ascii="楷体" w:eastAsia="楷体" w:hAnsi="楷体" w:cs="Times New Roman" w:hint="eastAsia"/>
          <w:bCs w:val="0"/>
          <w:kern w:val="0"/>
        </w:rPr>
        <w:t>（一）深化科技赋能应用，</w:t>
      </w:r>
      <w:bookmarkStart w:id="86" w:name="_Hlk232623039"/>
      <w:r>
        <w:rPr>
          <w:rFonts w:ascii="楷体" w:eastAsia="楷体" w:hAnsi="楷体" w:cs="Times New Roman" w:hint="eastAsia"/>
          <w:bCs w:val="0"/>
          <w:kern w:val="0"/>
        </w:rPr>
        <w:t>推动行业智慧化提质增效</w:t>
      </w:r>
      <w:bookmarkEnd w:id="85"/>
      <w:bookmarkEnd w:id="86"/>
    </w:p>
    <w:p w14:paraId="662F5013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推进公交领域智慧化赋能建设。</w:t>
      </w:r>
      <w:r>
        <w:rPr>
          <w:rFonts w:hint="eastAsia"/>
        </w:rPr>
        <w:t>聚焦科学城、国科大、老城区及雁栖湖国际会都旅游度假区等重点片区，依托数字化客流研判手段，精准把握潮汐与淡旺季客流特征，动态优化公交线网布局、减少冗余线路。构建区域公交智能调度系统，依托智能化手段优化资源配置，精准匹配运力班次，实现降本增效。完善辖区公交信息查询系统，实现区内公交线路实时信息全面可查，提升便民服务水平。</w:t>
      </w:r>
    </w:p>
    <w:p w14:paraId="401FC657" w14:textId="77777777" w:rsidR="00A06593" w:rsidRDefault="000D2478">
      <w:pPr>
        <w:pStyle w:val="a0"/>
        <w:ind w:firstLine="643"/>
        <w:rPr>
          <w:highlight w:val="yellow"/>
        </w:rPr>
      </w:pPr>
      <w:r>
        <w:rPr>
          <w:rFonts w:hint="eastAsia"/>
          <w:b/>
          <w:bCs/>
        </w:rPr>
        <w:t>依托智慧化手段完善交通行业常态化监管体系。</w:t>
      </w:r>
      <w:r>
        <w:rPr>
          <w:rFonts w:hint="eastAsia"/>
        </w:rPr>
        <w:t>推动在各行业重点区域加装视频监控，实现日常巡查可视化，强化对交通行业常态化监管。推动辖区旅游客运车辆智能视频监控报警装置全部安装，对超速、不按规定行驶等行为实时提醒，提升运营安全管控水平。运用智慧货运信息平台，为本地货运企业提供线上业务办理、信息报备等便利服务，同时实现对企业运营情况的动态监管。持续为基层交通执法人员配备移动执法终端设备，实现现场快速取证、信息核查，提升一线执法便捷性和规范性。</w:t>
      </w:r>
    </w:p>
    <w:p w14:paraId="1E08BE7D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87" w:name="_Toc237876406"/>
      <w:r>
        <w:rPr>
          <w:rFonts w:ascii="楷体" w:eastAsia="楷体" w:hAnsi="楷体" w:cs="Times New Roman" w:hint="eastAsia"/>
          <w:bCs w:val="0"/>
          <w:kern w:val="0"/>
        </w:rPr>
        <w:t>（二）依托智慧化手段，</w:t>
      </w:r>
      <w:bookmarkStart w:id="88" w:name="_Hlk232623049"/>
      <w:r>
        <w:rPr>
          <w:rFonts w:ascii="楷体" w:eastAsia="楷体" w:hAnsi="楷体" w:cs="Times New Roman" w:hint="eastAsia"/>
          <w:bCs w:val="0"/>
          <w:kern w:val="0"/>
        </w:rPr>
        <w:t>赋能交通精细管理</w:t>
      </w:r>
      <w:bookmarkEnd w:id="87"/>
      <w:bookmarkEnd w:id="88"/>
    </w:p>
    <w:p w14:paraId="508094CE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智慧应用提升路网精细化通行效能。</w:t>
      </w:r>
      <w:r>
        <w:rPr>
          <w:rFonts w:hint="eastAsia"/>
        </w:rPr>
        <w:t>科学优化交通信号灯布设，结合重点路段车流特征及事故隐患点位分布，按需增补信号灯点位、统筹优化设施布局，补齐路口通行管控短板。统筹推进全域信号灯系统联网，实现信号配时实时联动、车流自适应智能调控。加快域内绿波通行路段规划建设，有</w:t>
      </w:r>
      <w:r>
        <w:rPr>
          <w:rFonts w:hint="eastAsia"/>
        </w:rPr>
        <w:lastRenderedPageBreak/>
        <w:t>效提升区域路网通行效率与整体精细化管控水平。对会都等大型活动周边路网升级与智慧赋能，完善动态交通预警、智能信号调控系统，强化跨部门联动调度机制。</w:t>
      </w:r>
    </w:p>
    <w:p w14:paraId="6FD9830B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搭建区域智慧出行服务平台，</w:t>
      </w:r>
      <w:r>
        <w:rPr>
          <w:rFonts w:hint="eastAsia"/>
        </w:rPr>
        <w:t>对接主流地图实现数据互通，整合公交、停车、交通管控等实时信息，实现便捷查询推送。依托新媒体发布出行路况、停车指引等内容，拓宽资讯传播途径，提升群众出行便利度与出行服务水平，不断增强群众交通出行获得感。</w:t>
      </w:r>
    </w:p>
    <w:p w14:paraId="06851F88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89" w:name="_Hlk232623070"/>
      <w:bookmarkStart w:id="90" w:name="_Toc237876407"/>
      <w:r>
        <w:rPr>
          <w:rFonts w:ascii="楷体" w:eastAsia="楷体" w:hAnsi="楷体" w:cs="Times New Roman" w:hint="eastAsia"/>
          <w:bCs w:val="0"/>
          <w:kern w:val="0"/>
        </w:rPr>
        <w:t>（三）培育智慧交通新场景</w:t>
      </w:r>
      <w:bookmarkEnd w:id="89"/>
      <w:r>
        <w:rPr>
          <w:rFonts w:ascii="楷体" w:eastAsia="楷体" w:hAnsi="楷体" w:cs="Times New Roman" w:hint="eastAsia"/>
          <w:bCs w:val="0"/>
          <w:kern w:val="0"/>
        </w:rPr>
        <w:t>，</w:t>
      </w:r>
      <w:bookmarkStart w:id="91" w:name="_Hlk232623061"/>
      <w:r>
        <w:rPr>
          <w:rFonts w:ascii="楷体" w:eastAsia="楷体" w:hAnsi="楷体" w:cs="Times New Roman" w:hint="eastAsia"/>
          <w:bCs w:val="0"/>
          <w:kern w:val="0"/>
        </w:rPr>
        <w:t>推动新业态落地见效</w:t>
      </w:r>
      <w:bookmarkEnd w:id="90"/>
      <w:bookmarkEnd w:id="91"/>
    </w:p>
    <w:p w14:paraId="3C17527D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场景创新激活智慧交通发展动能。</w:t>
      </w:r>
      <w:r>
        <w:rPr>
          <w:rFonts w:hint="eastAsia"/>
        </w:rPr>
        <w:t>推动智慧交通、智慧停车、智慧出行与示范区融合探索，制定区级智慧交通方案，提高智慧交通效率和安全性。立足科学城发展定位推进自动驾驶产业落地，深化与重点交通枢纽、中国科学院大学、雁栖湖片区的联动协作，有序规划布设并运营自动驾驶示范线路，探索无人公交示范应用。依托各类重大活动特色场景，探索开通无人驾驶摆渡线路。推动我区双智城市建设项目，围绕科研人员通勤、设备运输需求，探索“双智”应用场景。</w:t>
      </w:r>
    </w:p>
    <w:p w14:paraId="65C45415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前瞻布局夯实产业持续发展根基。</w:t>
      </w:r>
      <w:r>
        <w:rPr>
          <w:rFonts w:hint="eastAsia"/>
        </w:rPr>
        <w:t>坚持适度超前规划理念，前瞻性开展自动驾驶车辆配套基础设施专项研究，一体化规划建设充换电设施、停车维保场站等配套设施，实现线路运营与配套设施同步规划、同步落地、同步投用。超前谋划无人机产业布局，优化配套基础设施空间配置，完善产业发展支撑体系。</w:t>
      </w:r>
    </w:p>
    <w:p w14:paraId="37DA9F31" w14:textId="77777777" w:rsidR="00A06593" w:rsidRDefault="000D2478">
      <w:pPr>
        <w:topLinePunct/>
        <w:spacing w:line="360" w:lineRule="auto"/>
        <w:ind w:firstLineChars="0" w:firstLine="0"/>
        <w:jc w:val="center"/>
        <w:outlineLvl w:val="0"/>
        <w:rPr>
          <w:rFonts w:eastAsia="方正小标宋简体" w:cs="方正小标宋简体"/>
          <w:sz w:val="44"/>
          <w:szCs w:val="44"/>
        </w:rPr>
      </w:pPr>
      <w:r>
        <w:rPr>
          <w:rFonts w:cstheme="minorBidi"/>
        </w:rPr>
        <w:br w:type="page"/>
      </w:r>
      <w:bookmarkStart w:id="92" w:name="_Toc237876408"/>
      <w:r>
        <w:rPr>
          <w:rFonts w:eastAsia="方正小标宋简体" w:cs="方正小标宋简体" w:hint="eastAsia"/>
          <w:sz w:val="44"/>
          <w:szCs w:val="44"/>
        </w:rPr>
        <w:lastRenderedPageBreak/>
        <w:t>八、提升交通精细化治理效能</w:t>
      </w:r>
      <w:bookmarkEnd w:id="92"/>
    </w:p>
    <w:p w14:paraId="5919F46A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93" w:name="_Toc237876409"/>
      <w:r>
        <w:rPr>
          <w:rFonts w:ascii="楷体" w:eastAsia="楷体" w:hAnsi="楷体" w:cs="Times New Roman" w:hint="eastAsia"/>
          <w:bCs w:val="0"/>
          <w:kern w:val="0"/>
        </w:rPr>
        <w:t>（一）完善机制，</w:t>
      </w:r>
      <w:bookmarkStart w:id="94" w:name="_Hlk232623219"/>
      <w:r>
        <w:rPr>
          <w:rFonts w:ascii="楷体" w:eastAsia="楷体" w:hAnsi="楷体" w:cs="Times New Roman" w:hint="eastAsia"/>
          <w:bCs w:val="0"/>
          <w:kern w:val="0"/>
        </w:rPr>
        <w:t>高标准完成重大活动交通服务任务</w:t>
      </w:r>
      <w:bookmarkEnd w:id="93"/>
      <w:bookmarkEnd w:id="94"/>
    </w:p>
    <w:p w14:paraId="53C269A3" w14:textId="77777777" w:rsidR="00A06593" w:rsidRDefault="000D2478">
      <w:pPr>
        <w:pStyle w:val="a0"/>
        <w:ind w:firstLine="640"/>
      </w:pPr>
      <w:r>
        <w:rPr>
          <w:rFonts w:hint="eastAsia"/>
        </w:rPr>
        <w:t>高标准落实重大国事活动交通服务保障任务，严守安全底线，严格规范交通流线组织、安保协同管控、道路设施保障与应急处置预案。完善重大活动交通保障长效机制，构建全流程、闭环式交通组织与应急保障体系，提升统筹调度、协同联动能力。聚焦北京国际电影节等重点落户品牌活动，细化“一活动一方案”交通保障细则，优化车流人流集散组织路线。扩容绿色交通服务供给，加密重大活动期间公共交通专线与微循环线路，提升通行效率与出行体验，营造有序顺畅、舒适便捷的活动交通环境。</w:t>
      </w:r>
    </w:p>
    <w:p w14:paraId="645B77F7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95" w:name="OLE_LINK30"/>
      <w:bookmarkStart w:id="96" w:name="_Toc237876410"/>
      <w:r>
        <w:rPr>
          <w:rFonts w:ascii="楷体" w:eastAsia="楷体" w:hAnsi="楷体" w:cs="Times New Roman" w:hint="eastAsia"/>
          <w:bCs w:val="0"/>
          <w:kern w:val="0"/>
        </w:rPr>
        <w:t>（二）深化停车改革，</w:t>
      </w:r>
      <w:bookmarkStart w:id="97" w:name="_Hlk232623227"/>
      <w:r>
        <w:rPr>
          <w:rFonts w:ascii="楷体" w:eastAsia="楷体" w:hAnsi="楷体" w:cs="Times New Roman" w:hint="eastAsia"/>
          <w:bCs w:val="0"/>
          <w:kern w:val="0"/>
        </w:rPr>
        <w:t>优化静态交通秩序</w:t>
      </w:r>
      <w:bookmarkEnd w:id="95"/>
      <w:bookmarkEnd w:id="96"/>
      <w:bookmarkEnd w:id="97"/>
    </w:p>
    <w:p w14:paraId="24163232" w14:textId="77777777" w:rsidR="00A06593" w:rsidRDefault="000D2478">
      <w:pPr>
        <w:pStyle w:val="a0"/>
        <w:ind w:firstLine="643"/>
      </w:pPr>
      <w:bookmarkStart w:id="98" w:name="OLE_LINK8"/>
      <w:r>
        <w:rPr>
          <w:rFonts w:hint="eastAsia"/>
          <w:b/>
          <w:bCs/>
        </w:rPr>
        <w:t>健全科学高效停车管理体系</w:t>
      </w:r>
      <w:bookmarkEnd w:id="98"/>
      <w:r>
        <w:rPr>
          <w:rFonts w:hint="eastAsia"/>
          <w:b/>
          <w:bCs/>
        </w:rPr>
        <w:t>。</w:t>
      </w:r>
      <w:r>
        <w:rPr>
          <w:rFonts w:hint="eastAsia"/>
        </w:rPr>
        <w:t>编制《停车设施专项研究》，统一共识，明确停车治理思路，指导全区停车治理工作。开展停车收费研究，深入研判现行停车收费政策适用性，因地制宜优化调整收费标准，打造适配本地出行需求的差异化停车收费体系，构建有序协调的静态交通发展格局。</w:t>
      </w:r>
    </w:p>
    <w:p w14:paraId="02907E7C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多措并举推进停车设施供给。</w:t>
      </w:r>
      <w:r>
        <w:rPr>
          <w:rFonts w:hint="eastAsia"/>
        </w:rPr>
        <w:t>针对老城区，结合城市更新腾退用地，坚持多拆少建，增建立体停车设施，缓解老城停车供需矛盾。利用城市闲置空地、公园绿地、地下空间等开展停车复合利用，打造集约共享、一地多用的复合型停车空间。针对怀北、渤海、科学城等城市拓展及开发片区，坚持同步谋划、规划、建设停车设施，提前统筹配建停车场、公共停车场、路侧车位等，从源头化解入驻后停车供需矛盾。</w:t>
      </w:r>
      <w:r>
        <w:rPr>
          <w:rFonts w:hint="eastAsia"/>
        </w:rPr>
        <w:lastRenderedPageBreak/>
        <w:t>在怀柔南站试点推进P+R驻车换乘停车场，完善多模式交通接驳体系。依据花园城市建设要求，推动绿停融合建设，结合绿地及边角空间，预留建设生态型小型停车设施，打造与花园城市风貌相协调的绿色停车场景。</w:t>
      </w:r>
    </w:p>
    <w:p w14:paraId="7C51181C" w14:textId="77777777" w:rsidR="00A06593" w:rsidRDefault="000D2478">
      <w:pPr>
        <w:pStyle w:val="a0"/>
        <w:ind w:firstLine="643"/>
      </w:pPr>
      <w:r>
        <w:rPr>
          <w:rFonts w:hint="eastAsia"/>
          <w:b/>
          <w:bCs/>
        </w:rPr>
        <w:t>提升区域停车资源利用效率。</w:t>
      </w:r>
      <w:r>
        <w:rPr>
          <w:rFonts w:hint="eastAsia"/>
        </w:rPr>
        <w:t>深挖停车资源台账，盘活存量停车资源，</w:t>
      </w:r>
      <w:r>
        <w:t>提升泊位综合利用效率。</w:t>
      </w:r>
      <w:r>
        <w:rPr>
          <w:rFonts w:hint="eastAsia"/>
        </w:rPr>
        <w:t>依托停车需求时空差异推广错峰停车、共享车位，持续引导机关单位、居民、企业等积极有序参与，缓解老旧小区及重点片区停车矛盾，推动停车居民自治落地实施，构建共建共享的静态交通治理格局。</w:t>
      </w:r>
    </w:p>
    <w:p w14:paraId="4E16EBCD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99" w:name="_Hlk232623237"/>
      <w:bookmarkStart w:id="100" w:name="_Toc237876411"/>
      <w:r>
        <w:rPr>
          <w:rFonts w:ascii="楷体" w:eastAsia="楷体" w:hAnsi="楷体" w:cs="Times New Roman" w:hint="eastAsia"/>
          <w:bCs w:val="0"/>
          <w:kern w:val="0"/>
        </w:rPr>
        <w:t>（三）聚焦重点区域</w:t>
      </w:r>
      <w:bookmarkEnd w:id="99"/>
      <w:r>
        <w:rPr>
          <w:rFonts w:ascii="楷体" w:eastAsia="楷体" w:hAnsi="楷体" w:cs="Times New Roman" w:hint="eastAsia"/>
          <w:bCs w:val="0"/>
          <w:kern w:val="0"/>
        </w:rPr>
        <w:t>，强化社会治理协同联动</w:t>
      </w:r>
      <w:bookmarkEnd w:id="100"/>
    </w:p>
    <w:p w14:paraId="6060EB2A" w14:textId="77777777" w:rsidR="00A06593" w:rsidRDefault="000D2478">
      <w:pPr>
        <w:pStyle w:val="a0"/>
        <w:ind w:firstLine="640"/>
      </w:pPr>
      <w:r>
        <w:rPr>
          <w:rFonts w:hint="eastAsia"/>
        </w:rPr>
        <w:t>深化重点区域交通综合治理管控，开展重点学校、医院、景区、商圈及重点区域周边交通常态化治理，重点治理怀柔二中、怀柔二小、怀柔二幼等学校，区中医院、区妇幼保健院、怀柔医院等医院，怀柔青春万达广场等大型综合商业体区域，实现重点区域交通通畅有序。围绕拥堵路段、重点路口，采取定点疏导、巡逻管控、志愿者引导等措施，加强交通疏导维护。巩固桥下空间整治提升成效，加强已完成整治提升的桥下空间管理维护。在超载超限易发重点路段增设非现场称重设备，自动检测超限车辆，降低货车违法率。</w:t>
      </w:r>
    </w:p>
    <w:p w14:paraId="012AA658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101" w:name="_Toc237876412"/>
      <w:r>
        <w:rPr>
          <w:rFonts w:ascii="楷体" w:eastAsia="楷体" w:hAnsi="楷体" w:cs="Times New Roman" w:hint="eastAsia"/>
          <w:bCs w:val="0"/>
          <w:kern w:val="0"/>
        </w:rPr>
        <w:t>（四）</w:t>
      </w:r>
      <w:bookmarkStart w:id="102" w:name="_Hlk232623250"/>
      <w:r>
        <w:rPr>
          <w:rFonts w:ascii="楷体" w:eastAsia="楷体" w:hAnsi="楷体" w:cs="Times New Roman" w:hint="eastAsia"/>
          <w:bCs w:val="0"/>
          <w:kern w:val="0"/>
        </w:rPr>
        <w:t>加强电动自行车</w:t>
      </w:r>
      <w:bookmarkEnd w:id="102"/>
      <w:r>
        <w:rPr>
          <w:rFonts w:ascii="楷体" w:eastAsia="楷体" w:hAnsi="楷体" w:cs="Times New Roman" w:hint="eastAsia"/>
          <w:bCs w:val="0"/>
          <w:kern w:val="0"/>
        </w:rPr>
        <w:t>管理，改善停行秩序</w:t>
      </w:r>
      <w:bookmarkEnd w:id="101"/>
    </w:p>
    <w:p w14:paraId="5C3C29A7" w14:textId="77777777" w:rsidR="00A06593" w:rsidRDefault="000D2478">
      <w:pPr>
        <w:pStyle w:val="a0"/>
        <w:ind w:firstLine="640"/>
      </w:pPr>
      <w:r>
        <w:rPr>
          <w:rFonts w:hint="eastAsia"/>
        </w:rPr>
        <w:t>严格落实《北京市非机动车管理条例》相关规定，广泛宣传上牌登记、驾乘佩戴安全头盔、禁止非法改装等法定要求，引导群众依规守法骑行。强化电动自行车综合治理管控。</w:t>
      </w:r>
      <w:r>
        <w:rPr>
          <w:rFonts w:hint="eastAsia"/>
        </w:rPr>
        <w:lastRenderedPageBreak/>
        <w:t>加强电动自行车执法整治，重点查处逆行、闯红灯、改装等交通违法行为。加大协管员、网格员、文明引导员、志愿者等人力投入，全面提升问题突出的公交站点和学校、医院、景区、商场、交通枢纽等重点场所非机动车停放秩序。结合道路改造提升，探索通过增设临时缓坡等措施，便利非机动车停放。</w:t>
      </w:r>
    </w:p>
    <w:p w14:paraId="0B16C18A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103" w:name="_Toc237876413"/>
      <w:r>
        <w:rPr>
          <w:rFonts w:ascii="楷体" w:eastAsia="楷体" w:hAnsi="楷体" w:cs="Times New Roman" w:hint="eastAsia"/>
          <w:bCs w:val="0"/>
          <w:kern w:val="0"/>
        </w:rPr>
        <w:t>（五）</w:t>
      </w:r>
      <w:bookmarkStart w:id="104" w:name="_Hlk232623264"/>
      <w:r>
        <w:rPr>
          <w:rFonts w:ascii="楷体" w:eastAsia="楷体" w:hAnsi="楷体" w:cs="Times New Roman" w:hint="eastAsia"/>
          <w:bCs w:val="0"/>
          <w:kern w:val="0"/>
        </w:rPr>
        <w:t>开展文明出行引导，强化交通秩序管控</w:t>
      </w:r>
      <w:bookmarkEnd w:id="103"/>
      <w:bookmarkEnd w:id="104"/>
    </w:p>
    <w:p w14:paraId="030B9039" w14:textId="3B71BEB2" w:rsidR="00A06593" w:rsidRDefault="000D2478">
      <w:pPr>
        <w:pStyle w:val="a0"/>
        <w:ind w:firstLine="640"/>
      </w:pPr>
      <w:r>
        <w:rPr>
          <w:rFonts w:hint="eastAsia"/>
        </w:rPr>
        <w:t>聚焦护栏拆除路段行人、非机动车横穿马路等问题，开展公共文明引导。加强交通文明宣传动员，持续开展“文明骑行有序停放”、“文明驾车礼让行人”、“礼让通学车”等活动，倡导绿色出行方式。重点针对安四路、范崎路</w:t>
      </w:r>
      <w:r w:rsidR="00D542C6">
        <w:rPr>
          <w:rFonts w:hint="eastAsia"/>
        </w:rPr>
        <w:t>等</w:t>
      </w:r>
      <w:r>
        <w:rPr>
          <w:rFonts w:hint="eastAsia"/>
        </w:rPr>
        <w:t>进山</w:t>
      </w:r>
      <w:r w:rsidR="00712D94">
        <w:rPr>
          <w:rFonts w:hint="eastAsia"/>
        </w:rPr>
        <w:t>路段</w:t>
      </w:r>
      <w:r>
        <w:rPr>
          <w:rFonts w:hint="eastAsia"/>
        </w:rPr>
        <w:t>骑行群体开展摩托车安全宣教，提醒进山骑手控速慢行、规范佩戴护具，</w:t>
      </w:r>
      <w:r w:rsidR="00712D94">
        <w:rPr>
          <w:rFonts w:hint="eastAsia"/>
        </w:rPr>
        <w:t>严禁</w:t>
      </w:r>
      <w:r>
        <w:rPr>
          <w:rFonts w:hint="eastAsia"/>
        </w:rPr>
        <w:t>弯道超车等危险骑行行为。</w:t>
      </w:r>
    </w:p>
    <w:p w14:paraId="6DA879F3" w14:textId="77777777" w:rsidR="00A06593" w:rsidRDefault="000D2478">
      <w:pPr>
        <w:widowControl/>
        <w:spacing w:line="240" w:lineRule="auto"/>
        <w:ind w:firstLineChars="0" w:firstLine="0"/>
        <w:jc w:val="left"/>
        <w:rPr>
          <w:rFonts w:ascii="楷体_GB2312" w:eastAsia="楷体_GB2312" w:cstheme="minorBidi"/>
        </w:rPr>
      </w:pPr>
      <w:r>
        <w:rPr>
          <w:rFonts w:ascii="楷体_GB2312" w:eastAsia="楷体_GB2312" w:cstheme="minorBidi"/>
        </w:rPr>
        <w:br w:type="page"/>
      </w:r>
    </w:p>
    <w:p w14:paraId="735B55AA" w14:textId="77777777" w:rsidR="00A06593" w:rsidRDefault="000D2478">
      <w:pPr>
        <w:topLinePunct/>
        <w:spacing w:line="360" w:lineRule="auto"/>
        <w:ind w:firstLineChars="0" w:firstLine="0"/>
        <w:jc w:val="center"/>
        <w:outlineLvl w:val="0"/>
        <w:rPr>
          <w:rFonts w:eastAsia="方正小标宋简体" w:cs="方正小标宋简体"/>
          <w:sz w:val="44"/>
          <w:szCs w:val="44"/>
        </w:rPr>
      </w:pPr>
      <w:bookmarkStart w:id="105" w:name="_Toc197621941"/>
      <w:bookmarkStart w:id="106" w:name="_Toc237876414"/>
      <w:bookmarkEnd w:id="56"/>
      <w:bookmarkEnd w:id="57"/>
      <w:bookmarkEnd w:id="58"/>
      <w:r>
        <w:rPr>
          <w:rFonts w:eastAsia="方正小标宋简体" w:cs="方正小标宋简体" w:hint="eastAsia"/>
          <w:sz w:val="44"/>
          <w:szCs w:val="44"/>
        </w:rPr>
        <w:lastRenderedPageBreak/>
        <w:t>九、实施保障</w:t>
      </w:r>
      <w:bookmarkEnd w:id="105"/>
      <w:bookmarkEnd w:id="106"/>
    </w:p>
    <w:p w14:paraId="11F24B61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107" w:name="_Toc237876415"/>
      <w:r>
        <w:rPr>
          <w:rFonts w:ascii="楷体" w:eastAsia="楷体" w:hAnsi="楷体" w:cs="Times New Roman" w:hint="eastAsia"/>
          <w:bCs w:val="0"/>
          <w:kern w:val="0"/>
        </w:rPr>
        <w:t>（一）</w:t>
      </w:r>
      <w:bookmarkStart w:id="108" w:name="_Hlk234394749"/>
      <w:r>
        <w:rPr>
          <w:rFonts w:ascii="楷体" w:eastAsia="楷体" w:hAnsi="楷体" w:cs="Times New Roman" w:hint="eastAsia"/>
          <w:bCs w:val="0"/>
          <w:kern w:val="0"/>
        </w:rPr>
        <w:t>强化统筹协调，压实工作责任</w:t>
      </w:r>
      <w:bookmarkEnd w:id="107"/>
      <w:bookmarkEnd w:id="108"/>
    </w:p>
    <w:p w14:paraId="17427C04" w14:textId="77777777" w:rsidR="00A06593" w:rsidRDefault="000D2478">
      <w:pPr>
        <w:pStyle w:val="a0"/>
        <w:ind w:firstLine="640"/>
      </w:pPr>
      <w:r>
        <w:rPr>
          <w:rFonts w:hint="eastAsia"/>
        </w:rPr>
        <w:t>健全区级交通工作组织领导体系，</w:t>
      </w:r>
      <w:bookmarkStart w:id="109" w:name="_Hlk234394794"/>
      <w:r>
        <w:rPr>
          <w:rFonts w:hint="eastAsia"/>
        </w:rPr>
        <w:t>高位统筹推进重大项目实施与重点任务落实</w:t>
      </w:r>
      <w:bookmarkEnd w:id="109"/>
      <w:r>
        <w:rPr>
          <w:rFonts w:hint="eastAsia"/>
        </w:rPr>
        <w:t>。加强部门协同联动，明确任务分工，将规划重点任务纳入年度区级工作计划，</w:t>
      </w:r>
      <w:bookmarkStart w:id="110" w:name="_Hlk234394810"/>
      <w:r>
        <w:rPr>
          <w:rFonts w:hint="eastAsia"/>
        </w:rPr>
        <w:t>推动各单位履职尽责，形成上下联动、齐抓共管的工作格局。</w:t>
      </w:r>
      <w:bookmarkEnd w:id="110"/>
    </w:p>
    <w:p w14:paraId="6C9C6CA2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111" w:name="_Toc237876416"/>
      <w:r>
        <w:rPr>
          <w:rFonts w:ascii="楷体" w:eastAsia="楷体" w:hAnsi="楷体" w:cs="Times New Roman" w:hint="eastAsia"/>
          <w:bCs w:val="0"/>
          <w:kern w:val="0"/>
        </w:rPr>
        <w:t>（二）</w:t>
      </w:r>
      <w:bookmarkStart w:id="112" w:name="_Hlk234394759"/>
      <w:r>
        <w:rPr>
          <w:rFonts w:ascii="楷体" w:eastAsia="楷体" w:hAnsi="楷体" w:cs="Times New Roman" w:hint="eastAsia"/>
          <w:bCs w:val="0"/>
          <w:kern w:val="0"/>
        </w:rPr>
        <w:t>完善政策支撑，保障要素供给</w:t>
      </w:r>
      <w:bookmarkEnd w:id="111"/>
      <w:bookmarkEnd w:id="112"/>
    </w:p>
    <w:p w14:paraId="4800721F" w14:textId="77777777" w:rsidR="00A06593" w:rsidRDefault="000D2478">
      <w:pPr>
        <w:pStyle w:val="a0"/>
        <w:ind w:firstLine="640"/>
      </w:pPr>
      <w:r>
        <w:rPr>
          <w:rFonts w:hint="eastAsia"/>
        </w:rPr>
        <w:t>坚持适度超前、优先发展原则，强化交通基础设施用地保障，突出集约、节约、立体导向，提高交通用地复合利用效率，盘活闲置交通用地资源，破解项目要素瓶颈。优化区级交通发展政策体系，为项目落地实施提供政策支撑。</w:t>
      </w:r>
    </w:p>
    <w:p w14:paraId="5426DF0F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113" w:name="_Toc237876417"/>
      <w:r>
        <w:rPr>
          <w:rFonts w:ascii="楷体" w:eastAsia="楷体" w:hAnsi="楷体" w:cs="Times New Roman" w:hint="eastAsia"/>
          <w:bCs w:val="0"/>
          <w:kern w:val="0"/>
        </w:rPr>
        <w:t>（三）</w:t>
      </w:r>
      <w:bookmarkStart w:id="114" w:name="_Hlk234394767"/>
      <w:r>
        <w:rPr>
          <w:rFonts w:ascii="楷体" w:eastAsia="楷体" w:hAnsi="楷体" w:cs="Times New Roman" w:hint="eastAsia"/>
          <w:bCs w:val="0"/>
          <w:kern w:val="0"/>
        </w:rPr>
        <w:t>拓宽资金渠道，提升使用效益</w:t>
      </w:r>
      <w:bookmarkEnd w:id="113"/>
      <w:bookmarkEnd w:id="114"/>
    </w:p>
    <w:p w14:paraId="72482D72" w14:textId="77777777" w:rsidR="00A06593" w:rsidRDefault="000D2478">
      <w:pPr>
        <w:pStyle w:val="a0"/>
        <w:ind w:firstLine="640"/>
      </w:pPr>
      <w:bookmarkStart w:id="115" w:name="_Hlk234394843"/>
      <w:r>
        <w:rPr>
          <w:rFonts w:hint="eastAsia"/>
        </w:rPr>
        <w:t>构建多元化交通投融资模式，积极引入社会资本参与项目建设，有效降低重大项目建设资金压力</w:t>
      </w:r>
      <w:bookmarkEnd w:id="115"/>
      <w:r>
        <w:rPr>
          <w:rFonts w:hint="eastAsia"/>
        </w:rPr>
        <w:t>。盘活交通领域存量资产，推动存量资产有偿使用，将所得收益用于新建交通基础设施项目，实现资金良性循环，提升资金使用效益。</w:t>
      </w:r>
    </w:p>
    <w:p w14:paraId="560456F0" w14:textId="77777777" w:rsidR="00A06593" w:rsidRDefault="000D2478">
      <w:pPr>
        <w:pStyle w:val="2"/>
        <w:keepNext w:val="0"/>
        <w:keepLines w:val="0"/>
        <w:widowControl/>
        <w:tabs>
          <w:tab w:val="left" w:pos="720"/>
        </w:tabs>
        <w:spacing w:line="560" w:lineRule="exact"/>
        <w:ind w:firstLine="640"/>
        <w:jc w:val="left"/>
        <w:rPr>
          <w:rFonts w:ascii="楷体" w:eastAsia="楷体" w:hAnsi="楷体" w:cs="Times New Roman" w:hint="eastAsia"/>
          <w:bCs w:val="0"/>
          <w:kern w:val="0"/>
        </w:rPr>
      </w:pPr>
      <w:bookmarkStart w:id="116" w:name="_Toc237876418"/>
      <w:r>
        <w:rPr>
          <w:rFonts w:ascii="楷体" w:eastAsia="楷体" w:hAnsi="楷体" w:cs="Times New Roman" w:hint="eastAsia"/>
          <w:bCs w:val="0"/>
          <w:kern w:val="0"/>
        </w:rPr>
        <w:t>（四）</w:t>
      </w:r>
      <w:bookmarkStart w:id="117" w:name="_Hlk234394776"/>
      <w:r>
        <w:rPr>
          <w:rFonts w:ascii="楷体" w:eastAsia="楷体" w:hAnsi="楷体" w:cs="Times New Roman" w:hint="eastAsia"/>
          <w:bCs w:val="0"/>
          <w:kern w:val="0"/>
        </w:rPr>
        <w:t>健全监测考核，强化闭环管理</w:t>
      </w:r>
      <w:bookmarkEnd w:id="116"/>
      <w:bookmarkEnd w:id="117"/>
    </w:p>
    <w:p w14:paraId="65FB01ED" w14:textId="5B00EEAC" w:rsidR="00A06593" w:rsidRPr="00591020" w:rsidRDefault="000D2478" w:rsidP="00591020">
      <w:pPr>
        <w:pStyle w:val="a0"/>
        <w:ind w:firstLine="640"/>
      </w:pPr>
      <w:bookmarkStart w:id="118" w:name="_Hlk234394853"/>
      <w:r>
        <w:rPr>
          <w:rFonts w:hint="eastAsia"/>
        </w:rPr>
        <w:t>建立重点任务动态监测与跟踪评价机制，定期评估任务推进进度</w:t>
      </w:r>
      <w:bookmarkEnd w:id="118"/>
      <w:r>
        <w:rPr>
          <w:rFonts w:hint="eastAsia"/>
        </w:rPr>
        <w:t>，对重难点问题及时上报协调解决。将交通领域重点任务纳入区政府绩效考评嗄体系，考核结果直接纳入各单位年度绩效考核，以考核倒逼责任落实，确保目标任务按期实现。</w:t>
      </w:r>
    </w:p>
    <w:sectPr w:rsidR="00A06593" w:rsidRPr="00591020" w:rsidSect="00591020">
      <w:pgSz w:w="11906" w:h="16838"/>
      <w:pgMar w:top="1440" w:right="1797" w:bottom="1440" w:left="1797" w:header="737" w:footer="510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EE6AA" w14:textId="77777777" w:rsidR="005446EF" w:rsidRDefault="005446EF">
      <w:pPr>
        <w:spacing w:line="240" w:lineRule="auto"/>
        <w:ind w:firstLine="640"/>
      </w:pPr>
      <w:r>
        <w:separator/>
      </w:r>
    </w:p>
  </w:endnote>
  <w:endnote w:type="continuationSeparator" w:id="0">
    <w:p w14:paraId="139B72E4" w14:textId="77777777" w:rsidR="005446EF" w:rsidRDefault="005446E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867B" w14:textId="77777777" w:rsidR="00A06593" w:rsidRDefault="00A06593">
    <w:pPr>
      <w:pStyle w:val="a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8167332"/>
      <w:docPartObj>
        <w:docPartGallery w:val="AutoText"/>
      </w:docPartObj>
    </w:sdtPr>
    <w:sdtEndPr>
      <w:rPr>
        <w:rFonts w:hint="eastAsia"/>
        <w:sz w:val="28"/>
        <w:szCs w:val="28"/>
      </w:rPr>
    </w:sdtEndPr>
    <w:sdtContent>
      <w:p w14:paraId="7EAB3D2A" w14:textId="77777777" w:rsidR="00A06593" w:rsidRDefault="000D2478">
        <w:pPr>
          <w:pStyle w:val="ae"/>
          <w:ind w:firstLine="360"/>
          <w:jc w:val="center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fldChar w:fldCharType="begin"/>
        </w:r>
        <w:r>
          <w:rPr>
            <w:rFonts w:hint="eastAsia"/>
            <w:sz w:val="28"/>
            <w:szCs w:val="28"/>
          </w:rPr>
          <w:instrText>PAGE   \* MERGEFORMAT</w:instrText>
        </w:r>
        <w:r>
          <w:rPr>
            <w:rFonts w:hint="eastAsia"/>
            <w:sz w:val="28"/>
            <w:szCs w:val="28"/>
          </w:rPr>
          <w:fldChar w:fldCharType="separate"/>
        </w:r>
        <w:r w:rsidR="00226E17" w:rsidRPr="00226E17">
          <w:rPr>
            <w:noProof/>
            <w:sz w:val="28"/>
            <w:szCs w:val="28"/>
            <w:lang w:val="zh-CN"/>
          </w:rPr>
          <w:t>16</w:t>
        </w:r>
        <w:r>
          <w:rPr>
            <w:rFonts w:hint="eastAsia"/>
            <w:sz w:val="28"/>
            <w:szCs w:val="28"/>
          </w:rPr>
          <w:fldChar w:fldCharType="end"/>
        </w:r>
      </w:p>
    </w:sdtContent>
  </w:sdt>
  <w:p w14:paraId="0A565EF6" w14:textId="77777777" w:rsidR="00A06593" w:rsidRDefault="00A06593">
    <w:pPr>
      <w:pStyle w:val="ae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0459689"/>
      <w:docPartObj>
        <w:docPartGallery w:val="AutoText"/>
      </w:docPartObj>
    </w:sdtPr>
    <w:sdtContent>
      <w:p w14:paraId="45336A22" w14:textId="77777777" w:rsidR="00A06593" w:rsidRDefault="000D2478">
        <w:pPr>
          <w:pStyle w:val="ae"/>
          <w:ind w:firstLine="360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93CE9E0" wp14:editId="00E4F59E">
                  <wp:simplePos x="0" y="0"/>
                  <wp:positionH relativeFrom="column">
                    <wp:posOffset>2527300</wp:posOffset>
                  </wp:positionH>
                  <wp:positionV relativeFrom="paragraph">
                    <wp:posOffset>155575</wp:posOffset>
                  </wp:positionV>
                  <wp:extent cx="415925" cy="256540"/>
                  <wp:effectExtent l="0" t="0" r="3810" b="0"/>
                  <wp:wrapNone/>
                  <wp:docPr id="1316516264" name="矩形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15637" cy="256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wpsCustomData="http://www.wps.cn/officeDocument/2013/wpsCustomData">
              <w:pict>
                <v:rect id="矩形 6" o:spid="_x0000_s1026" o:spt="1" style="position:absolute;left:0pt;margin-left:199pt;margin-top:12.25pt;height:20.2pt;width:32.75pt;z-index:251660288;v-text-anchor:middle;mso-width-relative:page;mso-height-relative:page;" fillcolor="#FFFFFF [3201]" filled="t" stroked="f" coordsize="21600,21600" o:gfxdata="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Jz9LQzaAAAACQEAAA8AAAAAAAAAAQAgAAAAIgAAAGRycy9k&#10;b3ducmV2LnhtbFBLAQIUABQAAAAIAIdO4kBXuCoIcgIAANMEAAAOAAAAAAAAAAEAIAAAACkBAABk&#10;cnMvZTJvRG9jLnhtbFBLBQYAAAAABgAGAFkBAAANBg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26E17" w:rsidRPr="00226E17">
          <w:rPr>
            <w:noProof/>
            <w:lang w:val="zh-CN"/>
          </w:rPr>
          <w:t>1</w:t>
        </w:r>
        <w:r>
          <w:fldChar w:fldCharType="end"/>
        </w:r>
      </w:p>
    </w:sdtContent>
  </w:sdt>
  <w:p w14:paraId="607B6C19" w14:textId="77777777" w:rsidR="00A06593" w:rsidRDefault="00A06593">
    <w:pPr>
      <w:pStyle w:val="ae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0348398"/>
      <w:docPartObj>
        <w:docPartGallery w:val="AutoText"/>
      </w:docPartObj>
    </w:sdtPr>
    <w:sdtEndPr>
      <w:rPr>
        <w:rFonts w:hint="eastAsia"/>
        <w:sz w:val="28"/>
        <w:szCs w:val="28"/>
      </w:rPr>
    </w:sdtEndPr>
    <w:sdtContent>
      <w:p w14:paraId="7BA5E5B8" w14:textId="77777777" w:rsidR="00A06593" w:rsidRDefault="000D2478">
        <w:pPr>
          <w:pStyle w:val="ae"/>
          <w:ind w:firstLine="360"/>
          <w:jc w:val="center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fldChar w:fldCharType="begin"/>
        </w:r>
        <w:r>
          <w:rPr>
            <w:rFonts w:hint="eastAsia"/>
            <w:sz w:val="28"/>
            <w:szCs w:val="28"/>
          </w:rPr>
          <w:instrText>PAGE   \* MERGEFORMAT</w:instrText>
        </w:r>
        <w:r>
          <w:rPr>
            <w:rFonts w:hint="eastAsia"/>
            <w:sz w:val="28"/>
            <w:szCs w:val="28"/>
          </w:rPr>
          <w:fldChar w:fldCharType="separate"/>
        </w:r>
        <w:r w:rsidR="00226E17" w:rsidRPr="00226E17">
          <w:rPr>
            <w:noProof/>
            <w:sz w:val="28"/>
            <w:szCs w:val="28"/>
            <w:lang w:val="zh-CN"/>
          </w:rPr>
          <w:t>43</w:t>
        </w:r>
        <w:r>
          <w:rPr>
            <w:rFonts w:hint="eastAsia"/>
            <w:sz w:val="28"/>
            <w:szCs w:val="28"/>
          </w:rPr>
          <w:fldChar w:fldCharType="end"/>
        </w:r>
      </w:p>
    </w:sdtContent>
  </w:sdt>
  <w:p w14:paraId="266AB25D" w14:textId="77777777" w:rsidR="00A06593" w:rsidRDefault="00A06593">
    <w:pPr>
      <w:pStyle w:val="a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64DDE" w14:textId="77777777" w:rsidR="005446EF" w:rsidRDefault="005446EF">
      <w:pPr>
        <w:spacing w:line="240" w:lineRule="auto"/>
        <w:ind w:firstLine="640"/>
      </w:pPr>
      <w:r>
        <w:separator/>
      </w:r>
    </w:p>
  </w:footnote>
  <w:footnote w:type="continuationSeparator" w:id="0">
    <w:p w14:paraId="65C79B3D" w14:textId="77777777" w:rsidR="005446EF" w:rsidRDefault="005446E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92DBB" w14:textId="77777777" w:rsidR="00A06593" w:rsidRDefault="00A06593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BF3CC" w14:textId="77777777" w:rsidR="00A06593" w:rsidRDefault="00A06593">
    <w:pPr>
      <w:ind w:firstLine="420"/>
      <w:jc w:val="center"/>
      <w:rPr>
        <w:rFonts w:ascii="华文仿宋" w:eastAsia="华文仿宋" w:hAnsi="华文仿宋" w:hint="eastAsia"/>
        <w:sz w:val="21"/>
        <w:szCs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A64E7" w14:textId="77777777" w:rsidR="00A06593" w:rsidRDefault="00A06593">
    <w:pPr>
      <w:pStyle w:val="af0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4827" w14:textId="77777777" w:rsidR="00A06593" w:rsidRDefault="00A06593">
    <w:pPr>
      <w:pStyle w:val="af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5CEE"/>
    <w:multiLevelType w:val="multilevel"/>
    <w:tmpl w:val="18675CEE"/>
    <w:lvl w:ilvl="0">
      <w:start w:val="1"/>
      <w:numFmt w:val="japaneseCounting"/>
      <w:lvlText w:val="%1、"/>
      <w:lvlJc w:val="left"/>
      <w:pPr>
        <w:ind w:left="888" w:hanging="8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51441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E35"/>
    <w:rsid w:val="00000845"/>
    <w:rsid w:val="00000DA3"/>
    <w:rsid w:val="000015EB"/>
    <w:rsid w:val="00001CDA"/>
    <w:rsid w:val="000021A8"/>
    <w:rsid w:val="00002BD5"/>
    <w:rsid w:val="00002E23"/>
    <w:rsid w:val="000032D2"/>
    <w:rsid w:val="000034EC"/>
    <w:rsid w:val="00003873"/>
    <w:rsid w:val="00004866"/>
    <w:rsid w:val="000061EB"/>
    <w:rsid w:val="00006DD6"/>
    <w:rsid w:val="00007131"/>
    <w:rsid w:val="00007209"/>
    <w:rsid w:val="000074AA"/>
    <w:rsid w:val="00007B30"/>
    <w:rsid w:val="000106AD"/>
    <w:rsid w:val="00011EA4"/>
    <w:rsid w:val="00013441"/>
    <w:rsid w:val="00014026"/>
    <w:rsid w:val="000145D7"/>
    <w:rsid w:val="00014738"/>
    <w:rsid w:val="00017549"/>
    <w:rsid w:val="00017C43"/>
    <w:rsid w:val="00017F8F"/>
    <w:rsid w:val="00020D07"/>
    <w:rsid w:val="00021C11"/>
    <w:rsid w:val="00021F6C"/>
    <w:rsid w:val="000244B2"/>
    <w:rsid w:val="000248B1"/>
    <w:rsid w:val="0002566C"/>
    <w:rsid w:val="00026235"/>
    <w:rsid w:val="000270D7"/>
    <w:rsid w:val="0002748B"/>
    <w:rsid w:val="00027B46"/>
    <w:rsid w:val="00030ADE"/>
    <w:rsid w:val="00030D55"/>
    <w:rsid w:val="00030F2D"/>
    <w:rsid w:val="000316B9"/>
    <w:rsid w:val="00033795"/>
    <w:rsid w:val="00033E3B"/>
    <w:rsid w:val="000346A9"/>
    <w:rsid w:val="00037C74"/>
    <w:rsid w:val="000401FA"/>
    <w:rsid w:val="000404C0"/>
    <w:rsid w:val="00040D57"/>
    <w:rsid w:val="000418D9"/>
    <w:rsid w:val="00041E42"/>
    <w:rsid w:val="00046403"/>
    <w:rsid w:val="00050735"/>
    <w:rsid w:val="00052C4F"/>
    <w:rsid w:val="00053A19"/>
    <w:rsid w:val="00053C5F"/>
    <w:rsid w:val="00054BC8"/>
    <w:rsid w:val="00055E3C"/>
    <w:rsid w:val="000562DE"/>
    <w:rsid w:val="0005632F"/>
    <w:rsid w:val="000569B1"/>
    <w:rsid w:val="000602B0"/>
    <w:rsid w:val="000603E6"/>
    <w:rsid w:val="0006116A"/>
    <w:rsid w:val="000628BB"/>
    <w:rsid w:val="000630EB"/>
    <w:rsid w:val="000647EA"/>
    <w:rsid w:val="00064DFC"/>
    <w:rsid w:val="000651A1"/>
    <w:rsid w:val="00065CC3"/>
    <w:rsid w:val="00066F04"/>
    <w:rsid w:val="0006760A"/>
    <w:rsid w:val="00070C4A"/>
    <w:rsid w:val="00071A61"/>
    <w:rsid w:val="000734FE"/>
    <w:rsid w:val="000740EE"/>
    <w:rsid w:val="00074E27"/>
    <w:rsid w:val="00077D2F"/>
    <w:rsid w:val="00080003"/>
    <w:rsid w:val="00080356"/>
    <w:rsid w:val="0008089D"/>
    <w:rsid w:val="00081064"/>
    <w:rsid w:val="000823F9"/>
    <w:rsid w:val="0008357B"/>
    <w:rsid w:val="0008465E"/>
    <w:rsid w:val="000848E1"/>
    <w:rsid w:val="00085D9F"/>
    <w:rsid w:val="000864DC"/>
    <w:rsid w:val="0008665E"/>
    <w:rsid w:val="00090C15"/>
    <w:rsid w:val="000924DF"/>
    <w:rsid w:val="00092694"/>
    <w:rsid w:val="0009390C"/>
    <w:rsid w:val="00093958"/>
    <w:rsid w:val="000949D8"/>
    <w:rsid w:val="000949DF"/>
    <w:rsid w:val="0009561C"/>
    <w:rsid w:val="00097635"/>
    <w:rsid w:val="000A0B61"/>
    <w:rsid w:val="000A0D1E"/>
    <w:rsid w:val="000A102B"/>
    <w:rsid w:val="000A4CB4"/>
    <w:rsid w:val="000A4FAB"/>
    <w:rsid w:val="000A5463"/>
    <w:rsid w:val="000A7F7A"/>
    <w:rsid w:val="000B0A3B"/>
    <w:rsid w:val="000B1749"/>
    <w:rsid w:val="000B1B69"/>
    <w:rsid w:val="000B296C"/>
    <w:rsid w:val="000B586C"/>
    <w:rsid w:val="000B7459"/>
    <w:rsid w:val="000B762B"/>
    <w:rsid w:val="000B7808"/>
    <w:rsid w:val="000B7B09"/>
    <w:rsid w:val="000C113D"/>
    <w:rsid w:val="000C19D9"/>
    <w:rsid w:val="000C1AB1"/>
    <w:rsid w:val="000C30A9"/>
    <w:rsid w:val="000C3665"/>
    <w:rsid w:val="000C6522"/>
    <w:rsid w:val="000C66B7"/>
    <w:rsid w:val="000C6851"/>
    <w:rsid w:val="000D01F3"/>
    <w:rsid w:val="000D1014"/>
    <w:rsid w:val="000D1328"/>
    <w:rsid w:val="000D1B5F"/>
    <w:rsid w:val="000D2478"/>
    <w:rsid w:val="000D2557"/>
    <w:rsid w:val="000D40A9"/>
    <w:rsid w:val="000D442B"/>
    <w:rsid w:val="000D44A2"/>
    <w:rsid w:val="000D5463"/>
    <w:rsid w:val="000D5835"/>
    <w:rsid w:val="000D685A"/>
    <w:rsid w:val="000D6DBC"/>
    <w:rsid w:val="000D7254"/>
    <w:rsid w:val="000D79A0"/>
    <w:rsid w:val="000E3954"/>
    <w:rsid w:val="000E4224"/>
    <w:rsid w:val="000E49A8"/>
    <w:rsid w:val="000E5E57"/>
    <w:rsid w:val="000E7177"/>
    <w:rsid w:val="000E7BAF"/>
    <w:rsid w:val="000E7EDE"/>
    <w:rsid w:val="000F02DA"/>
    <w:rsid w:val="000F2331"/>
    <w:rsid w:val="000F257A"/>
    <w:rsid w:val="000F26C4"/>
    <w:rsid w:val="000F2CFA"/>
    <w:rsid w:val="000F2F87"/>
    <w:rsid w:val="000F3261"/>
    <w:rsid w:val="000F3301"/>
    <w:rsid w:val="000F3B94"/>
    <w:rsid w:val="000F4C82"/>
    <w:rsid w:val="000F5FB9"/>
    <w:rsid w:val="000F6685"/>
    <w:rsid w:val="000F6DDE"/>
    <w:rsid w:val="000F78D5"/>
    <w:rsid w:val="00100255"/>
    <w:rsid w:val="00100A2D"/>
    <w:rsid w:val="001045A2"/>
    <w:rsid w:val="00104620"/>
    <w:rsid w:val="00105442"/>
    <w:rsid w:val="00105CB6"/>
    <w:rsid w:val="0010639B"/>
    <w:rsid w:val="00107542"/>
    <w:rsid w:val="00111636"/>
    <w:rsid w:val="0011248B"/>
    <w:rsid w:val="00112B2F"/>
    <w:rsid w:val="00113449"/>
    <w:rsid w:val="0011381A"/>
    <w:rsid w:val="00113829"/>
    <w:rsid w:val="00113E39"/>
    <w:rsid w:val="001145A3"/>
    <w:rsid w:val="001161F3"/>
    <w:rsid w:val="00116735"/>
    <w:rsid w:val="00116C83"/>
    <w:rsid w:val="00116D4E"/>
    <w:rsid w:val="00117FD9"/>
    <w:rsid w:val="00120906"/>
    <w:rsid w:val="001216DA"/>
    <w:rsid w:val="00121B2B"/>
    <w:rsid w:val="001221E0"/>
    <w:rsid w:val="001236AB"/>
    <w:rsid w:val="00123C65"/>
    <w:rsid w:val="001249D5"/>
    <w:rsid w:val="00124BE1"/>
    <w:rsid w:val="001251C4"/>
    <w:rsid w:val="00125602"/>
    <w:rsid w:val="00126A1B"/>
    <w:rsid w:val="00127959"/>
    <w:rsid w:val="00130F5F"/>
    <w:rsid w:val="00131A5B"/>
    <w:rsid w:val="0013260A"/>
    <w:rsid w:val="0013281F"/>
    <w:rsid w:val="00132EC0"/>
    <w:rsid w:val="00133D21"/>
    <w:rsid w:val="00134FAC"/>
    <w:rsid w:val="00135D22"/>
    <w:rsid w:val="00136A23"/>
    <w:rsid w:val="00136D5F"/>
    <w:rsid w:val="0014113D"/>
    <w:rsid w:val="001415BA"/>
    <w:rsid w:val="001434D6"/>
    <w:rsid w:val="00145E7B"/>
    <w:rsid w:val="001464AC"/>
    <w:rsid w:val="001474DF"/>
    <w:rsid w:val="00152A07"/>
    <w:rsid w:val="00153565"/>
    <w:rsid w:val="0015420E"/>
    <w:rsid w:val="0015574A"/>
    <w:rsid w:val="00157F63"/>
    <w:rsid w:val="0016031A"/>
    <w:rsid w:val="001625BA"/>
    <w:rsid w:val="00164F1B"/>
    <w:rsid w:val="00165359"/>
    <w:rsid w:val="00166786"/>
    <w:rsid w:val="00166CC1"/>
    <w:rsid w:val="00170AF3"/>
    <w:rsid w:val="00173425"/>
    <w:rsid w:val="0017362E"/>
    <w:rsid w:val="00173F5D"/>
    <w:rsid w:val="00174707"/>
    <w:rsid w:val="00174BE5"/>
    <w:rsid w:val="0018484A"/>
    <w:rsid w:val="001849A5"/>
    <w:rsid w:val="0018557F"/>
    <w:rsid w:val="00185795"/>
    <w:rsid w:val="00185FE4"/>
    <w:rsid w:val="00186D0F"/>
    <w:rsid w:val="00190878"/>
    <w:rsid w:val="00190F3F"/>
    <w:rsid w:val="0019197D"/>
    <w:rsid w:val="00192602"/>
    <w:rsid w:val="00192751"/>
    <w:rsid w:val="0019437B"/>
    <w:rsid w:val="00194B9F"/>
    <w:rsid w:val="00195A68"/>
    <w:rsid w:val="00195B32"/>
    <w:rsid w:val="00195E6B"/>
    <w:rsid w:val="00197416"/>
    <w:rsid w:val="00197718"/>
    <w:rsid w:val="00197A77"/>
    <w:rsid w:val="001A0395"/>
    <w:rsid w:val="001A0B4F"/>
    <w:rsid w:val="001A2184"/>
    <w:rsid w:val="001A2373"/>
    <w:rsid w:val="001A2442"/>
    <w:rsid w:val="001A2587"/>
    <w:rsid w:val="001A2C45"/>
    <w:rsid w:val="001A2F97"/>
    <w:rsid w:val="001A5A92"/>
    <w:rsid w:val="001B185B"/>
    <w:rsid w:val="001B1D03"/>
    <w:rsid w:val="001B27EF"/>
    <w:rsid w:val="001B2D97"/>
    <w:rsid w:val="001B3713"/>
    <w:rsid w:val="001C0605"/>
    <w:rsid w:val="001C1EBD"/>
    <w:rsid w:val="001C2519"/>
    <w:rsid w:val="001C26F8"/>
    <w:rsid w:val="001C28D9"/>
    <w:rsid w:val="001C3CB9"/>
    <w:rsid w:val="001C4191"/>
    <w:rsid w:val="001C4AAD"/>
    <w:rsid w:val="001C4C3A"/>
    <w:rsid w:val="001C5908"/>
    <w:rsid w:val="001C5D81"/>
    <w:rsid w:val="001C5E18"/>
    <w:rsid w:val="001C6CB1"/>
    <w:rsid w:val="001D12EF"/>
    <w:rsid w:val="001D53FD"/>
    <w:rsid w:val="001D5C13"/>
    <w:rsid w:val="001D73A9"/>
    <w:rsid w:val="001E01BB"/>
    <w:rsid w:val="001E0504"/>
    <w:rsid w:val="001E0CE4"/>
    <w:rsid w:val="001E108F"/>
    <w:rsid w:val="001E1673"/>
    <w:rsid w:val="001E2730"/>
    <w:rsid w:val="001E296C"/>
    <w:rsid w:val="001E3ECE"/>
    <w:rsid w:val="001E40FE"/>
    <w:rsid w:val="001E60F0"/>
    <w:rsid w:val="001E6EA4"/>
    <w:rsid w:val="001F1507"/>
    <w:rsid w:val="001F2885"/>
    <w:rsid w:val="001F31FC"/>
    <w:rsid w:val="001F5786"/>
    <w:rsid w:val="001F5888"/>
    <w:rsid w:val="001F5917"/>
    <w:rsid w:val="001F5988"/>
    <w:rsid w:val="001F6BF9"/>
    <w:rsid w:val="001F78CC"/>
    <w:rsid w:val="00200C8D"/>
    <w:rsid w:val="00201386"/>
    <w:rsid w:val="00201FBA"/>
    <w:rsid w:val="00201FF1"/>
    <w:rsid w:val="002020B1"/>
    <w:rsid w:val="002101C5"/>
    <w:rsid w:val="0021312B"/>
    <w:rsid w:val="00213CAE"/>
    <w:rsid w:val="00216654"/>
    <w:rsid w:val="00216CD3"/>
    <w:rsid w:val="00217730"/>
    <w:rsid w:val="00217984"/>
    <w:rsid w:val="0022131A"/>
    <w:rsid w:val="00222BB8"/>
    <w:rsid w:val="00226AF4"/>
    <w:rsid w:val="00226E17"/>
    <w:rsid w:val="0023024B"/>
    <w:rsid w:val="00231152"/>
    <w:rsid w:val="002325BA"/>
    <w:rsid w:val="00232A05"/>
    <w:rsid w:val="0023474F"/>
    <w:rsid w:val="00240161"/>
    <w:rsid w:val="00240216"/>
    <w:rsid w:val="00241885"/>
    <w:rsid w:val="002423E3"/>
    <w:rsid w:val="002430AD"/>
    <w:rsid w:val="00243769"/>
    <w:rsid w:val="00243D0B"/>
    <w:rsid w:val="00244C8B"/>
    <w:rsid w:val="0024546C"/>
    <w:rsid w:val="0025177D"/>
    <w:rsid w:val="00251B1F"/>
    <w:rsid w:val="0025251C"/>
    <w:rsid w:val="00254166"/>
    <w:rsid w:val="00254A2E"/>
    <w:rsid w:val="0025623F"/>
    <w:rsid w:val="0026026B"/>
    <w:rsid w:val="00260FA0"/>
    <w:rsid w:val="00261161"/>
    <w:rsid w:val="002614B7"/>
    <w:rsid w:val="002630FC"/>
    <w:rsid w:val="002646F6"/>
    <w:rsid w:val="00265912"/>
    <w:rsid w:val="00265A54"/>
    <w:rsid w:val="00271D3C"/>
    <w:rsid w:val="00273896"/>
    <w:rsid w:val="0027394D"/>
    <w:rsid w:val="00273FCD"/>
    <w:rsid w:val="00274085"/>
    <w:rsid w:val="00276E73"/>
    <w:rsid w:val="00277C53"/>
    <w:rsid w:val="00280627"/>
    <w:rsid w:val="002808D5"/>
    <w:rsid w:val="002815FC"/>
    <w:rsid w:val="0028387D"/>
    <w:rsid w:val="00285231"/>
    <w:rsid w:val="0028679D"/>
    <w:rsid w:val="0028686E"/>
    <w:rsid w:val="00287A3D"/>
    <w:rsid w:val="00287D6B"/>
    <w:rsid w:val="0029113C"/>
    <w:rsid w:val="00292A22"/>
    <w:rsid w:val="00292A67"/>
    <w:rsid w:val="00292E40"/>
    <w:rsid w:val="00293764"/>
    <w:rsid w:val="00294A59"/>
    <w:rsid w:val="002956A5"/>
    <w:rsid w:val="00296003"/>
    <w:rsid w:val="00297690"/>
    <w:rsid w:val="002A016F"/>
    <w:rsid w:val="002A0747"/>
    <w:rsid w:val="002A0E1E"/>
    <w:rsid w:val="002A2023"/>
    <w:rsid w:val="002A222D"/>
    <w:rsid w:val="002A2416"/>
    <w:rsid w:val="002A50F5"/>
    <w:rsid w:val="002A5311"/>
    <w:rsid w:val="002A5D50"/>
    <w:rsid w:val="002B0105"/>
    <w:rsid w:val="002B1A4D"/>
    <w:rsid w:val="002B3CBE"/>
    <w:rsid w:val="002B3F97"/>
    <w:rsid w:val="002B4468"/>
    <w:rsid w:val="002B47BC"/>
    <w:rsid w:val="002B4EFF"/>
    <w:rsid w:val="002B55A3"/>
    <w:rsid w:val="002B59C4"/>
    <w:rsid w:val="002B5C04"/>
    <w:rsid w:val="002B6328"/>
    <w:rsid w:val="002B7393"/>
    <w:rsid w:val="002B7D62"/>
    <w:rsid w:val="002C1C9F"/>
    <w:rsid w:val="002C20D4"/>
    <w:rsid w:val="002C2CBF"/>
    <w:rsid w:val="002C448A"/>
    <w:rsid w:val="002C60EF"/>
    <w:rsid w:val="002C6F31"/>
    <w:rsid w:val="002C7196"/>
    <w:rsid w:val="002C74D1"/>
    <w:rsid w:val="002D0792"/>
    <w:rsid w:val="002D1798"/>
    <w:rsid w:val="002D2487"/>
    <w:rsid w:val="002D260C"/>
    <w:rsid w:val="002D264A"/>
    <w:rsid w:val="002D3622"/>
    <w:rsid w:val="002D397B"/>
    <w:rsid w:val="002D48B1"/>
    <w:rsid w:val="002D4B6C"/>
    <w:rsid w:val="002D500A"/>
    <w:rsid w:val="002D53F7"/>
    <w:rsid w:val="002D5FD8"/>
    <w:rsid w:val="002D5FD9"/>
    <w:rsid w:val="002D7EB7"/>
    <w:rsid w:val="002E104A"/>
    <w:rsid w:val="002E19AA"/>
    <w:rsid w:val="002E1DAA"/>
    <w:rsid w:val="002E24C4"/>
    <w:rsid w:val="002E2520"/>
    <w:rsid w:val="002E303B"/>
    <w:rsid w:val="002E7028"/>
    <w:rsid w:val="002E707A"/>
    <w:rsid w:val="002E70DD"/>
    <w:rsid w:val="002F0D2B"/>
    <w:rsid w:val="002F33F2"/>
    <w:rsid w:val="002F3B8B"/>
    <w:rsid w:val="002F4E26"/>
    <w:rsid w:val="002F55D3"/>
    <w:rsid w:val="00300198"/>
    <w:rsid w:val="003004DB"/>
    <w:rsid w:val="00301E3C"/>
    <w:rsid w:val="00302BC4"/>
    <w:rsid w:val="0030609E"/>
    <w:rsid w:val="0030628C"/>
    <w:rsid w:val="00310C8B"/>
    <w:rsid w:val="0031169F"/>
    <w:rsid w:val="00313601"/>
    <w:rsid w:val="003143C5"/>
    <w:rsid w:val="00314662"/>
    <w:rsid w:val="0031518F"/>
    <w:rsid w:val="0031618C"/>
    <w:rsid w:val="00316742"/>
    <w:rsid w:val="00320145"/>
    <w:rsid w:val="003218CC"/>
    <w:rsid w:val="00325719"/>
    <w:rsid w:val="00325825"/>
    <w:rsid w:val="0032602F"/>
    <w:rsid w:val="00326084"/>
    <w:rsid w:val="0032654E"/>
    <w:rsid w:val="003306F2"/>
    <w:rsid w:val="003310E8"/>
    <w:rsid w:val="003311FD"/>
    <w:rsid w:val="00332E42"/>
    <w:rsid w:val="00333F81"/>
    <w:rsid w:val="003346B9"/>
    <w:rsid w:val="00335A58"/>
    <w:rsid w:val="003373EB"/>
    <w:rsid w:val="00342302"/>
    <w:rsid w:val="0034366F"/>
    <w:rsid w:val="00344155"/>
    <w:rsid w:val="00344E59"/>
    <w:rsid w:val="00347CFF"/>
    <w:rsid w:val="003502F9"/>
    <w:rsid w:val="00350961"/>
    <w:rsid w:val="00350EC9"/>
    <w:rsid w:val="003519EB"/>
    <w:rsid w:val="00352481"/>
    <w:rsid w:val="00352980"/>
    <w:rsid w:val="00352F1F"/>
    <w:rsid w:val="00352F56"/>
    <w:rsid w:val="0035385A"/>
    <w:rsid w:val="00355019"/>
    <w:rsid w:val="003550E7"/>
    <w:rsid w:val="003563A2"/>
    <w:rsid w:val="00356B21"/>
    <w:rsid w:val="00357CE5"/>
    <w:rsid w:val="003617D5"/>
    <w:rsid w:val="00361DBB"/>
    <w:rsid w:val="00362ADB"/>
    <w:rsid w:val="00362F97"/>
    <w:rsid w:val="00365261"/>
    <w:rsid w:val="00366C9B"/>
    <w:rsid w:val="00367937"/>
    <w:rsid w:val="00367A23"/>
    <w:rsid w:val="00370785"/>
    <w:rsid w:val="00370EE4"/>
    <w:rsid w:val="0037159B"/>
    <w:rsid w:val="003734EC"/>
    <w:rsid w:val="00373ED2"/>
    <w:rsid w:val="003749B0"/>
    <w:rsid w:val="00375A4C"/>
    <w:rsid w:val="00377039"/>
    <w:rsid w:val="00377929"/>
    <w:rsid w:val="00377FDD"/>
    <w:rsid w:val="003802A4"/>
    <w:rsid w:val="0038173B"/>
    <w:rsid w:val="003818F2"/>
    <w:rsid w:val="0038250F"/>
    <w:rsid w:val="00384E5C"/>
    <w:rsid w:val="00384E7F"/>
    <w:rsid w:val="00384FF3"/>
    <w:rsid w:val="00385391"/>
    <w:rsid w:val="00386922"/>
    <w:rsid w:val="00386A7E"/>
    <w:rsid w:val="003875D6"/>
    <w:rsid w:val="00387C74"/>
    <w:rsid w:val="00390642"/>
    <w:rsid w:val="00393342"/>
    <w:rsid w:val="0039338C"/>
    <w:rsid w:val="003937F5"/>
    <w:rsid w:val="00394EDE"/>
    <w:rsid w:val="003958CC"/>
    <w:rsid w:val="00397189"/>
    <w:rsid w:val="003979D6"/>
    <w:rsid w:val="003A07D4"/>
    <w:rsid w:val="003A2066"/>
    <w:rsid w:val="003A2986"/>
    <w:rsid w:val="003A2F96"/>
    <w:rsid w:val="003A3887"/>
    <w:rsid w:val="003A5D15"/>
    <w:rsid w:val="003A67AF"/>
    <w:rsid w:val="003B0476"/>
    <w:rsid w:val="003B09CC"/>
    <w:rsid w:val="003B118F"/>
    <w:rsid w:val="003B19BB"/>
    <w:rsid w:val="003B2648"/>
    <w:rsid w:val="003B37C9"/>
    <w:rsid w:val="003B3C10"/>
    <w:rsid w:val="003B3D38"/>
    <w:rsid w:val="003B3E24"/>
    <w:rsid w:val="003B4894"/>
    <w:rsid w:val="003B4C3F"/>
    <w:rsid w:val="003B4E3B"/>
    <w:rsid w:val="003B576A"/>
    <w:rsid w:val="003B6865"/>
    <w:rsid w:val="003B6A0C"/>
    <w:rsid w:val="003C0ACB"/>
    <w:rsid w:val="003C27F3"/>
    <w:rsid w:val="003C39D4"/>
    <w:rsid w:val="003C4A0A"/>
    <w:rsid w:val="003C4C61"/>
    <w:rsid w:val="003C71F0"/>
    <w:rsid w:val="003C7A6B"/>
    <w:rsid w:val="003D235B"/>
    <w:rsid w:val="003D2E40"/>
    <w:rsid w:val="003D35A6"/>
    <w:rsid w:val="003D3899"/>
    <w:rsid w:val="003D4312"/>
    <w:rsid w:val="003D5D76"/>
    <w:rsid w:val="003D6CBC"/>
    <w:rsid w:val="003E1964"/>
    <w:rsid w:val="003E1AF9"/>
    <w:rsid w:val="003E1F1B"/>
    <w:rsid w:val="003E395A"/>
    <w:rsid w:val="003E415E"/>
    <w:rsid w:val="003E4C65"/>
    <w:rsid w:val="003E53DB"/>
    <w:rsid w:val="003E546F"/>
    <w:rsid w:val="003E57BA"/>
    <w:rsid w:val="003E5D90"/>
    <w:rsid w:val="003E6288"/>
    <w:rsid w:val="003E6785"/>
    <w:rsid w:val="003E6F11"/>
    <w:rsid w:val="003E72FC"/>
    <w:rsid w:val="003E7984"/>
    <w:rsid w:val="003E7A7D"/>
    <w:rsid w:val="003E7B1E"/>
    <w:rsid w:val="003F0ADE"/>
    <w:rsid w:val="003F0D0A"/>
    <w:rsid w:val="003F1F8C"/>
    <w:rsid w:val="003F2601"/>
    <w:rsid w:val="003F297B"/>
    <w:rsid w:val="003F2D82"/>
    <w:rsid w:val="003F49F8"/>
    <w:rsid w:val="003F4D4A"/>
    <w:rsid w:val="003F6331"/>
    <w:rsid w:val="003F64AB"/>
    <w:rsid w:val="003F79AD"/>
    <w:rsid w:val="003F7C3B"/>
    <w:rsid w:val="00401A75"/>
    <w:rsid w:val="00402BF1"/>
    <w:rsid w:val="00403246"/>
    <w:rsid w:val="00403895"/>
    <w:rsid w:val="004054F8"/>
    <w:rsid w:val="00405588"/>
    <w:rsid w:val="0040583A"/>
    <w:rsid w:val="00406DF0"/>
    <w:rsid w:val="00407DCD"/>
    <w:rsid w:val="00407FD6"/>
    <w:rsid w:val="0041145E"/>
    <w:rsid w:val="00412B07"/>
    <w:rsid w:val="00413AE4"/>
    <w:rsid w:val="00414903"/>
    <w:rsid w:val="00414B5B"/>
    <w:rsid w:val="00415138"/>
    <w:rsid w:val="0041606E"/>
    <w:rsid w:val="00416078"/>
    <w:rsid w:val="00416362"/>
    <w:rsid w:val="0041662E"/>
    <w:rsid w:val="00420233"/>
    <w:rsid w:val="00420FB6"/>
    <w:rsid w:val="00421528"/>
    <w:rsid w:val="00421ECA"/>
    <w:rsid w:val="00422B45"/>
    <w:rsid w:val="00423ABD"/>
    <w:rsid w:val="00426143"/>
    <w:rsid w:val="0042623A"/>
    <w:rsid w:val="00430659"/>
    <w:rsid w:val="004318E8"/>
    <w:rsid w:val="00434BC7"/>
    <w:rsid w:val="00434DA8"/>
    <w:rsid w:val="00440D6E"/>
    <w:rsid w:val="00441088"/>
    <w:rsid w:val="00441BF9"/>
    <w:rsid w:val="00442AB7"/>
    <w:rsid w:val="00442BEA"/>
    <w:rsid w:val="00444625"/>
    <w:rsid w:val="00444AB5"/>
    <w:rsid w:val="00447476"/>
    <w:rsid w:val="0045136B"/>
    <w:rsid w:val="00453A75"/>
    <w:rsid w:val="00454137"/>
    <w:rsid w:val="00455AD7"/>
    <w:rsid w:val="00455D7B"/>
    <w:rsid w:val="00456B33"/>
    <w:rsid w:val="00457D58"/>
    <w:rsid w:val="004606E1"/>
    <w:rsid w:val="00462765"/>
    <w:rsid w:val="00463919"/>
    <w:rsid w:val="00465297"/>
    <w:rsid w:val="00465C78"/>
    <w:rsid w:val="00466865"/>
    <w:rsid w:val="0047019F"/>
    <w:rsid w:val="004708A9"/>
    <w:rsid w:val="00470AA5"/>
    <w:rsid w:val="0047104D"/>
    <w:rsid w:val="00471C8E"/>
    <w:rsid w:val="004720BD"/>
    <w:rsid w:val="0047323C"/>
    <w:rsid w:val="004743B3"/>
    <w:rsid w:val="004746B5"/>
    <w:rsid w:val="00475830"/>
    <w:rsid w:val="004758C3"/>
    <w:rsid w:val="00477E7F"/>
    <w:rsid w:val="0048015E"/>
    <w:rsid w:val="00481CF0"/>
    <w:rsid w:val="00481DDA"/>
    <w:rsid w:val="004829D8"/>
    <w:rsid w:val="0048388B"/>
    <w:rsid w:val="00483B1A"/>
    <w:rsid w:val="0048737C"/>
    <w:rsid w:val="00487FD3"/>
    <w:rsid w:val="00491063"/>
    <w:rsid w:val="00491497"/>
    <w:rsid w:val="00492B4A"/>
    <w:rsid w:val="00493B0C"/>
    <w:rsid w:val="00493C11"/>
    <w:rsid w:val="00493D1E"/>
    <w:rsid w:val="00494141"/>
    <w:rsid w:val="00494382"/>
    <w:rsid w:val="0049446D"/>
    <w:rsid w:val="004946AA"/>
    <w:rsid w:val="00494EA1"/>
    <w:rsid w:val="00497E2D"/>
    <w:rsid w:val="00497E69"/>
    <w:rsid w:val="004A037A"/>
    <w:rsid w:val="004A3720"/>
    <w:rsid w:val="004A420A"/>
    <w:rsid w:val="004A5153"/>
    <w:rsid w:val="004A721C"/>
    <w:rsid w:val="004B217C"/>
    <w:rsid w:val="004B29F9"/>
    <w:rsid w:val="004B4E32"/>
    <w:rsid w:val="004C101A"/>
    <w:rsid w:val="004C1931"/>
    <w:rsid w:val="004C1CF3"/>
    <w:rsid w:val="004C1E5B"/>
    <w:rsid w:val="004C2AEE"/>
    <w:rsid w:val="004C2E9B"/>
    <w:rsid w:val="004C30BF"/>
    <w:rsid w:val="004C40F3"/>
    <w:rsid w:val="004C47D4"/>
    <w:rsid w:val="004C4A78"/>
    <w:rsid w:val="004C4E3F"/>
    <w:rsid w:val="004C56A0"/>
    <w:rsid w:val="004C715A"/>
    <w:rsid w:val="004C7223"/>
    <w:rsid w:val="004C732B"/>
    <w:rsid w:val="004D029F"/>
    <w:rsid w:val="004D0B29"/>
    <w:rsid w:val="004D2E75"/>
    <w:rsid w:val="004D2F6D"/>
    <w:rsid w:val="004D3599"/>
    <w:rsid w:val="004D4779"/>
    <w:rsid w:val="004D478E"/>
    <w:rsid w:val="004D4AA9"/>
    <w:rsid w:val="004D66FB"/>
    <w:rsid w:val="004D6A17"/>
    <w:rsid w:val="004E0656"/>
    <w:rsid w:val="004E0C6D"/>
    <w:rsid w:val="004E24CC"/>
    <w:rsid w:val="004E2719"/>
    <w:rsid w:val="004E39AC"/>
    <w:rsid w:val="004E4A1C"/>
    <w:rsid w:val="004E4ED8"/>
    <w:rsid w:val="004E5271"/>
    <w:rsid w:val="004E570E"/>
    <w:rsid w:val="004E5C22"/>
    <w:rsid w:val="004E5EE8"/>
    <w:rsid w:val="004E60F9"/>
    <w:rsid w:val="004E6B0C"/>
    <w:rsid w:val="004E6F15"/>
    <w:rsid w:val="004E7265"/>
    <w:rsid w:val="004E7ED2"/>
    <w:rsid w:val="004F0E35"/>
    <w:rsid w:val="004F1A3F"/>
    <w:rsid w:val="004F2E8B"/>
    <w:rsid w:val="004F5F2C"/>
    <w:rsid w:val="004F668B"/>
    <w:rsid w:val="005008DB"/>
    <w:rsid w:val="0050103C"/>
    <w:rsid w:val="0050155F"/>
    <w:rsid w:val="00501DCD"/>
    <w:rsid w:val="00503046"/>
    <w:rsid w:val="005030CA"/>
    <w:rsid w:val="00504E89"/>
    <w:rsid w:val="0050512C"/>
    <w:rsid w:val="005054FB"/>
    <w:rsid w:val="00505F44"/>
    <w:rsid w:val="00506B24"/>
    <w:rsid w:val="00506C8C"/>
    <w:rsid w:val="0051102B"/>
    <w:rsid w:val="00511750"/>
    <w:rsid w:val="005118A2"/>
    <w:rsid w:val="00512211"/>
    <w:rsid w:val="00512F68"/>
    <w:rsid w:val="00515828"/>
    <w:rsid w:val="00516559"/>
    <w:rsid w:val="00516AE7"/>
    <w:rsid w:val="00517D55"/>
    <w:rsid w:val="00520956"/>
    <w:rsid w:val="005214D9"/>
    <w:rsid w:val="00522B7D"/>
    <w:rsid w:val="00525884"/>
    <w:rsid w:val="005276B4"/>
    <w:rsid w:val="0053036C"/>
    <w:rsid w:val="00530BCE"/>
    <w:rsid w:val="00530C7D"/>
    <w:rsid w:val="00531922"/>
    <w:rsid w:val="00531BB6"/>
    <w:rsid w:val="00531BD7"/>
    <w:rsid w:val="00532B81"/>
    <w:rsid w:val="00534578"/>
    <w:rsid w:val="005345AB"/>
    <w:rsid w:val="005403B2"/>
    <w:rsid w:val="00541D82"/>
    <w:rsid w:val="0054267B"/>
    <w:rsid w:val="0054303F"/>
    <w:rsid w:val="005446EF"/>
    <w:rsid w:val="00544D66"/>
    <w:rsid w:val="00545863"/>
    <w:rsid w:val="0054594D"/>
    <w:rsid w:val="00545963"/>
    <w:rsid w:val="00547ED3"/>
    <w:rsid w:val="0055109F"/>
    <w:rsid w:val="005513B4"/>
    <w:rsid w:val="00552DAF"/>
    <w:rsid w:val="005535E7"/>
    <w:rsid w:val="00553996"/>
    <w:rsid w:val="00553BF6"/>
    <w:rsid w:val="005548E4"/>
    <w:rsid w:val="00554B82"/>
    <w:rsid w:val="00555CD4"/>
    <w:rsid w:val="00557CC7"/>
    <w:rsid w:val="00560915"/>
    <w:rsid w:val="00560A3F"/>
    <w:rsid w:val="00560B5F"/>
    <w:rsid w:val="005622F7"/>
    <w:rsid w:val="00562385"/>
    <w:rsid w:val="005631B3"/>
    <w:rsid w:val="00564204"/>
    <w:rsid w:val="00564B8A"/>
    <w:rsid w:val="005652A8"/>
    <w:rsid w:val="005653A9"/>
    <w:rsid w:val="00565A84"/>
    <w:rsid w:val="00565CC6"/>
    <w:rsid w:val="005669BE"/>
    <w:rsid w:val="00567F61"/>
    <w:rsid w:val="00570BF0"/>
    <w:rsid w:val="00571896"/>
    <w:rsid w:val="00571F91"/>
    <w:rsid w:val="005723B9"/>
    <w:rsid w:val="005724D7"/>
    <w:rsid w:val="00575729"/>
    <w:rsid w:val="00575AD9"/>
    <w:rsid w:val="00580A4F"/>
    <w:rsid w:val="00580BC4"/>
    <w:rsid w:val="00580E5B"/>
    <w:rsid w:val="00580F61"/>
    <w:rsid w:val="0058170D"/>
    <w:rsid w:val="0058190B"/>
    <w:rsid w:val="00583E68"/>
    <w:rsid w:val="005842BE"/>
    <w:rsid w:val="00584E2C"/>
    <w:rsid w:val="00585A3E"/>
    <w:rsid w:val="00585F74"/>
    <w:rsid w:val="00586C7A"/>
    <w:rsid w:val="00587D9F"/>
    <w:rsid w:val="0059030E"/>
    <w:rsid w:val="0059042C"/>
    <w:rsid w:val="00591009"/>
    <w:rsid w:val="00591020"/>
    <w:rsid w:val="00591052"/>
    <w:rsid w:val="00591BA1"/>
    <w:rsid w:val="00591F79"/>
    <w:rsid w:val="00594ACE"/>
    <w:rsid w:val="00595013"/>
    <w:rsid w:val="0059752A"/>
    <w:rsid w:val="005A38D2"/>
    <w:rsid w:val="005A3C6E"/>
    <w:rsid w:val="005A4085"/>
    <w:rsid w:val="005A508A"/>
    <w:rsid w:val="005A5525"/>
    <w:rsid w:val="005A6BAF"/>
    <w:rsid w:val="005B1237"/>
    <w:rsid w:val="005B29F4"/>
    <w:rsid w:val="005B325C"/>
    <w:rsid w:val="005B41BA"/>
    <w:rsid w:val="005B4C7B"/>
    <w:rsid w:val="005B53C1"/>
    <w:rsid w:val="005B5949"/>
    <w:rsid w:val="005B599D"/>
    <w:rsid w:val="005B64AD"/>
    <w:rsid w:val="005B7911"/>
    <w:rsid w:val="005B7F0E"/>
    <w:rsid w:val="005C0795"/>
    <w:rsid w:val="005C10A1"/>
    <w:rsid w:val="005C28D9"/>
    <w:rsid w:val="005C401A"/>
    <w:rsid w:val="005C40DD"/>
    <w:rsid w:val="005C587E"/>
    <w:rsid w:val="005C60EC"/>
    <w:rsid w:val="005C669E"/>
    <w:rsid w:val="005C7001"/>
    <w:rsid w:val="005C7E23"/>
    <w:rsid w:val="005D0046"/>
    <w:rsid w:val="005D0BA5"/>
    <w:rsid w:val="005D1018"/>
    <w:rsid w:val="005D13CC"/>
    <w:rsid w:val="005D1BF7"/>
    <w:rsid w:val="005D1F78"/>
    <w:rsid w:val="005D29C1"/>
    <w:rsid w:val="005D2FE9"/>
    <w:rsid w:val="005D4428"/>
    <w:rsid w:val="005D615C"/>
    <w:rsid w:val="005D61B5"/>
    <w:rsid w:val="005D68F0"/>
    <w:rsid w:val="005D6CE3"/>
    <w:rsid w:val="005D7666"/>
    <w:rsid w:val="005E0650"/>
    <w:rsid w:val="005E16D3"/>
    <w:rsid w:val="005E28E2"/>
    <w:rsid w:val="005E4749"/>
    <w:rsid w:val="005E5575"/>
    <w:rsid w:val="005E5E4B"/>
    <w:rsid w:val="005E6098"/>
    <w:rsid w:val="005E6F5B"/>
    <w:rsid w:val="005F0219"/>
    <w:rsid w:val="005F3226"/>
    <w:rsid w:val="005F396A"/>
    <w:rsid w:val="005F3B4C"/>
    <w:rsid w:val="005F4284"/>
    <w:rsid w:val="005F4401"/>
    <w:rsid w:val="005F6ADA"/>
    <w:rsid w:val="00600484"/>
    <w:rsid w:val="00601BCF"/>
    <w:rsid w:val="00606DC8"/>
    <w:rsid w:val="0061090E"/>
    <w:rsid w:val="00614F69"/>
    <w:rsid w:val="0061610C"/>
    <w:rsid w:val="00616836"/>
    <w:rsid w:val="00620DD1"/>
    <w:rsid w:val="006211FD"/>
    <w:rsid w:val="0062162D"/>
    <w:rsid w:val="00621FFC"/>
    <w:rsid w:val="006229BF"/>
    <w:rsid w:val="00623011"/>
    <w:rsid w:val="00625205"/>
    <w:rsid w:val="006258D8"/>
    <w:rsid w:val="00627EFC"/>
    <w:rsid w:val="006305F3"/>
    <w:rsid w:val="00631C53"/>
    <w:rsid w:val="00632125"/>
    <w:rsid w:val="006329BF"/>
    <w:rsid w:val="00632DE2"/>
    <w:rsid w:val="006368A8"/>
    <w:rsid w:val="006372D0"/>
    <w:rsid w:val="006379C6"/>
    <w:rsid w:val="00637F32"/>
    <w:rsid w:val="00641091"/>
    <w:rsid w:val="00641E8E"/>
    <w:rsid w:val="00642348"/>
    <w:rsid w:val="0064481F"/>
    <w:rsid w:val="00644BF0"/>
    <w:rsid w:val="00645EDE"/>
    <w:rsid w:val="006461EC"/>
    <w:rsid w:val="00651AEA"/>
    <w:rsid w:val="00651DAA"/>
    <w:rsid w:val="0065322E"/>
    <w:rsid w:val="00655EBA"/>
    <w:rsid w:val="00657A0F"/>
    <w:rsid w:val="0066068C"/>
    <w:rsid w:val="00660EBC"/>
    <w:rsid w:val="0066249A"/>
    <w:rsid w:val="00665750"/>
    <w:rsid w:val="00666413"/>
    <w:rsid w:val="006667A0"/>
    <w:rsid w:val="00666FEA"/>
    <w:rsid w:val="00671177"/>
    <w:rsid w:val="00672561"/>
    <w:rsid w:val="006728E1"/>
    <w:rsid w:val="00672B24"/>
    <w:rsid w:val="00672B88"/>
    <w:rsid w:val="00675DEB"/>
    <w:rsid w:val="00676644"/>
    <w:rsid w:val="00676836"/>
    <w:rsid w:val="006772DF"/>
    <w:rsid w:val="006821EF"/>
    <w:rsid w:val="00683080"/>
    <w:rsid w:val="00684E81"/>
    <w:rsid w:val="00685832"/>
    <w:rsid w:val="00686B8E"/>
    <w:rsid w:val="00687275"/>
    <w:rsid w:val="006912FE"/>
    <w:rsid w:val="006919EF"/>
    <w:rsid w:val="00691D6A"/>
    <w:rsid w:val="00692BBB"/>
    <w:rsid w:val="00695A1B"/>
    <w:rsid w:val="00695BF7"/>
    <w:rsid w:val="00695C39"/>
    <w:rsid w:val="006A0CAC"/>
    <w:rsid w:val="006A1D73"/>
    <w:rsid w:val="006A3BD6"/>
    <w:rsid w:val="006B07D4"/>
    <w:rsid w:val="006B185E"/>
    <w:rsid w:val="006B1926"/>
    <w:rsid w:val="006B194F"/>
    <w:rsid w:val="006B41A0"/>
    <w:rsid w:val="006B475C"/>
    <w:rsid w:val="006B55C1"/>
    <w:rsid w:val="006B5AA8"/>
    <w:rsid w:val="006B6F30"/>
    <w:rsid w:val="006B7273"/>
    <w:rsid w:val="006B7657"/>
    <w:rsid w:val="006C0815"/>
    <w:rsid w:val="006C1359"/>
    <w:rsid w:val="006C1ECA"/>
    <w:rsid w:val="006C2606"/>
    <w:rsid w:val="006C5033"/>
    <w:rsid w:val="006C5375"/>
    <w:rsid w:val="006C5A5A"/>
    <w:rsid w:val="006D01CC"/>
    <w:rsid w:val="006D0D31"/>
    <w:rsid w:val="006D1445"/>
    <w:rsid w:val="006D317D"/>
    <w:rsid w:val="006D384B"/>
    <w:rsid w:val="006D454F"/>
    <w:rsid w:val="006D53CD"/>
    <w:rsid w:val="006D5B9E"/>
    <w:rsid w:val="006D611E"/>
    <w:rsid w:val="006E0D01"/>
    <w:rsid w:val="006E1318"/>
    <w:rsid w:val="006E132A"/>
    <w:rsid w:val="006E2641"/>
    <w:rsid w:val="006E31E9"/>
    <w:rsid w:val="006E53DE"/>
    <w:rsid w:val="006E543A"/>
    <w:rsid w:val="006E6715"/>
    <w:rsid w:val="006F0B41"/>
    <w:rsid w:val="006F185F"/>
    <w:rsid w:val="006F2880"/>
    <w:rsid w:val="006F3014"/>
    <w:rsid w:val="006F44F2"/>
    <w:rsid w:val="006F556E"/>
    <w:rsid w:val="006F5A2F"/>
    <w:rsid w:val="006F6675"/>
    <w:rsid w:val="006F6EA6"/>
    <w:rsid w:val="006F7D65"/>
    <w:rsid w:val="006F7F20"/>
    <w:rsid w:val="00700E05"/>
    <w:rsid w:val="00704B4A"/>
    <w:rsid w:val="00705E85"/>
    <w:rsid w:val="007071BC"/>
    <w:rsid w:val="00707A35"/>
    <w:rsid w:val="00707E3B"/>
    <w:rsid w:val="007104B7"/>
    <w:rsid w:val="00710D37"/>
    <w:rsid w:val="00711915"/>
    <w:rsid w:val="007125A7"/>
    <w:rsid w:val="00712D94"/>
    <w:rsid w:val="007131B5"/>
    <w:rsid w:val="007131F9"/>
    <w:rsid w:val="00714E07"/>
    <w:rsid w:val="00715083"/>
    <w:rsid w:val="0071571A"/>
    <w:rsid w:val="00715A5B"/>
    <w:rsid w:val="00715F14"/>
    <w:rsid w:val="007178E6"/>
    <w:rsid w:val="007204F3"/>
    <w:rsid w:val="0072081C"/>
    <w:rsid w:val="00722604"/>
    <w:rsid w:val="007238A7"/>
    <w:rsid w:val="0072410E"/>
    <w:rsid w:val="00725D75"/>
    <w:rsid w:val="00727A67"/>
    <w:rsid w:val="00730704"/>
    <w:rsid w:val="00733524"/>
    <w:rsid w:val="007337B4"/>
    <w:rsid w:val="00733864"/>
    <w:rsid w:val="00733D58"/>
    <w:rsid w:val="007349B9"/>
    <w:rsid w:val="00734DA4"/>
    <w:rsid w:val="007356BB"/>
    <w:rsid w:val="0073750D"/>
    <w:rsid w:val="0073782A"/>
    <w:rsid w:val="007409FD"/>
    <w:rsid w:val="00741807"/>
    <w:rsid w:val="00741880"/>
    <w:rsid w:val="0074192F"/>
    <w:rsid w:val="00741E40"/>
    <w:rsid w:val="00742112"/>
    <w:rsid w:val="00742C61"/>
    <w:rsid w:val="007447C0"/>
    <w:rsid w:val="00744A3F"/>
    <w:rsid w:val="00744E0E"/>
    <w:rsid w:val="00747BE4"/>
    <w:rsid w:val="00750B01"/>
    <w:rsid w:val="00751A6B"/>
    <w:rsid w:val="007524F1"/>
    <w:rsid w:val="00752A53"/>
    <w:rsid w:val="007541E7"/>
    <w:rsid w:val="007548F0"/>
    <w:rsid w:val="0075608E"/>
    <w:rsid w:val="00756F58"/>
    <w:rsid w:val="007573B9"/>
    <w:rsid w:val="0076199E"/>
    <w:rsid w:val="00761F5F"/>
    <w:rsid w:val="00762967"/>
    <w:rsid w:val="00763650"/>
    <w:rsid w:val="0076462B"/>
    <w:rsid w:val="00764E4D"/>
    <w:rsid w:val="00765EC0"/>
    <w:rsid w:val="00766D5B"/>
    <w:rsid w:val="007671CD"/>
    <w:rsid w:val="00767DB7"/>
    <w:rsid w:val="00770083"/>
    <w:rsid w:val="0077094C"/>
    <w:rsid w:val="0077253E"/>
    <w:rsid w:val="00772DCB"/>
    <w:rsid w:val="00774AAA"/>
    <w:rsid w:val="00774D4D"/>
    <w:rsid w:val="00776357"/>
    <w:rsid w:val="00776453"/>
    <w:rsid w:val="00777FB6"/>
    <w:rsid w:val="00781BAD"/>
    <w:rsid w:val="00781D00"/>
    <w:rsid w:val="007834C7"/>
    <w:rsid w:val="00784605"/>
    <w:rsid w:val="00785A6B"/>
    <w:rsid w:val="007867C6"/>
    <w:rsid w:val="007905D6"/>
    <w:rsid w:val="007918DC"/>
    <w:rsid w:val="007934C4"/>
    <w:rsid w:val="00793AB7"/>
    <w:rsid w:val="007952D0"/>
    <w:rsid w:val="007956B9"/>
    <w:rsid w:val="00796474"/>
    <w:rsid w:val="00797A14"/>
    <w:rsid w:val="00797C14"/>
    <w:rsid w:val="007A00D5"/>
    <w:rsid w:val="007A17B5"/>
    <w:rsid w:val="007A24AD"/>
    <w:rsid w:val="007A79AE"/>
    <w:rsid w:val="007B0A9B"/>
    <w:rsid w:val="007B13A8"/>
    <w:rsid w:val="007B3EF2"/>
    <w:rsid w:val="007B5907"/>
    <w:rsid w:val="007B7DEA"/>
    <w:rsid w:val="007B7F5E"/>
    <w:rsid w:val="007C05A6"/>
    <w:rsid w:val="007C08E1"/>
    <w:rsid w:val="007C14AB"/>
    <w:rsid w:val="007C2276"/>
    <w:rsid w:val="007C24BC"/>
    <w:rsid w:val="007C3F28"/>
    <w:rsid w:val="007C7EC7"/>
    <w:rsid w:val="007D0ED6"/>
    <w:rsid w:val="007D2722"/>
    <w:rsid w:val="007D4BDE"/>
    <w:rsid w:val="007D72A7"/>
    <w:rsid w:val="007D77C1"/>
    <w:rsid w:val="007E36D8"/>
    <w:rsid w:val="007E3BF6"/>
    <w:rsid w:val="007E46B5"/>
    <w:rsid w:val="007E562A"/>
    <w:rsid w:val="007E6017"/>
    <w:rsid w:val="007F0BBA"/>
    <w:rsid w:val="007F0E4E"/>
    <w:rsid w:val="007F144F"/>
    <w:rsid w:val="007F1826"/>
    <w:rsid w:val="007F1A89"/>
    <w:rsid w:val="007F3519"/>
    <w:rsid w:val="007F3A81"/>
    <w:rsid w:val="007F45D3"/>
    <w:rsid w:val="007F4ED1"/>
    <w:rsid w:val="007F567C"/>
    <w:rsid w:val="007F73FA"/>
    <w:rsid w:val="0080181C"/>
    <w:rsid w:val="00804A93"/>
    <w:rsid w:val="00804D46"/>
    <w:rsid w:val="0080716D"/>
    <w:rsid w:val="00807F0D"/>
    <w:rsid w:val="00810A46"/>
    <w:rsid w:val="00812290"/>
    <w:rsid w:val="0081447F"/>
    <w:rsid w:val="00816EB3"/>
    <w:rsid w:val="0082090F"/>
    <w:rsid w:val="008221AE"/>
    <w:rsid w:val="008222C4"/>
    <w:rsid w:val="0082273F"/>
    <w:rsid w:val="008236D2"/>
    <w:rsid w:val="008237B3"/>
    <w:rsid w:val="00824B26"/>
    <w:rsid w:val="00824D24"/>
    <w:rsid w:val="00824F55"/>
    <w:rsid w:val="0082569D"/>
    <w:rsid w:val="008269AB"/>
    <w:rsid w:val="00827037"/>
    <w:rsid w:val="00830648"/>
    <w:rsid w:val="00830C29"/>
    <w:rsid w:val="008311BD"/>
    <w:rsid w:val="0083125A"/>
    <w:rsid w:val="008331C4"/>
    <w:rsid w:val="00836F52"/>
    <w:rsid w:val="00837F13"/>
    <w:rsid w:val="00837F8F"/>
    <w:rsid w:val="00840D2F"/>
    <w:rsid w:val="00840FE2"/>
    <w:rsid w:val="00841250"/>
    <w:rsid w:val="00841379"/>
    <w:rsid w:val="00841C49"/>
    <w:rsid w:val="008427F4"/>
    <w:rsid w:val="008430CE"/>
    <w:rsid w:val="008436F2"/>
    <w:rsid w:val="00843BB2"/>
    <w:rsid w:val="00844D98"/>
    <w:rsid w:val="0084701B"/>
    <w:rsid w:val="00850387"/>
    <w:rsid w:val="00853D93"/>
    <w:rsid w:val="00854873"/>
    <w:rsid w:val="00857037"/>
    <w:rsid w:val="00857497"/>
    <w:rsid w:val="008577A7"/>
    <w:rsid w:val="00857881"/>
    <w:rsid w:val="00857CA9"/>
    <w:rsid w:val="00857D4A"/>
    <w:rsid w:val="008605EB"/>
    <w:rsid w:val="008619AE"/>
    <w:rsid w:val="008635ED"/>
    <w:rsid w:val="00864BB2"/>
    <w:rsid w:val="00865D25"/>
    <w:rsid w:val="008679E4"/>
    <w:rsid w:val="00867D66"/>
    <w:rsid w:val="008709E0"/>
    <w:rsid w:val="00870EBB"/>
    <w:rsid w:val="00873995"/>
    <w:rsid w:val="00873C97"/>
    <w:rsid w:val="00874766"/>
    <w:rsid w:val="00874CB4"/>
    <w:rsid w:val="00875CDC"/>
    <w:rsid w:val="00876153"/>
    <w:rsid w:val="0087634A"/>
    <w:rsid w:val="0087668D"/>
    <w:rsid w:val="00876698"/>
    <w:rsid w:val="008767D3"/>
    <w:rsid w:val="008767FD"/>
    <w:rsid w:val="00876D2E"/>
    <w:rsid w:val="008773D1"/>
    <w:rsid w:val="00880EBC"/>
    <w:rsid w:val="0088231C"/>
    <w:rsid w:val="00882BED"/>
    <w:rsid w:val="008843EB"/>
    <w:rsid w:val="008844ED"/>
    <w:rsid w:val="00886993"/>
    <w:rsid w:val="008875E0"/>
    <w:rsid w:val="00890E1F"/>
    <w:rsid w:val="008911A7"/>
    <w:rsid w:val="00891F09"/>
    <w:rsid w:val="00892AE6"/>
    <w:rsid w:val="00892C4E"/>
    <w:rsid w:val="00892D7D"/>
    <w:rsid w:val="00892E35"/>
    <w:rsid w:val="00893966"/>
    <w:rsid w:val="00893ACD"/>
    <w:rsid w:val="0089554B"/>
    <w:rsid w:val="00895DBE"/>
    <w:rsid w:val="008961E0"/>
    <w:rsid w:val="00897EC6"/>
    <w:rsid w:val="008A029C"/>
    <w:rsid w:val="008A087C"/>
    <w:rsid w:val="008A0A6E"/>
    <w:rsid w:val="008A14EA"/>
    <w:rsid w:val="008A1B96"/>
    <w:rsid w:val="008A1E79"/>
    <w:rsid w:val="008A2140"/>
    <w:rsid w:val="008A3320"/>
    <w:rsid w:val="008A3A18"/>
    <w:rsid w:val="008A469F"/>
    <w:rsid w:val="008A63C4"/>
    <w:rsid w:val="008A765B"/>
    <w:rsid w:val="008A7CFC"/>
    <w:rsid w:val="008B0264"/>
    <w:rsid w:val="008B0382"/>
    <w:rsid w:val="008B0BFA"/>
    <w:rsid w:val="008B1988"/>
    <w:rsid w:val="008B1DF3"/>
    <w:rsid w:val="008B266F"/>
    <w:rsid w:val="008B3820"/>
    <w:rsid w:val="008B3E63"/>
    <w:rsid w:val="008B40BF"/>
    <w:rsid w:val="008B4388"/>
    <w:rsid w:val="008B45AC"/>
    <w:rsid w:val="008B4D2F"/>
    <w:rsid w:val="008B5796"/>
    <w:rsid w:val="008C0B1E"/>
    <w:rsid w:val="008C14C1"/>
    <w:rsid w:val="008C1812"/>
    <w:rsid w:val="008C1C93"/>
    <w:rsid w:val="008C4623"/>
    <w:rsid w:val="008C513D"/>
    <w:rsid w:val="008C6A12"/>
    <w:rsid w:val="008D15D1"/>
    <w:rsid w:val="008D19F4"/>
    <w:rsid w:val="008D2C3E"/>
    <w:rsid w:val="008D3B89"/>
    <w:rsid w:val="008D3C13"/>
    <w:rsid w:val="008D3E05"/>
    <w:rsid w:val="008D4BF9"/>
    <w:rsid w:val="008D69D8"/>
    <w:rsid w:val="008D6ADE"/>
    <w:rsid w:val="008D70A3"/>
    <w:rsid w:val="008E0D2A"/>
    <w:rsid w:val="008E2BD1"/>
    <w:rsid w:val="008E5C5B"/>
    <w:rsid w:val="008E619F"/>
    <w:rsid w:val="008E725B"/>
    <w:rsid w:val="008E7EA7"/>
    <w:rsid w:val="008F121F"/>
    <w:rsid w:val="008F212E"/>
    <w:rsid w:val="008F27C8"/>
    <w:rsid w:val="008F40AC"/>
    <w:rsid w:val="008F4AE1"/>
    <w:rsid w:val="008F4D60"/>
    <w:rsid w:val="008F50D8"/>
    <w:rsid w:val="008F53D6"/>
    <w:rsid w:val="008F5691"/>
    <w:rsid w:val="008F5D7C"/>
    <w:rsid w:val="008F6805"/>
    <w:rsid w:val="00900551"/>
    <w:rsid w:val="0090194C"/>
    <w:rsid w:val="00904AE0"/>
    <w:rsid w:val="009057C4"/>
    <w:rsid w:val="00906126"/>
    <w:rsid w:val="00906E8A"/>
    <w:rsid w:val="00906FD3"/>
    <w:rsid w:val="00907203"/>
    <w:rsid w:val="009078E7"/>
    <w:rsid w:val="00911113"/>
    <w:rsid w:val="00912FBA"/>
    <w:rsid w:val="00913532"/>
    <w:rsid w:val="00913BD4"/>
    <w:rsid w:val="00915D94"/>
    <w:rsid w:val="0091666B"/>
    <w:rsid w:val="00917F84"/>
    <w:rsid w:val="00920076"/>
    <w:rsid w:val="00920145"/>
    <w:rsid w:val="00921D21"/>
    <w:rsid w:val="00922E79"/>
    <w:rsid w:val="009236E2"/>
    <w:rsid w:val="00930FE3"/>
    <w:rsid w:val="009316EC"/>
    <w:rsid w:val="00931E11"/>
    <w:rsid w:val="00931E72"/>
    <w:rsid w:val="0093236D"/>
    <w:rsid w:val="00933118"/>
    <w:rsid w:val="009338AC"/>
    <w:rsid w:val="00933AF0"/>
    <w:rsid w:val="00933BB7"/>
    <w:rsid w:val="00934458"/>
    <w:rsid w:val="00934EDE"/>
    <w:rsid w:val="00935FB8"/>
    <w:rsid w:val="00937927"/>
    <w:rsid w:val="009379C2"/>
    <w:rsid w:val="0094079D"/>
    <w:rsid w:val="00940AE8"/>
    <w:rsid w:val="00940EF9"/>
    <w:rsid w:val="009432D3"/>
    <w:rsid w:val="009440EC"/>
    <w:rsid w:val="00944139"/>
    <w:rsid w:val="009452E3"/>
    <w:rsid w:val="00950370"/>
    <w:rsid w:val="009516E2"/>
    <w:rsid w:val="00951A04"/>
    <w:rsid w:val="00952CC2"/>
    <w:rsid w:val="00952F18"/>
    <w:rsid w:val="00953766"/>
    <w:rsid w:val="00954004"/>
    <w:rsid w:val="009543DE"/>
    <w:rsid w:val="009556D1"/>
    <w:rsid w:val="00956950"/>
    <w:rsid w:val="00957EE5"/>
    <w:rsid w:val="00960672"/>
    <w:rsid w:val="00962C27"/>
    <w:rsid w:val="00963DD3"/>
    <w:rsid w:val="00964552"/>
    <w:rsid w:val="009649F3"/>
    <w:rsid w:val="0096500F"/>
    <w:rsid w:val="00965D8F"/>
    <w:rsid w:val="00965E4E"/>
    <w:rsid w:val="00966A37"/>
    <w:rsid w:val="00967F70"/>
    <w:rsid w:val="00970DAA"/>
    <w:rsid w:val="00971469"/>
    <w:rsid w:val="009719C3"/>
    <w:rsid w:val="0097257E"/>
    <w:rsid w:val="00972A4C"/>
    <w:rsid w:val="00975449"/>
    <w:rsid w:val="00976C84"/>
    <w:rsid w:val="009807B2"/>
    <w:rsid w:val="00980AD2"/>
    <w:rsid w:val="00981413"/>
    <w:rsid w:val="00981E14"/>
    <w:rsid w:val="00981FB5"/>
    <w:rsid w:val="0098202E"/>
    <w:rsid w:val="0098310A"/>
    <w:rsid w:val="0098316F"/>
    <w:rsid w:val="00983D3C"/>
    <w:rsid w:val="009843C7"/>
    <w:rsid w:val="00985481"/>
    <w:rsid w:val="00985C7D"/>
    <w:rsid w:val="009861D9"/>
    <w:rsid w:val="00987991"/>
    <w:rsid w:val="00987BEA"/>
    <w:rsid w:val="00987D24"/>
    <w:rsid w:val="00990F24"/>
    <w:rsid w:val="00992720"/>
    <w:rsid w:val="00993A1D"/>
    <w:rsid w:val="00995947"/>
    <w:rsid w:val="00997273"/>
    <w:rsid w:val="009B0962"/>
    <w:rsid w:val="009B0A10"/>
    <w:rsid w:val="009B0B35"/>
    <w:rsid w:val="009B1918"/>
    <w:rsid w:val="009B1F29"/>
    <w:rsid w:val="009B2068"/>
    <w:rsid w:val="009B294E"/>
    <w:rsid w:val="009B2C6D"/>
    <w:rsid w:val="009B2E93"/>
    <w:rsid w:val="009B2FB2"/>
    <w:rsid w:val="009B37D1"/>
    <w:rsid w:val="009B4AE7"/>
    <w:rsid w:val="009B6E1D"/>
    <w:rsid w:val="009B71C8"/>
    <w:rsid w:val="009B7DC8"/>
    <w:rsid w:val="009C19B1"/>
    <w:rsid w:val="009C2F97"/>
    <w:rsid w:val="009C42A7"/>
    <w:rsid w:val="009C4CE3"/>
    <w:rsid w:val="009C5B68"/>
    <w:rsid w:val="009C66CA"/>
    <w:rsid w:val="009C782D"/>
    <w:rsid w:val="009C7E4A"/>
    <w:rsid w:val="009D1CB1"/>
    <w:rsid w:val="009D346F"/>
    <w:rsid w:val="009D3930"/>
    <w:rsid w:val="009D5F0D"/>
    <w:rsid w:val="009D6AAC"/>
    <w:rsid w:val="009D78AA"/>
    <w:rsid w:val="009D7AC2"/>
    <w:rsid w:val="009D7C68"/>
    <w:rsid w:val="009E070A"/>
    <w:rsid w:val="009E48FF"/>
    <w:rsid w:val="009E4A3A"/>
    <w:rsid w:val="009E4D4D"/>
    <w:rsid w:val="009E5EE9"/>
    <w:rsid w:val="009E7077"/>
    <w:rsid w:val="009E72B0"/>
    <w:rsid w:val="009F1884"/>
    <w:rsid w:val="009F2A30"/>
    <w:rsid w:val="009F568B"/>
    <w:rsid w:val="009F6603"/>
    <w:rsid w:val="009F6B78"/>
    <w:rsid w:val="009F7F35"/>
    <w:rsid w:val="00A01017"/>
    <w:rsid w:val="00A01582"/>
    <w:rsid w:val="00A01975"/>
    <w:rsid w:val="00A02E7B"/>
    <w:rsid w:val="00A033ED"/>
    <w:rsid w:val="00A051EE"/>
    <w:rsid w:val="00A05884"/>
    <w:rsid w:val="00A05F81"/>
    <w:rsid w:val="00A062EC"/>
    <w:rsid w:val="00A06593"/>
    <w:rsid w:val="00A0729C"/>
    <w:rsid w:val="00A12F2A"/>
    <w:rsid w:val="00A137D9"/>
    <w:rsid w:val="00A140B7"/>
    <w:rsid w:val="00A14160"/>
    <w:rsid w:val="00A1477D"/>
    <w:rsid w:val="00A15064"/>
    <w:rsid w:val="00A153ED"/>
    <w:rsid w:val="00A200EF"/>
    <w:rsid w:val="00A2019E"/>
    <w:rsid w:val="00A207FB"/>
    <w:rsid w:val="00A2083D"/>
    <w:rsid w:val="00A208DA"/>
    <w:rsid w:val="00A21497"/>
    <w:rsid w:val="00A22CE9"/>
    <w:rsid w:val="00A2312F"/>
    <w:rsid w:val="00A2334A"/>
    <w:rsid w:val="00A2444F"/>
    <w:rsid w:val="00A26885"/>
    <w:rsid w:val="00A26D03"/>
    <w:rsid w:val="00A312F1"/>
    <w:rsid w:val="00A3183B"/>
    <w:rsid w:val="00A31D60"/>
    <w:rsid w:val="00A34AE1"/>
    <w:rsid w:val="00A34B5F"/>
    <w:rsid w:val="00A35AB1"/>
    <w:rsid w:val="00A40E9B"/>
    <w:rsid w:val="00A41C6E"/>
    <w:rsid w:val="00A43324"/>
    <w:rsid w:val="00A451C3"/>
    <w:rsid w:val="00A46220"/>
    <w:rsid w:val="00A46406"/>
    <w:rsid w:val="00A50321"/>
    <w:rsid w:val="00A52498"/>
    <w:rsid w:val="00A54367"/>
    <w:rsid w:val="00A55AD4"/>
    <w:rsid w:val="00A560B1"/>
    <w:rsid w:val="00A60762"/>
    <w:rsid w:val="00A60F04"/>
    <w:rsid w:val="00A6185D"/>
    <w:rsid w:val="00A62E24"/>
    <w:rsid w:val="00A64EFE"/>
    <w:rsid w:val="00A65F79"/>
    <w:rsid w:val="00A666FE"/>
    <w:rsid w:val="00A6683A"/>
    <w:rsid w:val="00A70391"/>
    <w:rsid w:val="00A70AC2"/>
    <w:rsid w:val="00A70F32"/>
    <w:rsid w:val="00A72523"/>
    <w:rsid w:val="00A740C2"/>
    <w:rsid w:val="00A74C7A"/>
    <w:rsid w:val="00A75337"/>
    <w:rsid w:val="00A75907"/>
    <w:rsid w:val="00A75DAE"/>
    <w:rsid w:val="00A80A89"/>
    <w:rsid w:val="00A80B6A"/>
    <w:rsid w:val="00A810F6"/>
    <w:rsid w:val="00A84A49"/>
    <w:rsid w:val="00A84AF3"/>
    <w:rsid w:val="00A85EA6"/>
    <w:rsid w:val="00A902F9"/>
    <w:rsid w:val="00A90AB6"/>
    <w:rsid w:val="00A91361"/>
    <w:rsid w:val="00A92B76"/>
    <w:rsid w:val="00A9380F"/>
    <w:rsid w:val="00A93EC9"/>
    <w:rsid w:val="00A9433E"/>
    <w:rsid w:val="00A94D2D"/>
    <w:rsid w:val="00A94D5B"/>
    <w:rsid w:val="00A94FCD"/>
    <w:rsid w:val="00A955DC"/>
    <w:rsid w:val="00A95F7C"/>
    <w:rsid w:val="00A96950"/>
    <w:rsid w:val="00A977A6"/>
    <w:rsid w:val="00AA32FD"/>
    <w:rsid w:val="00AA4D54"/>
    <w:rsid w:val="00AA66C2"/>
    <w:rsid w:val="00AB25C0"/>
    <w:rsid w:val="00AB2D67"/>
    <w:rsid w:val="00AB3017"/>
    <w:rsid w:val="00AB3469"/>
    <w:rsid w:val="00AB5832"/>
    <w:rsid w:val="00AB591B"/>
    <w:rsid w:val="00AB65DD"/>
    <w:rsid w:val="00AB7B3E"/>
    <w:rsid w:val="00AC0243"/>
    <w:rsid w:val="00AC0CEF"/>
    <w:rsid w:val="00AC1642"/>
    <w:rsid w:val="00AC2069"/>
    <w:rsid w:val="00AC24D3"/>
    <w:rsid w:val="00AC30C4"/>
    <w:rsid w:val="00AC34C3"/>
    <w:rsid w:val="00AC438F"/>
    <w:rsid w:val="00AC6085"/>
    <w:rsid w:val="00AC6166"/>
    <w:rsid w:val="00AC67AB"/>
    <w:rsid w:val="00AC6C8A"/>
    <w:rsid w:val="00AD23D4"/>
    <w:rsid w:val="00AD26BB"/>
    <w:rsid w:val="00AD2BC7"/>
    <w:rsid w:val="00AD3817"/>
    <w:rsid w:val="00AD47B7"/>
    <w:rsid w:val="00AD6A89"/>
    <w:rsid w:val="00AE03EE"/>
    <w:rsid w:val="00AE06C2"/>
    <w:rsid w:val="00AE2618"/>
    <w:rsid w:val="00AE6B82"/>
    <w:rsid w:val="00AE6BC2"/>
    <w:rsid w:val="00AF097A"/>
    <w:rsid w:val="00AF193F"/>
    <w:rsid w:val="00AF296C"/>
    <w:rsid w:val="00AF2B6C"/>
    <w:rsid w:val="00AF2F39"/>
    <w:rsid w:val="00AF40DF"/>
    <w:rsid w:val="00AF4C24"/>
    <w:rsid w:val="00AF51EF"/>
    <w:rsid w:val="00AF61DB"/>
    <w:rsid w:val="00AF6381"/>
    <w:rsid w:val="00AF645A"/>
    <w:rsid w:val="00AF78BA"/>
    <w:rsid w:val="00B00071"/>
    <w:rsid w:val="00B007EA"/>
    <w:rsid w:val="00B0285F"/>
    <w:rsid w:val="00B03894"/>
    <w:rsid w:val="00B04610"/>
    <w:rsid w:val="00B049D9"/>
    <w:rsid w:val="00B06810"/>
    <w:rsid w:val="00B07B43"/>
    <w:rsid w:val="00B11114"/>
    <w:rsid w:val="00B11317"/>
    <w:rsid w:val="00B11E70"/>
    <w:rsid w:val="00B13B8A"/>
    <w:rsid w:val="00B13CD8"/>
    <w:rsid w:val="00B1412E"/>
    <w:rsid w:val="00B14E91"/>
    <w:rsid w:val="00B1616E"/>
    <w:rsid w:val="00B163E5"/>
    <w:rsid w:val="00B16AA8"/>
    <w:rsid w:val="00B173E9"/>
    <w:rsid w:val="00B20471"/>
    <w:rsid w:val="00B21C53"/>
    <w:rsid w:val="00B226B0"/>
    <w:rsid w:val="00B2643A"/>
    <w:rsid w:val="00B279C2"/>
    <w:rsid w:val="00B30275"/>
    <w:rsid w:val="00B31554"/>
    <w:rsid w:val="00B3286C"/>
    <w:rsid w:val="00B33C7C"/>
    <w:rsid w:val="00B35AF6"/>
    <w:rsid w:val="00B3606B"/>
    <w:rsid w:val="00B37697"/>
    <w:rsid w:val="00B400DE"/>
    <w:rsid w:val="00B407E1"/>
    <w:rsid w:val="00B41736"/>
    <w:rsid w:val="00B41EFC"/>
    <w:rsid w:val="00B423B8"/>
    <w:rsid w:val="00B42CE2"/>
    <w:rsid w:val="00B43688"/>
    <w:rsid w:val="00B4478E"/>
    <w:rsid w:val="00B45381"/>
    <w:rsid w:val="00B457CC"/>
    <w:rsid w:val="00B462BC"/>
    <w:rsid w:val="00B4671C"/>
    <w:rsid w:val="00B46F89"/>
    <w:rsid w:val="00B4732B"/>
    <w:rsid w:val="00B50B60"/>
    <w:rsid w:val="00B5150C"/>
    <w:rsid w:val="00B51BD9"/>
    <w:rsid w:val="00B522FC"/>
    <w:rsid w:val="00B52765"/>
    <w:rsid w:val="00B54350"/>
    <w:rsid w:val="00B549A7"/>
    <w:rsid w:val="00B55237"/>
    <w:rsid w:val="00B60529"/>
    <w:rsid w:val="00B60A7F"/>
    <w:rsid w:val="00B6150E"/>
    <w:rsid w:val="00B6155D"/>
    <w:rsid w:val="00B62C5C"/>
    <w:rsid w:val="00B63BFB"/>
    <w:rsid w:val="00B64DEC"/>
    <w:rsid w:val="00B64FA6"/>
    <w:rsid w:val="00B65562"/>
    <w:rsid w:val="00B657EF"/>
    <w:rsid w:val="00B65C61"/>
    <w:rsid w:val="00B66C14"/>
    <w:rsid w:val="00B66E3F"/>
    <w:rsid w:val="00B703BC"/>
    <w:rsid w:val="00B725C9"/>
    <w:rsid w:val="00B73B19"/>
    <w:rsid w:val="00B84B23"/>
    <w:rsid w:val="00B84B4C"/>
    <w:rsid w:val="00B869BE"/>
    <w:rsid w:val="00B87F43"/>
    <w:rsid w:val="00B90E83"/>
    <w:rsid w:val="00B91EE7"/>
    <w:rsid w:val="00B92570"/>
    <w:rsid w:val="00B928BE"/>
    <w:rsid w:val="00B9440A"/>
    <w:rsid w:val="00B956BF"/>
    <w:rsid w:val="00B96FF9"/>
    <w:rsid w:val="00BA023A"/>
    <w:rsid w:val="00BA0990"/>
    <w:rsid w:val="00BA114B"/>
    <w:rsid w:val="00BA153C"/>
    <w:rsid w:val="00BA19D8"/>
    <w:rsid w:val="00BA4341"/>
    <w:rsid w:val="00BA6C5C"/>
    <w:rsid w:val="00BB09C5"/>
    <w:rsid w:val="00BB1856"/>
    <w:rsid w:val="00BB2746"/>
    <w:rsid w:val="00BB37FA"/>
    <w:rsid w:val="00BB4C1E"/>
    <w:rsid w:val="00BB57B3"/>
    <w:rsid w:val="00BB5BE8"/>
    <w:rsid w:val="00BB6345"/>
    <w:rsid w:val="00BB68EC"/>
    <w:rsid w:val="00BC072F"/>
    <w:rsid w:val="00BC276B"/>
    <w:rsid w:val="00BC68D9"/>
    <w:rsid w:val="00BC6A34"/>
    <w:rsid w:val="00BD0CDB"/>
    <w:rsid w:val="00BD1D99"/>
    <w:rsid w:val="00BD3C43"/>
    <w:rsid w:val="00BD3F45"/>
    <w:rsid w:val="00BD5349"/>
    <w:rsid w:val="00BD5E3C"/>
    <w:rsid w:val="00BD630C"/>
    <w:rsid w:val="00BD6A88"/>
    <w:rsid w:val="00BD6F7A"/>
    <w:rsid w:val="00BD70BE"/>
    <w:rsid w:val="00BD71E4"/>
    <w:rsid w:val="00BE0428"/>
    <w:rsid w:val="00BE2966"/>
    <w:rsid w:val="00BE365A"/>
    <w:rsid w:val="00BE49C1"/>
    <w:rsid w:val="00BE4FD7"/>
    <w:rsid w:val="00BE5030"/>
    <w:rsid w:val="00BE6EFF"/>
    <w:rsid w:val="00BE7B95"/>
    <w:rsid w:val="00BE7DE8"/>
    <w:rsid w:val="00BF0EE8"/>
    <w:rsid w:val="00BF107C"/>
    <w:rsid w:val="00BF2E3A"/>
    <w:rsid w:val="00BF3DDD"/>
    <w:rsid w:val="00BF5E7F"/>
    <w:rsid w:val="00BF5E9D"/>
    <w:rsid w:val="00BF65E0"/>
    <w:rsid w:val="00BF676C"/>
    <w:rsid w:val="00BF6D75"/>
    <w:rsid w:val="00BF760C"/>
    <w:rsid w:val="00BF7B06"/>
    <w:rsid w:val="00BF7BE5"/>
    <w:rsid w:val="00C00299"/>
    <w:rsid w:val="00C01D08"/>
    <w:rsid w:val="00C032DC"/>
    <w:rsid w:val="00C06299"/>
    <w:rsid w:val="00C07B17"/>
    <w:rsid w:val="00C10716"/>
    <w:rsid w:val="00C11A45"/>
    <w:rsid w:val="00C13037"/>
    <w:rsid w:val="00C13566"/>
    <w:rsid w:val="00C1361C"/>
    <w:rsid w:val="00C14175"/>
    <w:rsid w:val="00C1503D"/>
    <w:rsid w:val="00C15374"/>
    <w:rsid w:val="00C153AD"/>
    <w:rsid w:val="00C16116"/>
    <w:rsid w:val="00C161D8"/>
    <w:rsid w:val="00C16ABD"/>
    <w:rsid w:val="00C17451"/>
    <w:rsid w:val="00C17A88"/>
    <w:rsid w:val="00C17E31"/>
    <w:rsid w:val="00C20BDC"/>
    <w:rsid w:val="00C213FE"/>
    <w:rsid w:val="00C21D5B"/>
    <w:rsid w:val="00C21E24"/>
    <w:rsid w:val="00C22035"/>
    <w:rsid w:val="00C22192"/>
    <w:rsid w:val="00C24D23"/>
    <w:rsid w:val="00C25F49"/>
    <w:rsid w:val="00C32279"/>
    <w:rsid w:val="00C34201"/>
    <w:rsid w:val="00C35824"/>
    <w:rsid w:val="00C3641F"/>
    <w:rsid w:val="00C36EEB"/>
    <w:rsid w:val="00C375AA"/>
    <w:rsid w:val="00C3783E"/>
    <w:rsid w:val="00C4074B"/>
    <w:rsid w:val="00C40905"/>
    <w:rsid w:val="00C419A5"/>
    <w:rsid w:val="00C42681"/>
    <w:rsid w:val="00C42978"/>
    <w:rsid w:val="00C42EDA"/>
    <w:rsid w:val="00C45EAC"/>
    <w:rsid w:val="00C471B1"/>
    <w:rsid w:val="00C50459"/>
    <w:rsid w:val="00C51434"/>
    <w:rsid w:val="00C52057"/>
    <w:rsid w:val="00C52291"/>
    <w:rsid w:val="00C5255D"/>
    <w:rsid w:val="00C526A2"/>
    <w:rsid w:val="00C5297A"/>
    <w:rsid w:val="00C53EF1"/>
    <w:rsid w:val="00C54234"/>
    <w:rsid w:val="00C543B2"/>
    <w:rsid w:val="00C547F1"/>
    <w:rsid w:val="00C55239"/>
    <w:rsid w:val="00C57249"/>
    <w:rsid w:val="00C573A7"/>
    <w:rsid w:val="00C57724"/>
    <w:rsid w:val="00C57E55"/>
    <w:rsid w:val="00C6078F"/>
    <w:rsid w:val="00C61CEC"/>
    <w:rsid w:val="00C624A6"/>
    <w:rsid w:val="00C6295C"/>
    <w:rsid w:val="00C62DCA"/>
    <w:rsid w:val="00C63A7D"/>
    <w:rsid w:val="00C655F1"/>
    <w:rsid w:val="00C657F2"/>
    <w:rsid w:val="00C66516"/>
    <w:rsid w:val="00C6651B"/>
    <w:rsid w:val="00C667A3"/>
    <w:rsid w:val="00C66AD5"/>
    <w:rsid w:val="00C66F85"/>
    <w:rsid w:val="00C67812"/>
    <w:rsid w:val="00C67BFF"/>
    <w:rsid w:val="00C70CB9"/>
    <w:rsid w:val="00C70F1E"/>
    <w:rsid w:val="00C72440"/>
    <w:rsid w:val="00C72799"/>
    <w:rsid w:val="00C74164"/>
    <w:rsid w:val="00C74481"/>
    <w:rsid w:val="00C747E5"/>
    <w:rsid w:val="00C75AFE"/>
    <w:rsid w:val="00C7719B"/>
    <w:rsid w:val="00C77B74"/>
    <w:rsid w:val="00C77DB2"/>
    <w:rsid w:val="00C81A2A"/>
    <w:rsid w:val="00C85F02"/>
    <w:rsid w:val="00C868C9"/>
    <w:rsid w:val="00C86FE3"/>
    <w:rsid w:val="00C87F4B"/>
    <w:rsid w:val="00C9218E"/>
    <w:rsid w:val="00C924E0"/>
    <w:rsid w:val="00C92574"/>
    <w:rsid w:val="00C92ADE"/>
    <w:rsid w:val="00C92C0A"/>
    <w:rsid w:val="00C92DFE"/>
    <w:rsid w:val="00C937EC"/>
    <w:rsid w:val="00C951C8"/>
    <w:rsid w:val="00C95431"/>
    <w:rsid w:val="00C95604"/>
    <w:rsid w:val="00CA007D"/>
    <w:rsid w:val="00CA04E7"/>
    <w:rsid w:val="00CA2337"/>
    <w:rsid w:val="00CA29F9"/>
    <w:rsid w:val="00CA38F1"/>
    <w:rsid w:val="00CA3B88"/>
    <w:rsid w:val="00CA6479"/>
    <w:rsid w:val="00CA668D"/>
    <w:rsid w:val="00CB1B1B"/>
    <w:rsid w:val="00CB1CAB"/>
    <w:rsid w:val="00CB1FBC"/>
    <w:rsid w:val="00CB2598"/>
    <w:rsid w:val="00CB2B48"/>
    <w:rsid w:val="00CB2DA2"/>
    <w:rsid w:val="00CB3A15"/>
    <w:rsid w:val="00CB4F40"/>
    <w:rsid w:val="00CB507D"/>
    <w:rsid w:val="00CB51E9"/>
    <w:rsid w:val="00CB57F4"/>
    <w:rsid w:val="00CB59D7"/>
    <w:rsid w:val="00CB79BA"/>
    <w:rsid w:val="00CC5886"/>
    <w:rsid w:val="00CC661B"/>
    <w:rsid w:val="00CC67D2"/>
    <w:rsid w:val="00CC78FF"/>
    <w:rsid w:val="00CC7A17"/>
    <w:rsid w:val="00CC7D63"/>
    <w:rsid w:val="00CD030E"/>
    <w:rsid w:val="00CD0791"/>
    <w:rsid w:val="00CD183A"/>
    <w:rsid w:val="00CD1C94"/>
    <w:rsid w:val="00CD28E3"/>
    <w:rsid w:val="00CD31A7"/>
    <w:rsid w:val="00CD4FF6"/>
    <w:rsid w:val="00CD57D2"/>
    <w:rsid w:val="00CE0252"/>
    <w:rsid w:val="00CE1F5E"/>
    <w:rsid w:val="00CE3A18"/>
    <w:rsid w:val="00CE500B"/>
    <w:rsid w:val="00CE6067"/>
    <w:rsid w:val="00CE6C22"/>
    <w:rsid w:val="00CF05F0"/>
    <w:rsid w:val="00CF08E8"/>
    <w:rsid w:val="00CF1858"/>
    <w:rsid w:val="00CF1FD5"/>
    <w:rsid w:val="00CF2BB6"/>
    <w:rsid w:val="00CF3573"/>
    <w:rsid w:val="00CF3E93"/>
    <w:rsid w:val="00CF411F"/>
    <w:rsid w:val="00CF4402"/>
    <w:rsid w:val="00CF5230"/>
    <w:rsid w:val="00CF5D81"/>
    <w:rsid w:val="00CF6DE5"/>
    <w:rsid w:val="00D001E2"/>
    <w:rsid w:val="00D0028B"/>
    <w:rsid w:val="00D01FFC"/>
    <w:rsid w:val="00D028E1"/>
    <w:rsid w:val="00D04564"/>
    <w:rsid w:val="00D0560A"/>
    <w:rsid w:val="00D10BDC"/>
    <w:rsid w:val="00D12125"/>
    <w:rsid w:val="00D13193"/>
    <w:rsid w:val="00D13C4C"/>
    <w:rsid w:val="00D14C6C"/>
    <w:rsid w:val="00D15819"/>
    <w:rsid w:val="00D17A0F"/>
    <w:rsid w:val="00D20076"/>
    <w:rsid w:val="00D222ED"/>
    <w:rsid w:val="00D23E6E"/>
    <w:rsid w:val="00D24136"/>
    <w:rsid w:val="00D24241"/>
    <w:rsid w:val="00D245FF"/>
    <w:rsid w:val="00D2485D"/>
    <w:rsid w:val="00D253B5"/>
    <w:rsid w:val="00D25E2D"/>
    <w:rsid w:val="00D26927"/>
    <w:rsid w:val="00D2771F"/>
    <w:rsid w:val="00D27AD7"/>
    <w:rsid w:val="00D3092D"/>
    <w:rsid w:val="00D318C8"/>
    <w:rsid w:val="00D31FFD"/>
    <w:rsid w:val="00D33886"/>
    <w:rsid w:val="00D37719"/>
    <w:rsid w:val="00D37BB0"/>
    <w:rsid w:val="00D37C0D"/>
    <w:rsid w:val="00D41036"/>
    <w:rsid w:val="00D4219A"/>
    <w:rsid w:val="00D42252"/>
    <w:rsid w:val="00D4258C"/>
    <w:rsid w:val="00D441C9"/>
    <w:rsid w:val="00D46194"/>
    <w:rsid w:val="00D466A4"/>
    <w:rsid w:val="00D472A3"/>
    <w:rsid w:val="00D507C1"/>
    <w:rsid w:val="00D510CF"/>
    <w:rsid w:val="00D51300"/>
    <w:rsid w:val="00D520FC"/>
    <w:rsid w:val="00D542C6"/>
    <w:rsid w:val="00D54753"/>
    <w:rsid w:val="00D54B60"/>
    <w:rsid w:val="00D5557B"/>
    <w:rsid w:val="00D559A6"/>
    <w:rsid w:val="00D60BC7"/>
    <w:rsid w:val="00D6211E"/>
    <w:rsid w:val="00D6308D"/>
    <w:rsid w:val="00D630D4"/>
    <w:rsid w:val="00D63B25"/>
    <w:rsid w:val="00D64254"/>
    <w:rsid w:val="00D64830"/>
    <w:rsid w:val="00D6494E"/>
    <w:rsid w:val="00D66D82"/>
    <w:rsid w:val="00D71FF9"/>
    <w:rsid w:val="00D73A5D"/>
    <w:rsid w:val="00D75409"/>
    <w:rsid w:val="00D768A8"/>
    <w:rsid w:val="00D77314"/>
    <w:rsid w:val="00D77794"/>
    <w:rsid w:val="00D84026"/>
    <w:rsid w:val="00D850C6"/>
    <w:rsid w:val="00D86A9F"/>
    <w:rsid w:val="00D90FB7"/>
    <w:rsid w:val="00D92530"/>
    <w:rsid w:val="00D92CA7"/>
    <w:rsid w:val="00D95CB3"/>
    <w:rsid w:val="00D96144"/>
    <w:rsid w:val="00D97A68"/>
    <w:rsid w:val="00DA1303"/>
    <w:rsid w:val="00DA350C"/>
    <w:rsid w:val="00DA3875"/>
    <w:rsid w:val="00DA3BF4"/>
    <w:rsid w:val="00DA471F"/>
    <w:rsid w:val="00DA51F7"/>
    <w:rsid w:val="00DA55AD"/>
    <w:rsid w:val="00DA6FAF"/>
    <w:rsid w:val="00DA7182"/>
    <w:rsid w:val="00DA7204"/>
    <w:rsid w:val="00DA77B5"/>
    <w:rsid w:val="00DB020F"/>
    <w:rsid w:val="00DB2CA7"/>
    <w:rsid w:val="00DB3A7C"/>
    <w:rsid w:val="00DB4014"/>
    <w:rsid w:val="00DB6223"/>
    <w:rsid w:val="00DB6FF9"/>
    <w:rsid w:val="00DC0134"/>
    <w:rsid w:val="00DC07F7"/>
    <w:rsid w:val="00DC17D1"/>
    <w:rsid w:val="00DC20E1"/>
    <w:rsid w:val="00DC3E5F"/>
    <w:rsid w:val="00DC4C61"/>
    <w:rsid w:val="00DC500E"/>
    <w:rsid w:val="00DC538D"/>
    <w:rsid w:val="00DC5796"/>
    <w:rsid w:val="00DC5A02"/>
    <w:rsid w:val="00DC5CD5"/>
    <w:rsid w:val="00DC6CFF"/>
    <w:rsid w:val="00DC7BAD"/>
    <w:rsid w:val="00DD1538"/>
    <w:rsid w:val="00DD1D63"/>
    <w:rsid w:val="00DD23B2"/>
    <w:rsid w:val="00DD2760"/>
    <w:rsid w:val="00DD507C"/>
    <w:rsid w:val="00DD6212"/>
    <w:rsid w:val="00DD6AE1"/>
    <w:rsid w:val="00DD7785"/>
    <w:rsid w:val="00DD77BB"/>
    <w:rsid w:val="00DD7E62"/>
    <w:rsid w:val="00DE0063"/>
    <w:rsid w:val="00DE02DB"/>
    <w:rsid w:val="00DE1228"/>
    <w:rsid w:val="00DE5154"/>
    <w:rsid w:val="00DE6020"/>
    <w:rsid w:val="00DF1EE1"/>
    <w:rsid w:val="00DF412C"/>
    <w:rsid w:val="00DF497A"/>
    <w:rsid w:val="00DF4E28"/>
    <w:rsid w:val="00DF58A1"/>
    <w:rsid w:val="00DF6738"/>
    <w:rsid w:val="00E00806"/>
    <w:rsid w:val="00E01162"/>
    <w:rsid w:val="00E01358"/>
    <w:rsid w:val="00E03254"/>
    <w:rsid w:val="00E035E7"/>
    <w:rsid w:val="00E0386B"/>
    <w:rsid w:val="00E04329"/>
    <w:rsid w:val="00E04E14"/>
    <w:rsid w:val="00E052BA"/>
    <w:rsid w:val="00E06714"/>
    <w:rsid w:val="00E06F15"/>
    <w:rsid w:val="00E075B9"/>
    <w:rsid w:val="00E07CA9"/>
    <w:rsid w:val="00E107E5"/>
    <w:rsid w:val="00E11819"/>
    <w:rsid w:val="00E1188F"/>
    <w:rsid w:val="00E159CF"/>
    <w:rsid w:val="00E20BD8"/>
    <w:rsid w:val="00E21FC0"/>
    <w:rsid w:val="00E22AD7"/>
    <w:rsid w:val="00E23535"/>
    <w:rsid w:val="00E24848"/>
    <w:rsid w:val="00E24C52"/>
    <w:rsid w:val="00E260C0"/>
    <w:rsid w:val="00E308B0"/>
    <w:rsid w:val="00E30F96"/>
    <w:rsid w:val="00E333DD"/>
    <w:rsid w:val="00E33F80"/>
    <w:rsid w:val="00E35BA6"/>
    <w:rsid w:val="00E40CDB"/>
    <w:rsid w:val="00E414EF"/>
    <w:rsid w:val="00E434A3"/>
    <w:rsid w:val="00E43781"/>
    <w:rsid w:val="00E44ADC"/>
    <w:rsid w:val="00E44F79"/>
    <w:rsid w:val="00E46811"/>
    <w:rsid w:val="00E5004A"/>
    <w:rsid w:val="00E5143C"/>
    <w:rsid w:val="00E51AE3"/>
    <w:rsid w:val="00E52A1D"/>
    <w:rsid w:val="00E5479E"/>
    <w:rsid w:val="00E561FE"/>
    <w:rsid w:val="00E56835"/>
    <w:rsid w:val="00E56B1F"/>
    <w:rsid w:val="00E57305"/>
    <w:rsid w:val="00E57CE8"/>
    <w:rsid w:val="00E57D1F"/>
    <w:rsid w:val="00E60789"/>
    <w:rsid w:val="00E60BCE"/>
    <w:rsid w:val="00E624E8"/>
    <w:rsid w:val="00E63425"/>
    <w:rsid w:val="00E70289"/>
    <w:rsid w:val="00E70A61"/>
    <w:rsid w:val="00E70A8F"/>
    <w:rsid w:val="00E7135A"/>
    <w:rsid w:val="00E744BF"/>
    <w:rsid w:val="00E74762"/>
    <w:rsid w:val="00E74C8A"/>
    <w:rsid w:val="00E777B0"/>
    <w:rsid w:val="00E8272B"/>
    <w:rsid w:val="00E832CD"/>
    <w:rsid w:val="00E83AF8"/>
    <w:rsid w:val="00E85A7F"/>
    <w:rsid w:val="00E866C5"/>
    <w:rsid w:val="00E87C16"/>
    <w:rsid w:val="00E91CAF"/>
    <w:rsid w:val="00E9236F"/>
    <w:rsid w:val="00E938EE"/>
    <w:rsid w:val="00E93BD4"/>
    <w:rsid w:val="00E942BF"/>
    <w:rsid w:val="00E970A2"/>
    <w:rsid w:val="00EA01F9"/>
    <w:rsid w:val="00EA052D"/>
    <w:rsid w:val="00EA056B"/>
    <w:rsid w:val="00EA1222"/>
    <w:rsid w:val="00EA1D21"/>
    <w:rsid w:val="00EA1EA5"/>
    <w:rsid w:val="00EA2008"/>
    <w:rsid w:val="00EA27A6"/>
    <w:rsid w:val="00EA2E04"/>
    <w:rsid w:val="00EA3680"/>
    <w:rsid w:val="00EA750A"/>
    <w:rsid w:val="00EA7A77"/>
    <w:rsid w:val="00EB0C62"/>
    <w:rsid w:val="00EB21FD"/>
    <w:rsid w:val="00EB259D"/>
    <w:rsid w:val="00EB2CAD"/>
    <w:rsid w:val="00EB41B5"/>
    <w:rsid w:val="00EB4A1C"/>
    <w:rsid w:val="00EB4E5D"/>
    <w:rsid w:val="00EB5025"/>
    <w:rsid w:val="00EB570F"/>
    <w:rsid w:val="00EB5FA3"/>
    <w:rsid w:val="00EB6335"/>
    <w:rsid w:val="00EB7EB4"/>
    <w:rsid w:val="00EC004E"/>
    <w:rsid w:val="00EC023B"/>
    <w:rsid w:val="00EC240C"/>
    <w:rsid w:val="00EC25BA"/>
    <w:rsid w:val="00EC3435"/>
    <w:rsid w:val="00EC4242"/>
    <w:rsid w:val="00EC472F"/>
    <w:rsid w:val="00EC4C31"/>
    <w:rsid w:val="00EC6122"/>
    <w:rsid w:val="00EC647B"/>
    <w:rsid w:val="00EC70E3"/>
    <w:rsid w:val="00EC79A1"/>
    <w:rsid w:val="00ED09A9"/>
    <w:rsid w:val="00ED11B7"/>
    <w:rsid w:val="00ED15F7"/>
    <w:rsid w:val="00ED1A27"/>
    <w:rsid w:val="00ED4BF5"/>
    <w:rsid w:val="00ED6275"/>
    <w:rsid w:val="00ED6A9F"/>
    <w:rsid w:val="00ED6E60"/>
    <w:rsid w:val="00ED7D92"/>
    <w:rsid w:val="00EE0A8F"/>
    <w:rsid w:val="00EE2A5F"/>
    <w:rsid w:val="00EE2F7F"/>
    <w:rsid w:val="00EE38CF"/>
    <w:rsid w:val="00EE3BB3"/>
    <w:rsid w:val="00EE405A"/>
    <w:rsid w:val="00EE4106"/>
    <w:rsid w:val="00EE4559"/>
    <w:rsid w:val="00EE5AF8"/>
    <w:rsid w:val="00EF20FB"/>
    <w:rsid w:val="00EF2A28"/>
    <w:rsid w:val="00EF3052"/>
    <w:rsid w:val="00EF3379"/>
    <w:rsid w:val="00EF4411"/>
    <w:rsid w:val="00EF4732"/>
    <w:rsid w:val="00EF5FFD"/>
    <w:rsid w:val="00EF66C1"/>
    <w:rsid w:val="00F0159A"/>
    <w:rsid w:val="00F01CB3"/>
    <w:rsid w:val="00F0278B"/>
    <w:rsid w:val="00F04117"/>
    <w:rsid w:val="00F0445A"/>
    <w:rsid w:val="00F04E45"/>
    <w:rsid w:val="00F06156"/>
    <w:rsid w:val="00F077B4"/>
    <w:rsid w:val="00F106FC"/>
    <w:rsid w:val="00F11C40"/>
    <w:rsid w:val="00F13789"/>
    <w:rsid w:val="00F137B1"/>
    <w:rsid w:val="00F1549F"/>
    <w:rsid w:val="00F15A0C"/>
    <w:rsid w:val="00F15C67"/>
    <w:rsid w:val="00F22556"/>
    <w:rsid w:val="00F22E62"/>
    <w:rsid w:val="00F23B50"/>
    <w:rsid w:val="00F24EA6"/>
    <w:rsid w:val="00F256DA"/>
    <w:rsid w:val="00F25862"/>
    <w:rsid w:val="00F25D7B"/>
    <w:rsid w:val="00F267D1"/>
    <w:rsid w:val="00F27372"/>
    <w:rsid w:val="00F278E4"/>
    <w:rsid w:val="00F27C8F"/>
    <w:rsid w:val="00F30488"/>
    <w:rsid w:val="00F30541"/>
    <w:rsid w:val="00F32027"/>
    <w:rsid w:val="00F3214F"/>
    <w:rsid w:val="00F327A0"/>
    <w:rsid w:val="00F3329B"/>
    <w:rsid w:val="00F335D4"/>
    <w:rsid w:val="00F33B98"/>
    <w:rsid w:val="00F3421E"/>
    <w:rsid w:val="00F34463"/>
    <w:rsid w:val="00F3451D"/>
    <w:rsid w:val="00F34973"/>
    <w:rsid w:val="00F352C4"/>
    <w:rsid w:val="00F358CB"/>
    <w:rsid w:val="00F35985"/>
    <w:rsid w:val="00F3622A"/>
    <w:rsid w:val="00F3666F"/>
    <w:rsid w:val="00F36BF8"/>
    <w:rsid w:val="00F373AF"/>
    <w:rsid w:val="00F40142"/>
    <w:rsid w:val="00F428BE"/>
    <w:rsid w:val="00F42AB5"/>
    <w:rsid w:val="00F4341D"/>
    <w:rsid w:val="00F4406A"/>
    <w:rsid w:val="00F45B55"/>
    <w:rsid w:val="00F45C9F"/>
    <w:rsid w:val="00F46768"/>
    <w:rsid w:val="00F46B24"/>
    <w:rsid w:val="00F51C8C"/>
    <w:rsid w:val="00F51FD9"/>
    <w:rsid w:val="00F53410"/>
    <w:rsid w:val="00F53DA3"/>
    <w:rsid w:val="00F54EA6"/>
    <w:rsid w:val="00F556D7"/>
    <w:rsid w:val="00F571C1"/>
    <w:rsid w:val="00F57616"/>
    <w:rsid w:val="00F57A0A"/>
    <w:rsid w:val="00F57BD4"/>
    <w:rsid w:val="00F6023B"/>
    <w:rsid w:val="00F60FF1"/>
    <w:rsid w:val="00F6195C"/>
    <w:rsid w:val="00F61B5A"/>
    <w:rsid w:val="00F61CE6"/>
    <w:rsid w:val="00F62044"/>
    <w:rsid w:val="00F63213"/>
    <w:rsid w:val="00F63CC4"/>
    <w:rsid w:val="00F65549"/>
    <w:rsid w:val="00F65704"/>
    <w:rsid w:val="00F6718C"/>
    <w:rsid w:val="00F675C3"/>
    <w:rsid w:val="00F711C1"/>
    <w:rsid w:val="00F72A06"/>
    <w:rsid w:val="00F72CBD"/>
    <w:rsid w:val="00F74477"/>
    <w:rsid w:val="00F74775"/>
    <w:rsid w:val="00F7563E"/>
    <w:rsid w:val="00F75D3C"/>
    <w:rsid w:val="00F76050"/>
    <w:rsid w:val="00F76320"/>
    <w:rsid w:val="00F77DE8"/>
    <w:rsid w:val="00F802E4"/>
    <w:rsid w:val="00F80FD3"/>
    <w:rsid w:val="00F82205"/>
    <w:rsid w:val="00F839C7"/>
    <w:rsid w:val="00F83E7B"/>
    <w:rsid w:val="00F849D0"/>
    <w:rsid w:val="00F852C4"/>
    <w:rsid w:val="00F86CAB"/>
    <w:rsid w:val="00F879D7"/>
    <w:rsid w:val="00F87B25"/>
    <w:rsid w:val="00F87E28"/>
    <w:rsid w:val="00F926E5"/>
    <w:rsid w:val="00F927FC"/>
    <w:rsid w:val="00F93927"/>
    <w:rsid w:val="00F9426F"/>
    <w:rsid w:val="00F94A5F"/>
    <w:rsid w:val="00F95091"/>
    <w:rsid w:val="00F96641"/>
    <w:rsid w:val="00F96881"/>
    <w:rsid w:val="00F97369"/>
    <w:rsid w:val="00F97442"/>
    <w:rsid w:val="00F97A86"/>
    <w:rsid w:val="00FA0331"/>
    <w:rsid w:val="00FA0B9D"/>
    <w:rsid w:val="00FA0DB8"/>
    <w:rsid w:val="00FA0E19"/>
    <w:rsid w:val="00FA19FE"/>
    <w:rsid w:val="00FA1B6B"/>
    <w:rsid w:val="00FA4062"/>
    <w:rsid w:val="00FA54D2"/>
    <w:rsid w:val="00FA567B"/>
    <w:rsid w:val="00FA63D6"/>
    <w:rsid w:val="00FA7234"/>
    <w:rsid w:val="00FB17D7"/>
    <w:rsid w:val="00FB1D8B"/>
    <w:rsid w:val="00FB21E8"/>
    <w:rsid w:val="00FB2A56"/>
    <w:rsid w:val="00FB322C"/>
    <w:rsid w:val="00FB3DA2"/>
    <w:rsid w:val="00FB4745"/>
    <w:rsid w:val="00FB5857"/>
    <w:rsid w:val="00FB6028"/>
    <w:rsid w:val="00FB6736"/>
    <w:rsid w:val="00FC05B7"/>
    <w:rsid w:val="00FC0CAA"/>
    <w:rsid w:val="00FC0DEA"/>
    <w:rsid w:val="00FC1A2B"/>
    <w:rsid w:val="00FC1EA3"/>
    <w:rsid w:val="00FC3FC9"/>
    <w:rsid w:val="00FC4AE9"/>
    <w:rsid w:val="00FC73B7"/>
    <w:rsid w:val="00FD4E52"/>
    <w:rsid w:val="00FD5356"/>
    <w:rsid w:val="00FD6C2C"/>
    <w:rsid w:val="00FD7174"/>
    <w:rsid w:val="00FD7905"/>
    <w:rsid w:val="00FD7EF8"/>
    <w:rsid w:val="00FE1A45"/>
    <w:rsid w:val="00FE3491"/>
    <w:rsid w:val="00FE3CFD"/>
    <w:rsid w:val="00FE5207"/>
    <w:rsid w:val="00FE5AF2"/>
    <w:rsid w:val="00FE7B8A"/>
    <w:rsid w:val="00FF0001"/>
    <w:rsid w:val="00FF03D8"/>
    <w:rsid w:val="00FF1A09"/>
    <w:rsid w:val="00FF2020"/>
    <w:rsid w:val="00FF3C4A"/>
    <w:rsid w:val="00FF4271"/>
    <w:rsid w:val="00FF58B3"/>
    <w:rsid w:val="00FF7661"/>
    <w:rsid w:val="00FF7B14"/>
    <w:rsid w:val="193C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70B0BDF"/>
  <w15:docId w15:val="{C25B5874-D4C7-47C6-841C-F6952B0F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uiPriority="0" w:qFormat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spacing w:line="560" w:lineRule="exact"/>
      <w:ind w:firstLineChars="200" w:firstLine="200"/>
      <w:jc w:val="both"/>
    </w:pPr>
    <w:rPr>
      <w:rFonts w:ascii="仿宋_GB2312" w:eastAsia="仿宋_GB2312" w:hAnsi="Times New Roman" w:cs="Times New Roman"/>
      <w:kern w:val="2"/>
      <w:sz w:val="3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578" w:lineRule="auto"/>
      <w:outlineLvl w:val="0"/>
    </w:pPr>
    <w:rPr>
      <w:rFonts w:ascii="黑体" w:eastAsia="黑体"/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240" w:lineRule="auto"/>
      <w:outlineLvl w:val="1"/>
    </w:pPr>
    <w:rPr>
      <w:rFonts w:ascii="楷体_GB2312" w:eastAsia="楷体_GB2312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unhideWhenUsed/>
    <w:qFormat/>
  </w:style>
  <w:style w:type="paragraph" w:styleId="a5">
    <w:name w:val="Normal Indent"/>
    <w:basedOn w:val="a"/>
    <w:uiPriority w:val="99"/>
    <w:qFormat/>
    <w:pPr>
      <w:ind w:firstLine="420"/>
    </w:pPr>
    <w:rPr>
      <w:sz w:val="30"/>
    </w:rPr>
  </w:style>
  <w:style w:type="paragraph" w:styleId="a6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</w:rPr>
  </w:style>
  <w:style w:type="paragraph" w:styleId="a7">
    <w:name w:val="annotation text"/>
    <w:basedOn w:val="a"/>
    <w:link w:val="a8"/>
    <w:uiPriority w:val="99"/>
    <w:unhideWhenUsed/>
    <w:pPr>
      <w:jc w:val="left"/>
    </w:pPr>
  </w:style>
  <w:style w:type="paragraph" w:styleId="a9">
    <w:name w:val="Block Text"/>
    <w:basedOn w:val="a"/>
    <w:uiPriority w:val="99"/>
    <w:unhideWhenUsed/>
    <w:qFormat/>
    <w:pPr>
      <w:spacing w:after="120" w:line="240" w:lineRule="auto"/>
      <w:ind w:leftChars="700" w:left="1440" w:rightChars="700" w:right="1440" w:firstLineChars="0" w:firstLine="0"/>
    </w:pPr>
    <w:rPr>
      <w:rFonts w:ascii="Calibri" w:eastAsia="宋体" w:hAnsi="Calibri"/>
      <w:sz w:val="21"/>
      <w:szCs w:val="24"/>
    </w:rPr>
  </w:style>
  <w:style w:type="paragraph" w:styleId="TOC3">
    <w:name w:val="toc 3"/>
    <w:basedOn w:val="a"/>
    <w:next w:val="a"/>
    <w:autoRedefine/>
    <w:uiPriority w:val="39"/>
    <w:unhideWhenUsed/>
    <w:pPr>
      <w:tabs>
        <w:tab w:val="right" w:leader="dot" w:pos="8296"/>
      </w:tabs>
      <w:ind w:firstLineChars="50" w:firstLine="144"/>
    </w:pPr>
    <w:rPr>
      <w:rFonts w:ascii="楷体_GB2312" w:eastAsia="楷体_GB2312"/>
      <w:w w:val="90"/>
    </w:rPr>
  </w:style>
  <w:style w:type="paragraph" w:styleId="aa">
    <w:name w:val="Plain Text"/>
    <w:basedOn w:val="a"/>
    <w:next w:val="a"/>
    <w:link w:val="ab"/>
    <w:uiPriority w:val="99"/>
    <w:unhideWhenUsed/>
    <w:qFormat/>
    <w:rPr>
      <w:rFonts w:ascii="宋体" w:hAnsi="Courier New"/>
      <w:szCs w:val="21"/>
    </w:rPr>
  </w:style>
  <w:style w:type="paragraph" w:styleId="ac">
    <w:name w:val="Balloon Text"/>
    <w:basedOn w:val="a"/>
    <w:link w:val="ad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pPr>
      <w:tabs>
        <w:tab w:val="right" w:leader="dot" w:pos="8296"/>
      </w:tabs>
      <w:ind w:firstLineChars="0" w:firstLine="0"/>
      <w:jc w:val="left"/>
    </w:pPr>
    <w:rPr>
      <w:rFonts w:hAnsi="黑体" w:cs="方正小标宋简体"/>
    </w:rPr>
  </w:style>
  <w:style w:type="paragraph" w:styleId="af2">
    <w:name w:val="footnote text"/>
    <w:basedOn w:val="a"/>
    <w:link w:val="af3"/>
    <w:qFormat/>
    <w:pPr>
      <w:snapToGrid w:val="0"/>
      <w:spacing w:after="160" w:line="278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TOC2">
    <w:name w:val="toc 2"/>
    <w:basedOn w:val="a"/>
    <w:next w:val="a"/>
    <w:autoRedefine/>
    <w:uiPriority w:val="39"/>
    <w:unhideWhenUsed/>
    <w:pPr>
      <w:tabs>
        <w:tab w:val="right" w:leader="dot" w:pos="8296"/>
      </w:tabs>
      <w:ind w:firstLineChars="0" w:firstLine="0"/>
      <w:jc w:val="left"/>
    </w:pPr>
    <w:rPr>
      <w:rFonts w:ascii="楷体" w:eastAsia="楷体" w:hAnsi="楷体"/>
      <w:b/>
      <w:bCs/>
      <w:kern w:val="0"/>
    </w:rPr>
  </w:style>
  <w:style w:type="paragraph" w:styleId="af4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11">
    <w:name w:val="index 1"/>
    <w:basedOn w:val="a"/>
    <w:next w:val="a"/>
    <w:autoRedefine/>
    <w:unhideWhenUsed/>
    <w:qFormat/>
    <w:pPr>
      <w:adjustRightInd w:val="0"/>
      <w:snapToGrid w:val="0"/>
      <w:ind w:firstLine="643"/>
    </w:pPr>
    <w:rPr>
      <w:rFonts w:hAnsiTheme="minorHAnsi" w:cstheme="minorBidi"/>
      <w:b/>
      <w:bCs/>
      <w:color w:val="C00000"/>
      <w:szCs w:val="32"/>
    </w:rPr>
  </w:style>
  <w:style w:type="paragraph" w:styleId="af5">
    <w:name w:val="annotation subject"/>
    <w:basedOn w:val="a7"/>
    <w:next w:val="a7"/>
    <w:link w:val="af6"/>
    <w:uiPriority w:val="99"/>
    <w:semiHidden/>
    <w:unhideWhenUsed/>
    <w:rPr>
      <w:b/>
      <w:bCs/>
    </w:rPr>
  </w:style>
  <w:style w:type="table" w:styleId="af7">
    <w:name w:val="Table Grid"/>
    <w:basedOn w:val="a2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1"/>
    <w:uiPriority w:val="22"/>
    <w:qFormat/>
    <w:rPr>
      <w:b/>
      <w:bCs/>
    </w:rPr>
  </w:style>
  <w:style w:type="character" w:styleId="af9">
    <w:name w:val="Hyperlink"/>
    <w:basedOn w:val="a1"/>
    <w:uiPriority w:val="99"/>
    <w:unhideWhenUsed/>
    <w:rPr>
      <w:color w:val="467886" w:themeColor="hyperlink"/>
      <w:u w:val="single"/>
    </w:rPr>
  </w:style>
  <w:style w:type="character" w:styleId="afa">
    <w:name w:val="annotation reference"/>
    <w:basedOn w:val="a1"/>
    <w:uiPriority w:val="99"/>
    <w:semiHidden/>
    <w:unhideWhenUsed/>
    <w:rPr>
      <w:sz w:val="21"/>
      <w:szCs w:val="21"/>
    </w:rPr>
  </w:style>
  <w:style w:type="character" w:styleId="afb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a4">
    <w:name w:val="正文文本 字符"/>
    <w:basedOn w:val="a1"/>
    <w:link w:val="a0"/>
    <w:uiPriority w:val="1"/>
    <w:qFormat/>
    <w:rPr>
      <w:rFonts w:ascii="Times New Roman" w:eastAsia="仿宋_GB2312" w:hAnsi="Times New Roman" w:cs="Times New Roman"/>
      <w:sz w:val="32"/>
      <w:szCs w:val="20"/>
    </w:rPr>
  </w:style>
  <w:style w:type="paragraph" w:styleId="afc">
    <w:name w:val="List Paragraph"/>
    <w:basedOn w:val="a"/>
    <w:uiPriority w:val="34"/>
    <w:qFormat/>
    <w:pPr>
      <w:ind w:firstLine="420"/>
    </w:pPr>
  </w:style>
  <w:style w:type="character" w:customStyle="1" w:styleId="af1">
    <w:name w:val="页眉 字符"/>
    <w:basedOn w:val="a1"/>
    <w:link w:val="af0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f">
    <w:name w:val="页脚 字符"/>
    <w:basedOn w:val="a1"/>
    <w:link w:val="ae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0">
    <w:name w:val="标题 2 字符"/>
    <w:basedOn w:val="a1"/>
    <w:link w:val="2"/>
    <w:uiPriority w:val="9"/>
    <w:qFormat/>
    <w:rPr>
      <w:rFonts w:ascii="楷体_GB2312" w:eastAsia="楷体_GB2312" w:hAnsiTheme="majorHAnsi" w:cstheme="majorBidi"/>
      <w:bCs/>
      <w:sz w:val="32"/>
      <w:szCs w:val="32"/>
    </w:rPr>
  </w:style>
  <w:style w:type="character" w:customStyle="1" w:styleId="30">
    <w:name w:val="标题 3 字符"/>
    <w:basedOn w:val="a1"/>
    <w:link w:val="3"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0">
    <w:name w:val="标题 1 字符"/>
    <w:basedOn w:val="a1"/>
    <w:link w:val="1"/>
    <w:uiPriority w:val="9"/>
    <w:qFormat/>
    <w:rPr>
      <w:rFonts w:ascii="黑体" w:eastAsia="黑体" w:hAnsi="Times New Roman" w:cs="Times New Roman"/>
      <w:b/>
      <w:bCs/>
      <w:kern w:val="44"/>
      <w:sz w:val="32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  <w:szCs w:val="32"/>
    </w:rPr>
  </w:style>
  <w:style w:type="character" w:customStyle="1" w:styleId="a8">
    <w:name w:val="批注文字 字符"/>
    <w:basedOn w:val="a1"/>
    <w:link w:val="a7"/>
    <w:uiPriority w:val="99"/>
    <w:rPr>
      <w:rFonts w:ascii="Times New Roman" w:eastAsia="宋体" w:hAnsi="Times New Roman" w:cs="Times New Roman"/>
      <w:szCs w:val="20"/>
    </w:rPr>
  </w:style>
  <w:style w:type="character" w:customStyle="1" w:styleId="af6">
    <w:name w:val="批注主题 字符"/>
    <w:basedOn w:val="a8"/>
    <w:link w:val="af5"/>
    <w:uiPriority w:val="99"/>
    <w:semiHidden/>
    <w:rPr>
      <w:rFonts w:ascii="Times New Roman" w:eastAsia="宋体" w:hAnsi="Times New Roman" w:cs="Times New Roman"/>
      <w:b/>
      <w:bCs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sz w:val="24"/>
      <w:szCs w:val="24"/>
      <w14:ligatures w14:val="standardContextual"/>
    </w:rPr>
  </w:style>
  <w:style w:type="character" w:customStyle="1" w:styleId="ab">
    <w:name w:val="纯文本 字符"/>
    <w:basedOn w:val="a1"/>
    <w:link w:val="aa"/>
    <w:uiPriority w:val="99"/>
    <w:qFormat/>
    <w:rPr>
      <w:rFonts w:ascii="宋体" w:eastAsia="宋体" w:hAnsi="Courier New" w:cs="Times New Roman"/>
      <w:szCs w:val="21"/>
    </w:rPr>
  </w:style>
  <w:style w:type="character" w:customStyle="1" w:styleId="af3">
    <w:name w:val="脚注文本 字符"/>
    <w:basedOn w:val="a1"/>
    <w:link w:val="af2"/>
    <w:qFormat/>
    <w:rPr>
      <w:sz w:val="18"/>
      <w:szCs w:val="18"/>
    </w:rPr>
  </w:style>
  <w:style w:type="paragraph" w:customStyle="1" w:styleId="Char">
    <w:name w:val="Char"/>
    <w:basedOn w:val="a"/>
    <w:pPr>
      <w:spacing w:line="360" w:lineRule="auto"/>
    </w:pPr>
    <w:rPr>
      <w:rFonts w:ascii="宋体" w:hAnsi="宋体" w:cs="宋体"/>
      <w:sz w:val="24"/>
      <w:szCs w:val="24"/>
    </w:rPr>
  </w:style>
  <w:style w:type="paragraph" w:customStyle="1" w:styleId="111">
    <w:name w:val="图例111"/>
    <w:basedOn w:val="a"/>
    <w:qFormat/>
    <w:pPr>
      <w:ind w:firstLineChars="0" w:firstLine="0"/>
      <w:jc w:val="center"/>
    </w:pPr>
    <w:rPr>
      <w:rFonts w:ascii="黑体" w:eastAsia="黑体" w:hAnsi="黑体"/>
      <w:sz w:val="28"/>
      <w:szCs w:val="21"/>
    </w:rPr>
  </w:style>
  <w:style w:type="paragraph" w:customStyle="1" w:styleId="Char2">
    <w:name w:val="Char2"/>
    <w:basedOn w:val="a"/>
    <w:qFormat/>
    <w:pPr>
      <w:spacing w:line="360" w:lineRule="auto"/>
    </w:pPr>
    <w:rPr>
      <w:rFonts w:ascii="宋体" w:eastAsia="宋体" w:hAnsi="宋体" w:cs="宋体"/>
      <w:sz w:val="24"/>
      <w:szCs w:val="24"/>
    </w:rPr>
  </w:style>
  <w:style w:type="paragraph" w:customStyle="1" w:styleId="12">
    <w:name w:val="修订1"/>
    <w:hidden/>
    <w:uiPriority w:val="99"/>
    <w:semiHidden/>
    <w:qFormat/>
    <w:rPr>
      <w:rFonts w:ascii="Times New Roman" w:eastAsia="仿宋_GB2312" w:hAnsi="Times New Roman" w:cs="Times New Roman"/>
      <w:kern w:val="2"/>
      <w:sz w:val="32"/>
    </w:rPr>
  </w:style>
  <w:style w:type="paragraph" w:customStyle="1" w:styleId="Char1">
    <w:name w:val="Char1"/>
    <w:basedOn w:val="a"/>
    <w:pPr>
      <w:spacing w:line="360" w:lineRule="auto"/>
    </w:pPr>
    <w:rPr>
      <w:rFonts w:ascii="宋体" w:eastAsia="宋体" w:hAnsi="宋体" w:cs="宋体"/>
      <w:sz w:val="24"/>
      <w:szCs w:val="24"/>
    </w:rPr>
  </w:style>
  <w:style w:type="character" w:customStyle="1" w:styleId="13">
    <w:name w:val="未处理的提及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ad">
    <w:name w:val="批注框文本 字符"/>
    <w:basedOn w:val="a1"/>
    <w:link w:val="ac"/>
    <w:uiPriority w:val="99"/>
    <w:semiHidden/>
    <w:qFormat/>
    <w:rPr>
      <w:rFonts w:ascii="仿宋_GB2312" w:eastAsia="仿宋_GB2312" w:hAnsi="Times New Roman" w:cs="Times New Roman"/>
      <w:sz w:val="18"/>
      <w:szCs w:val="18"/>
    </w:rPr>
  </w:style>
  <w:style w:type="paragraph" w:styleId="afd">
    <w:name w:val="Revision"/>
    <w:hidden/>
    <w:uiPriority w:val="99"/>
    <w:semiHidden/>
    <w:rsid w:val="00FB1D8B"/>
    <w:rPr>
      <w:rFonts w:ascii="仿宋_GB2312" w:eastAsia="仿宋_GB2312" w:hAnsi="Times New Roman" w:cs="Times New Roman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F8787B-3A28-46E4-BB62-C0A3A77D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34</Pages>
  <Words>2783</Words>
  <Characters>15868</Characters>
  <Application>Microsoft Office Word</Application>
  <DocSecurity>0</DocSecurity>
  <Lines>132</Lines>
  <Paragraphs>37</Paragraphs>
  <ScaleCrop>false</ScaleCrop>
  <Company/>
  <LinksUpToDate>false</LinksUpToDate>
  <CharactersWithSpaces>18614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董杨慧</dc:creator>
  <cp:lastModifiedBy>杨慧 董</cp:lastModifiedBy>
  <cp:revision>37</cp:revision>
  <cp:lastPrinted>2026-08-17T10:01:00Z</cp:lastPrinted>
  <dcterms:created xsi:type="dcterms:W3CDTF">2026-08-03T08:04:00Z</dcterms:created>
  <dcterms:modified xsi:type="dcterms:W3CDTF">2026-08-18T01:40:00Z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eyJoZGlkIjoiODMyMjVjODk2M2UxNWYxMWM5ODA3NzgwNGMzZTA2MDkiLCJ1c2VySWQiOiI0NDM3MTYwOTEifQ==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B89C0CF0779A4F97A39E5E42E08A7E00_13</vt:lpwstr>
  </property>
</Properties>
</file>