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2D88A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一图懂：《北京市促进餐饮和食品领域老字号传承发展若干措施》</w:t>
      </w:r>
    </w:p>
    <w:bookmarkEnd w:id="0"/>
    <w:p w14:paraId="725F502F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发布时间：2026-08-13     </w: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default"/>
          <w:lang w:val="en-US" w:eastAsia="zh-CN"/>
        </w:rPr>
        <w:t xml:space="preserve">    信息提供：北京市商务局</w:t>
      </w:r>
    </w:p>
    <w:p w14:paraId="48D89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019675" cy="7556500"/>
            <wp:effectExtent l="0" t="0" r="952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5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81575" cy="86106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48250" cy="87153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24450" cy="8286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8725" cy="86582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33950" cy="87725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9675" cy="844867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19650" cy="702818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70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14382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DE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https://sw.beijing.gov.cn/zwxx/2024zcjd/202608/t20260813_4821815.html</w:t>
      </w:r>
    </w:p>
    <w:p w14:paraId="68249F35">
      <w:pPr>
        <w:rPr>
          <w:rFonts w:hint="default"/>
          <w:lang w:val="en-US" w:eastAsia="zh-CN"/>
        </w:rPr>
      </w:pPr>
    </w:p>
    <w:p w14:paraId="66CCE200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4C053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microsoft.com/office/2006/relationships/keyMapCustomizations" Target="customizations.xm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2026-08-14T09:28:32Z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EDAC940A6C684B15840063296C2840EA_13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