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FCE7F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简体" w:hAnsi="仿宋_GB2312" w:eastAsia="方正小标宋简体" w:cs="仿宋_GB2312"/>
          <w:spacing w:val="0"/>
          <w:kern w:val="0"/>
          <w:sz w:val="44"/>
          <w:szCs w:val="44"/>
          <w:highlight w:val="none"/>
          <w:lang w:eastAsia="zh-CN"/>
        </w:rPr>
      </w:pPr>
      <w:bookmarkStart w:id="0" w:name="_GoBack"/>
      <w:bookmarkEnd w:id="0"/>
      <w:r>
        <w:rPr>
          <w:rFonts w:hint="eastAsia" w:ascii="方正小标宋简体" w:hAnsi="仿宋_GB2312" w:eastAsia="方正小标宋简体" w:cs="仿宋_GB2312"/>
          <w:spacing w:val="0"/>
          <w:kern w:val="0"/>
          <w:sz w:val="44"/>
          <w:szCs w:val="44"/>
          <w:highlight w:val="none"/>
          <w:lang w:eastAsia="zh-CN"/>
        </w:rPr>
        <w:t>关于《丰台区促进智能制造产业高质量</w:t>
      </w:r>
    </w:p>
    <w:p w14:paraId="618CF070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简体" w:hAnsi="仿宋_GB2312" w:eastAsia="方正小标宋简体" w:cs="仿宋_GB2312"/>
          <w:spacing w:val="0"/>
          <w:kern w:val="0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仿宋_GB2312" w:eastAsia="方正小标宋简体" w:cs="仿宋_GB2312"/>
          <w:spacing w:val="0"/>
          <w:kern w:val="0"/>
          <w:sz w:val="44"/>
          <w:szCs w:val="44"/>
          <w:highlight w:val="none"/>
          <w:lang w:eastAsia="zh-CN"/>
        </w:rPr>
        <w:t>发展若干措施》的起草说明</w:t>
      </w:r>
    </w:p>
    <w:p w14:paraId="63448F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0" w:firstLineChars="100"/>
        <w:textAlignment w:val="auto"/>
        <w:outlineLvl w:val="9"/>
        <w:rPr>
          <w:rFonts w:ascii="Times New Roman" w:hAnsi="Times New Roman" w:eastAsia="仿宋_GB2312" w:cs="Times New Roman"/>
          <w:sz w:val="44"/>
          <w:szCs w:val="24"/>
        </w:rPr>
      </w:pPr>
    </w:p>
    <w:p w14:paraId="60595F8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起草背景</w:t>
      </w:r>
    </w:p>
    <w:p w14:paraId="1B2C93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theme="minorBidi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theme="minorBidi"/>
          <w:kern w:val="2"/>
          <w:sz w:val="32"/>
          <w:szCs w:val="32"/>
          <w:highlight w:val="none"/>
          <w:lang w:val="en-US" w:eastAsia="zh-CN" w:bidi="ar-SA"/>
        </w:rPr>
        <w:t>智能制造作为新质生产力的关键支撑，正深刻重塑全球制造业竞争格局。“十五五”时期是我国制造业向高端化、智能化、绿色化转型的攻坚期，国家明确提出“加快发展新一代智能制造”。北京市积极落实国家战略，相继出台《北京市制造业数字化转型实施方案（2024-2026年）》《北京市人工智能赋能新型工业化行动方案》等相关政策，推动智能制造技术创新与产业集聚。丰台区将智能制造产业列入“4+5+X”现代化产业体系的五大新兴产业之一，区领导多次批示要求加快布局、明确发展路径。当前，丰台区智能制造仍存在创新能力不足、产业链协同不够、数字化转型不均衡等短板，亟需通过系统性政策破解，推动智能制造产业实现规模增长和质效提升。</w:t>
      </w:r>
    </w:p>
    <w:p w14:paraId="41C14E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二、起草过程</w:t>
      </w:r>
    </w:p>
    <w:p w14:paraId="7E4F81D9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0000FF"/>
          <w:sz w:val="32"/>
          <w:szCs w:val="32"/>
          <w:highlight w:val="none"/>
          <w:lang w:val="en-US" w:eastAsia="zh-CN"/>
        </w:rPr>
      </w:pPr>
      <w:r>
        <w:rPr>
          <w:rFonts w:hint="eastAsia" w:hAnsi="仿宋_GB2312"/>
          <w:sz w:val="32"/>
          <w:szCs w:val="32"/>
          <w:highlight w:val="none"/>
          <w:lang w:val="en-US" w:eastAsia="zh-CN"/>
        </w:rPr>
        <w:t>在</w:t>
      </w:r>
      <w:r>
        <w:rPr>
          <w:rFonts w:hint="eastAsia" w:hAnsi="仿宋_GB2312"/>
          <w:sz w:val="32"/>
          <w:szCs w:val="32"/>
          <w:highlight w:val="none"/>
          <w:lang w:eastAsia="zh-CN"/>
        </w:rPr>
        <w:t>深入研究北京市、</w:t>
      </w:r>
      <w:r>
        <w:rPr>
          <w:rFonts w:hint="eastAsia" w:hAnsi="仿宋_GB2312"/>
          <w:sz w:val="32"/>
          <w:szCs w:val="32"/>
          <w:highlight w:val="none"/>
          <w:lang w:val="en-US" w:eastAsia="zh-CN"/>
        </w:rPr>
        <w:t>顺义</w:t>
      </w:r>
      <w:r>
        <w:rPr>
          <w:rFonts w:hint="eastAsia" w:ascii="仿宋_GB2312" w:hAnsi="仿宋_GB2312" w:eastAsia="仿宋_GB2312"/>
          <w:sz w:val="32"/>
          <w:szCs w:val="32"/>
          <w:highlight w:val="none"/>
        </w:rPr>
        <w:t>区、</w:t>
      </w:r>
      <w:r>
        <w:rPr>
          <w:rFonts w:hint="eastAsia" w:hAnsi="仿宋_GB2312"/>
          <w:sz w:val="32"/>
          <w:szCs w:val="32"/>
          <w:highlight w:val="none"/>
          <w:lang w:val="en-US" w:eastAsia="zh-CN"/>
        </w:rPr>
        <w:t>昌平</w:t>
      </w:r>
      <w:r>
        <w:rPr>
          <w:rFonts w:hint="eastAsia" w:ascii="仿宋_GB2312" w:hAnsi="仿宋_GB2312" w:eastAsia="仿宋_GB2312"/>
          <w:sz w:val="32"/>
          <w:szCs w:val="32"/>
          <w:highlight w:val="none"/>
        </w:rPr>
        <w:t>区、</w:t>
      </w:r>
      <w:r>
        <w:rPr>
          <w:rFonts w:hint="eastAsia" w:hAnsi="仿宋_GB2312"/>
          <w:sz w:val="32"/>
          <w:szCs w:val="32"/>
          <w:highlight w:val="none"/>
          <w:lang w:val="en-US" w:eastAsia="zh-CN"/>
        </w:rPr>
        <w:t>通州</w:t>
      </w:r>
      <w:r>
        <w:rPr>
          <w:rFonts w:hint="eastAsia" w:ascii="仿宋_GB2312" w:hAnsi="仿宋_GB2312" w:eastAsia="仿宋_GB2312"/>
          <w:sz w:val="32"/>
          <w:szCs w:val="32"/>
          <w:highlight w:val="none"/>
        </w:rPr>
        <w:t>区、</w:t>
      </w:r>
      <w:r>
        <w:rPr>
          <w:rFonts w:hint="eastAsia" w:hAnsi="仿宋_GB2312"/>
          <w:sz w:val="32"/>
          <w:szCs w:val="32"/>
          <w:highlight w:val="none"/>
          <w:lang w:val="en-US" w:eastAsia="zh-CN"/>
        </w:rPr>
        <w:t>上海市、</w:t>
      </w:r>
      <w:r>
        <w:rPr>
          <w:rFonts w:hint="eastAsia" w:ascii="仿宋_GB2312" w:hAnsi="仿宋_GB2312" w:eastAsia="仿宋_GB2312"/>
          <w:sz w:val="32"/>
          <w:szCs w:val="32"/>
          <w:highlight w:val="none"/>
        </w:rPr>
        <w:t>杭州市</w:t>
      </w:r>
      <w:r>
        <w:rPr>
          <w:rFonts w:hint="eastAsia" w:hAnsi="仿宋_GB2312"/>
          <w:sz w:val="32"/>
          <w:szCs w:val="32"/>
          <w:highlight w:val="none"/>
          <w:lang w:eastAsia="zh-CN"/>
        </w:rPr>
        <w:t>、</w:t>
      </w:r>
      <w:r>
        <w:rPr>
          <w:rFonts w:hint="eastAsia" w:hAnsi="仿宋_GB2312"/>
          <w:sz w:val="32"/>
          <w:szCs w:val="32"/>
          <w:highlight w:val="none"/>
          <w:lang w:val="en-US" w:eastAsia="zh-CN"/>
        </w:rPr>
        <w:t>苏州市</w:t>
      </w:r>
      <w:r>
        <w:rPr>
          <w:rFonts w:hint="eastAsia" w:ascii="仿宋_GB2312" w:hAnsi="仿宋_GB2312" w:eastAsia="仿宋_GB2312"/>
          <w:sz w:val="32"/>
          <w:szCs w:val="32"/>
          <w:highlight w:val="none"/>
        </w:rPr>
        <w:t>等地</w:t>
      </w:r>
      <w:r>
        <w:rPr>
          <w:rFonts w:hint="eastAsia" w:hAnsi="仿宋_GB2312"/>
          <w:sz w:val="32"/>
          <w:szCs w:val="32"/>
          <w:highlight w:val="none"/>
          <w:lang w:val="en-US" w:eastAsia="zh-CN"/>
        </w:rPr>
        <w:t>智能制造</w:t>
      </w:r>
      <w:r>
        <w:rPr>
          <w:rFonts w:hint="eastAsia" w:hAnsi="仿宋_GB2312"/>
          <w:sz w:val="32"/>
          <w:szCs w:val="32"/>
          <w:highlight w:val="none"/>
          <w:lang w:eastAsia="zh-CN"/>
        </w:rPr>
        <w:t>产业政策</w:t>
      </w:r>
      <w:r>
        <w:rPr>
          <w:rFonts w:hint="eastAsia" w:hAnsi="仿宋_GB2312"/>
          <w:sz w:val="32"/>
          <w:szCs w:val="32"/>
          <w:highlight w:val="none"/>
          <w:lang w:val="en-US" w:eastAsia="zh-CN"/>
        </w:rPr>
        <w:t>的基础上</w:t>
      </w:r>
      <w:r>
        <w:rPr>
          <w:rFonts w:hint="eastAsia" w:ascii="仿宋_GB2312" w:hAnsi="仿宋_GB2312" w:eastAsia="仿宋_GB2312"/>
          <w:sz w:val="32"/>
          <w:szCs w:val="32"/>
          <w:highlight w:val="none"/>
        </w:rPr>
        <w:t>，与辖区内</w:t>
      </w:r>
      <w:r>
        <w:rPr>
          <w:rFonts w:hint="eastAsia" w:hAnsi="仿宋_GB2312"/>
          <w:sz w:val="32"/>
          <w:szCs w:val="32"/>
          <w:highlight w:val="none"/>
          <w:lang w:val="en-US" w:eastAsia="zh-CN"/>
        </w:rPr>
        <w:t>智能制造重点企业</w:t>
      </w:r>
      <w:r>
        <w:rPr>
          <w:rFonts w:hint="eastAsia" w:ascii="仿宋_GB2312" w:hAnsi="仿宋_GB2312" w:eastAsia="仿宋_GB2312"/>
          <w:sz w:val="32"/>
          <w:szCs w:val="32"/>
          <w:highlight w:val="none"/>
        </w:rPr>
        <w:t>开展多轮调研座谈，</w:t>
      </w:r>
      <w:r>
        <w:rPr>
          <w:rFonts w:hint="eastAsia" w:hAnsi="仿宋_GB2312"/>
          <w:sz w:val="32"/>
          <w:szCs w:val="32"/>
          <w:highlight w:val="none"/>
          <w:lang w:val="en-US" w:eastAsia="zh-CN"/>
        </w:rPr>
        <w:t>充分了解企业实际需求，广泛征求各方意见，并经多次专题研讨修改，形成了</w:t>
      </w:r>
      <w:r>
        <w:rPr>
          <w:rFonts w:hint="eastAsia" w:ascii="仿宋_GB2312" w:hAnsi="仿宋_GB2312" w:eastAsia="仿宋_GB2312"/>
          <w:sz w:val="32"/>
          <w:szCs w:val="32"/>
          <w:highlight w:val="none"/>
        </w:rPr>
        <w:t>《丰台区促进智能制造产业高质量发展若干措施》</w:t>
      </w:r>
      <w:r>
        <w:rPr>
          <w:rFonts w:hint="eastAsia" w:hAnsi="仿宋_GB2312"/>
          <w:sz w:val="32"/>
          <w:szCs w:val="32"/>
          <w:highlight w:val="none"/>
          <w:lang w:eastAsia="zh-CN"/>
        </w:rPr>
        <w:t>（</w:t>
      </w:r>
      <w:r>
        <w:rPr>
          <w:rFonts w:hint="eastAsia" w:hAnsi="仿宋_GB2312"/>
          <w:sz w:val="32"/>
          <w:szCs w:val="32"/>
          <w:highlight w:val="none"/>
          <w:lang w:val="en-US" w:eastAsia="zh-CN"/>
        </w:rPr>
        <w:t>征求意见稿</w:t>
      </w:r>
      <w:r>
        <w:rPr>
          <w:rFonts w:hint="eastAsia" w:hAnsi="仿宋_GB2312"/>
          <w:sz w:val="32"/>
          <w:szCs w:val="32"/>
          <w:highlight w:val="none"/>
          <w:lang w:eastAsia="zh-CN"/>
        </w:rPr>
        <w:t>）（以下简称《若干措施》）。</w:t>
      </w:r>
    </w:p>
    <w:p w14:paraId="40AF05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三、编制思路</w:t>
      </w:r>
    </w:p>
    <w:p w14:paraId="4F83375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"/>
        </w:rPr>
        <w:t>一是突出全链条、全周期、体系化支持。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"/>
        </w:rPr>
        <w:t>紧盯智能制造企业从落地入驻、成长壮大、研发创新到转型升级、场景应用的全生命周期需求，围绕项目建设、企业发展能级提升、研发能力增强、数智化绿色化改造升级、应用示范推广、要素服务保障全环节，形成闭环式、全方位政策支撑体系，精准破解企业发展全流程痛点难点。</w:t>
      </w:r>
    </w:p>
    <w:p w14:paraId="205E805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"/>
        </w:rPr>
        <w:t>二是突出区域特色化、差异化发展。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"/>
        </w:rPr>
        <w:t>立足丰台区产业基础与资源禀赋，聚焦智能制造细分赛道精准发力，重点支持机器人、新能源、新材料、集成电路、商用密码等领域新技术新产品首试首用，支持成套装备示范应用，推动特色产业与智能制造深度融合，深耕优势赛道、做强特色长板，打造具有丰台辨识度的产业竞争优势。</w:t>
      </w:r>
    </w:p>
    <w:p w14:paraId="618B948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"/>
        </w:rPr>
        <w:t>三是突出产业生态构建与高质量落地保障。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"/>
        </w:rPr>
        <w:t>坚持产业培育、生态完善、政策落地统筹推进，强化专业服务机构赋能、应用场景开放、全方位服务保障。推动行业上下游资源协同联动、集聚发展，持续完善产业生态体系，推动丰台区智能制造产业实现提质增效、高质量发展。</w:t>
      </w:r>
    </w:p>
    <w:p w14:paraId="53CD847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hint="default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四、主要内容</w:t>
      </w:r>
    </w:p>
    <w:p w14:paraId="37CEE0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《若干措施》全文分为四章23条具体条款。</w:t>
      </w:r>
    </w:p>
    <w:p w14:paraId="2C19E8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bidi="ar"/>
        </w:rPr>
        <w:t>第一章 总则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包含2条具体条款，分别为若干措施出台目的和支持范围。</w:t>
      </w:r>
    </w:p>
    <w:p w14:paraId="35F3E27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bidi="ar"/>
        </w:rPr>
        <w:t>第二章 支持方向与内容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包含六个方面13条具体条款，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bidi="ar"/>
        </w:rPr>
        <w:t>一是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支持智能制造项目落地方面，重点支持引进智能制造领域的重大项目建设，支持小试中试、调试组装、系统集成等项目落地。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bidi="ar"/>
        </w:rPr>
        <w:t>二是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支持企业提升发展能级方面，重点支持智能制造企业提升发展效能，支持传统企业发展智能制造业务。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bidi="ar"/>
        </w:rPr>
        <w:t>三是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支持企业研发创新方面，重点支持企业加大研发投入，支持关键核心技术攻关。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bidi="ar"/>
        </w:rPr>
        <w:t>四是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支持企业数智化、绿色化升级方面，重点支持企业开展数智化、绿色化改造，支持企业实施老旧厂房更新利用。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bidi="ar"/>
        </w:rPr>
        <w:t>五是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支持智能制造细分产业高质量发展方面，重点支持新技术新产品首试首用，支持成套装备应用示范。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bidi="ar"/>
        </w:rPr>
        <w:t>六是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支持智能制造产业集聚发展方面，重点支持服务机构培育智能制造企业，加大应用场景建设支持，加强服务保障支撑。</w:t>
      </w:r>
    </w:p>
    <w:p w14:paraId="1AE8D3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bidi="ar"/>
        </w:rPr>
        <w:t>第三章 资金使用与管理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包含3条具体条款，分别为项目资金使用管理相关工作流程，申报材料相关要求，不予支持的情形。</w:t>
      </w:r>
    </w:p>
    <w:p w14:paraId="73F11F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bidi="ar"/>
        </w:rPr>
        <w:t>第四章 附则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包含5条具体条款，分别为实施原则、未尽事宜执行原则、停止政策支持的情形、实施期限以及本措施负责部门。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6783C64-904B-4FD9-AB53-C13B7D3036A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F61BE934-AB13-4204-B82E-34F8B60B3A7C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AE61ADA9-13DA-4407-BA00-FFC94D774BA0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1C3213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4C7813E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4C7813E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0B642EE"/>
    <w:multiLevelType w:val="singleLevel"/>
    <w:tmpl w:val="70B642E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0B3"/>
    <w:rsid w:val="00120EC4"/>
    <w:rsid w:val="0026642E"/>
    <w:rsid w:val="002700F7"/>
    <w:rsid w:val="00354B89"/>
    <w:rsid w:val="003820AA"/>
    <w:rsid w:val="006430B3"/>
    <w:rsid w:val="00810F67"/>
    <w:rsid w:val="00881248"/>
    <w:rsid w:val="00B07A03"/>
    <w:rsid w:val="00BC05C0"/>
    <w:rsid w:val="00C94E4A"/>
    <w:rsid w:val="02B86002"/>
    <w:rsid w:val="04D356AB"/>
    <w:rsid w:val="05AD05DE"/>
    <w:rsid w:val="08F531A0"/>
    <w:rsid w:val="13B13D62"/>
    <w:rsid w:val="14190A01"/>
    <w:rsid w:val="1CA53161"/>
    <w:rsid w:val="221548E5"/>
    <w:rsid w:val="3141600C"/>
    <w:rsid w:val="3D0708D0"/>
    <w:rsid w:val="51F06B68"/>
    <w:rsid w:val="5340735F"/>
    <w:rsid w:val="5B050977"/>
    <w:rsid w:val="70645A9F"/>
    <w:rsid w:val="70EB6B37"/>
    <w:rsid w:val="74A33B6F"/>
    <w:rsid w:val="77F6479A"/>
    <w:rsid w:val="789C755C"/>
    <w:rsid w:val="7F137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oc 1"/>
    <w:basedOn w:val="1"/>
    <w:next w:val="1"/>
    <w:unhideWhenUsed/>
    <w:qFormat/>
    <w:uiPriority w:val="39"/>
  </w:style>
  <w:style w:type="paragraph" w:styleId="6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9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3"/>
    <w:qFormat/>
    <w:uiPriority w:val="99"/>
    <w:rPr>
      <w:sz w:val="18"/>
      <w:szCs w:val="18"/>
    </w:rPr>
  </w:style>
  <w:style w:type="character" w:customStyle="1" w:styleId="11">
    <w:name w:val="fontstyle11"/>
    <w:basedOn w:val="8"/>
    <w:qFormat/>
    <w:uiPriority w:val="0"/>
    <w:rPr>
      <w:rFonts w:hint="eastAsia" w:ascii="仿宋_GB2312" w:eastAsia="仿宋_GB2312"/>
      <w:color w:val="000000"/>
      <w:sz w:val="32"/>
      <w:szCs w:val="32"/>
    </w:rPr>
  </w:style>
  <w:style w:type="paragraph" w:customStyle="1" w:styleId="12">
    <w:name w:val="1正文"/>
    <w:basedOn w:val="1"/>
    <w:qFormat/>
    <w:uiPriority w:val="0"/>
    <w:pPr>
      <w:suppressAutoHyphens w:val="0"/>
      <w:spacing w:line="560" w:lineRule="exact"/>
      <w:ind w:firstLine="200" w:firstLineChars="200"/>
    </w:pPr>
    <w:rPr>
      <w:rFonts w:ascii="仿宋_GB2312" w:eastAsia="仿宋_GB2312"/>
      <w:sz w:val="3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1415</Words>
  <Characters>1429</Characters>
  <Lines>6</Lines>
  <Paragraphs>1</Paragraphs>
  <TotalTime>3</TotalTime>
  <ScaleCrop>false</ScaleCrop>
  <LinksUpToDate>false</LinksUpToDate>
  <CharactersWithSpaces>1433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2022-10-20T03:16:00Z</dcterms:created>
  <dc:creator>潘洁</dc:creator>
  <cp:lastModifiedBy>马颖超</cp:lastModifiedBy>
  <dcterms:modified xsi:type="dcterms:W3CDTF">2026-08-11T09:56:09Z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eyJoZGlkIjoiZDJkMTM1NjUwOTU5MDc2NTdiNTlmMTlhNTAyOTg3NmMiLCJ1c2VySWQiOiIxNjg0NTI1ODgyIn0=</vt:lpwstr>
  </property>
  <property fmtid="{D5CDD505-2E9C-101B-9397-08002B2CF9AE}" pid="3" name="KSOProductBuildVer">
    <vt:lpwstr>2052-12.1.0.28022</vt:lpwstr>
  </property>
  <property fmtid="{D5CDD505-2E9C-101B-9397-08002B2CF9AE}" pid="4" name="ICV">
    <vt:lpwstr>B0460E35EF904115ACE3CA3F7D808133_13</vt:lpwstr>
  </property>
</Properties>
</file>