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52"/>
          <w:lang w:val="en-US" w:eastAsia="zh-CN"/>
        </w:rPr>
      </w:pPr>
    </w:p>
    <w:p>
      <w:pPr>
        <w:pStyle w:val="6"/>
        <w:keepNext w:val="0"/>
        <w:keepLines w:val="0"/>
        <w:pageBreakBefore w:val="0"/>
        <w:widowControl w:val="0"/>
        <w:kinsoku/>
        <w:wordWrap/>
        <w:overflowPunct/>
        <w:topLinePunct/>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52"/>
          <w:lang w:val="en-US" w:eastAsia="zh-CN"/>
        </w:rPr>
      </w:pPr>
    </w:p>
    <w:p>
      <w:pPr>
        <w:pStyle w:val="6"/>
        <w:keepNext w:val="0"/>
        <w:keepLines w:val="0"/>
        <w:pageBreakBefore w:val="0"/>
        <w:widowControl w:val="0"/>
        <w:kinsoku/>
        <w:wordWrap/>
        <w:overflowPunct/>
        <w:topLinePunct/>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52"/>
          <w:lang w:val="en-US" w:eastAsia="zh-CN"/>
        </w:rPr>
      </w:pPr>
      <w:r>
        <w:rPr>
          <w:rFonts w:hint="eastAsia" w:ascii="方正小标宋简体" w:hAnsi="方正小标宋简体" w:eastAsia="方正小标宋简体" w:cs="方正小标宋简体"/>
          <w:color w:val="auto"/>
          <w:sz w:val="44"/>
          <w:szCs w:val="52"/>
          <w:lang w:val="en-US" w:eastAsia="zh-CN"/>
        </w:rPr>
        <w:t>北京市知识产权扶持资金管理办法</w:t>
      </w:r>
    </w:p>
    <w:p>
      <w:pPr>
        <w:pStyle w:val="6"/>
        <w:keepNext w:val="0"/>
        <w:keepLines w:val="0"/>
        <w:pageBreakBefore w:val="0"/>
        <w:widowControl w:val="0"/>
        <w:kinsoku/>
        <w:wordWrap/>
        <w:overflowPunct/>
        <w:topLinePunct/>
        <w:autoSpaceDE/>
        <w:autoSpaceDN/>
        <w:bidi w:val="0"/>
        <w:adjustRightInd/>
        <w:snapToGrid/>
        <w:spacing w:line="560" w:lineRule="exact"/>
        <w:ind w:firstLine="0" w:firstLineChars="0"/>
        <w:jc w:val="center"/>
        <w:textAlignment w:val="auto"/>
        <w:rPr>
          <w:rFonts w:hint="eastAsia" w:ascii="楷体_GB2312" w:hAnsi="楷体_GB2312" w:eastAsia="楷体_GB2312" w:cs="楷体_GB2312"/>
          <w:b/>
          <w:bCs/>
          <w:i w:val="0"/>
          <w:iCs w:val="0"/>
          <w:caps w:val="0"/>
          <w:color w:val="auto"/>
          <w:spacing w:val="0"/>
          <w:sz w:val="32"/>
          <w:szCs w:val="32"/>
        </w:rPr>
      </w:pPr>
      <w:r>
        <w:rPr>
          <w:rFonts w:hint="eastAsia" w:ascii="楷体_GB2312" w:hAnsi="楷体_GB2312" w:eastAsia="楷体_GB2312" w:cs="楷体_GB2312"/>
          <w:color w:val="auto"/>
          <w:sz w:val="32"/>
          <w:szCs w:val="32"/>
          <w:lang w:val="en-US" w:eastAsia="zh-CN"/>
        </w:rPr>
        <w:t>（征求意见稿）</w:t>
      </w:r>
    </w:p>
    <w:p>
      <w:pPr>
        <w:keepNext w:val="0"/>
        <w:keepLines w:val="0"/>
        <w:pageBreakBefore w:val="0"/>
        <w:widowControl w:val="0"/>
        <w:kinsoku/>
        <w:wordWrap/>
        <w:overflowPunct/>
        <w:topLinePunct/>
        <w:autoSpaceDE/>
        <w:autoSpaceDN/>
        <w:bidi w:val="0"/>
        <w:adjustRightInd/>
        <w:snapToGrid/>
        <w:spacing w:line="560" w:lineRule="exact"/>
        <w:textAlignment w:val="auto"/>
        <w:rPr>
          <w:rFonts w:hint="eastAsia"/>
          <w:color w:val="auto"/>
          <w:lang w:val="en-US" w:eastAsia="zh-CN"/>
        </w:rPr>
      </w:pP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0" w:firstLineChars="0"/>
        <w:jc w:val="center"/>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第一章 总则</w:t>
      </w:r>
    </w:p>
    <w:p>
      <w:pPr>
        <w:keepNext w:val="0"/>
        <w:keepLines w:val="0"/>
        <w:pageBreakBefore w:val="0"/>
        <w:widowControl/>
        <w:suppressLineNumbers w:val="0"/>
        <w:kinsoku/>
        <w:wordWrap/>
        <w:overflowPunct/>
        <w:autoSpaceDE/>
        <w:autoSpaceDN/>
        <w:bidi w:val="0"/>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第一条</w:t>
      </w:r>
      <w:r>
        <w:rPr>
          <w:rFonts w:hint="eastAsia" w:cs="仿宋_GB2312"/>
          <w:b/>
          <w:bCs/>
          <w:color w:val="auto"/>
          <w:kern w:val="2"/>
          <w:sz w:val="32"/>
          <w:szCs w:val="32"/>
          <w:lang w:val="en-US" w:eastAsia="zh-CN" w:bidi="ar-SA"/>
        </w:rPr>
        <w:t xml:space="preserve"> </w:t>
      </w:r>
      <w:r>
        <w:rPr>
          <w:rFonts w:hint="eastAsia"/>
          <w:color w:val="auto"/>
          <w:lang w:eastAsia="zh-CN"/>
        </w:rPr>
        <w:t>【制定目的与依据】</w:t>
      </w:r>
      <w:r>
        <w:rPr>
          <w:rFonts w:hint="eastAsia" w:ascii="仿宋_GB2312" w:hAnsi="仿宋_GB2312" w:eastAsia="仿宋_GB2312" w:cs="仿宋_GB2312"/>
          <w:b w:val="0"/>
          <w:bCs w:val="0"/>
          <w:color w:val="auto"/>
          <w:kern w:val="2"/>
          <w:sz w:val="32"/>
          <w:szCs w:val="32"/>
          <w:lang w:val="en-US" w:eastAsia="zh-CN" w:bidi="ar-SA"/>
        </w:rPr>
        <w:t>为</w:t>
      </w:r>
      <w:r>
        <w:rPr>
          <w:rFonts w:hint="eastAsia" w:cs="仿宋_GB2312"/>
          <w:b w:val="0"/>
          <w:bCs w:val="0"/>
          <w:color w:val="auto"/>
          <w:kern w:val="2"/>
          <w:sz w:val="32"/>
          <w:szCs w:val="32"/>
          <w:lang w:val="en-US" w:eastAsia="zh-CN" w:bidi="ar-SA"/>
        </w:rPr>
        <w:t>进一步规范资金使用管理，推动</w:t>
      </w:r>
      <w:r>
        <w:rPr>
          <w:rFonts w:hint="eastAsia" w:cs="仿宋_GB2312"/>
          <w:color w:val="auto"/>
          <w:sz w:val="32"/>
          <w:szCs w:val="32"/>
          <w:lang w:val="en-US" w:eastAsia="zh-CN"/>
        </w:rPr>
        <w:t>本市</w:t>
      </w:r>
      <w:r>
        <w:rPr>
          <w:rFonts w:hint="eastAsia" w:ascii="仿宋_GB2312" w:hAnsi="仿宋_GB2312" w:eastAsia="仿宋_GB2312" w:cs="仿宋_GB2312"/>
          <w:color w:val="auto"/>
          <w:sz w:val="32"/>
          <w:szCs w:val="32"/>
          <w:lang w:val="en-US" w:eastAsia="zh-CN"/>
        </w:rPr>
        <w:t>知识产权</w:t>
      </w:r>
      <w:r>
        <w:rPr>
          <w:rFonts w:hint="eastAsia" w:cs="仿宋_GB2312"/>
          <w:color w:val="auto"/>
          <w:sz w:val="32"/>
          <w:szCs w:val="32"/>
          <w:lang w:val="en-US" w:eastAsia="zh-CN"/>
        </w:rPr>
        <w:t>事业</w:t>
      </w:r>
      <w:r>
        <w:rPr>
          <w:rFonts w:hint="eastAsia" w:ascii="仿宋_GB2312" w:hAnsi="仿宋_GB2312" w:eastAsia="仿宋_GB2312" w:cs="仿宋_GB2312"/>
          <w:color w:val="auto"/>
          <w:sz w:val="32"/>
          <w:szCs w:val="32"/>
          <w:lang w:val="en-US" w:eastAsia="zh-CN"/>
        </w:rPr>
        <w:t>高质量发展，根</w:t>
      </w:r>
      <w:r>
        <w:rPr>
          <w:rFonts w:hint="eastAsia" w:cs="仿宋_GB2312"/>
          <w:color w:val="auto"/>
          <w:sz w:val="32"/>
          <w:szCs w:val="32"/>
          <w:lang w:val="en-US" w:eastAsia="zh-CN"/>
        </w:rPr>
        <w:t>据《</w:t>
      </w:r>
      <w:r>
        <w:rPr>
          <w:rFonts w:hint="eastAsia" w:ascii="仿宋_GB2312" w:hAnsi="仿宋_GB2312" w:eastAsia="仿宋_GB2312" w:cs="仿宋_GB2312"/>
          <w:color w:val="auto"/>
          <w:sz w:val="32"/>
          <w:szCs w:val="32"/>
          <w:lang w:val="en-US" w:eastAsia="zh-CN"/>
        </w:rPr>
        <w:t>关于强化知识产权保护的意见》《北京市知识产权保护条例》《北京市知识产权强国示范城市建设纲要（2021—2035年）》</w:t>
      </w:r>
      <w:r>
        <w:rPr>
          <w:rFonts w:hint="eastAsia" w:cs="仿宋_GB2312"/>
          <w:color w:val="auto"/>
          <w:sz w:val="32"/>
          <w:szCs w:val="32"/>
          <w:lang w:val="en-US" w:eastAsia="zh-CN"/>
        </w:rPr>
        <w:t>和财政资金管理有关规定</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结合国家和北京市重大战略</w:t>
      </w:r>
      <w:r>
        <w:rPr>
          <w:rFonts w:hint="eastAsia" w:ascii="仿宋_GB2312" w:hAnsi="仿宋_GB2312" w:eastAsia="仿宋_GB2312" w:cs="仿宋_GB2312"/>
          <w:color w:val="auto"/>
          <w:sz w:val="32"/>
          <w:szCs w:val="32"/>
          <w:lang w:val="en-US" w:eastAsia="zh-CN"/>
        </w:rPr>
        <w:t>制定本办法。</w:t>
      </w:r>
    </w:p>
    <w:p>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第二条</w:t>
      </w:r>
      <w:r>
        <w:rPr>
          <w:rFonts w:hint="eastAsia" w:cs="仿宋_GB2312"/>
          <w:b/>
          <w:bCs/>
          <w:color w:val="auto"/>
          <w:sz w:val="32"/>
          <w:szCs w:val="32"/>
          <w:lang w:val="en-US" w:eastAsia="zh-CN"/>
        </w:rPr>
        <w:t xml:space="preserve"> </w:t>
      </w:r>
      <w:r>
        <w:rPr>
          <w:rFonts w:hint="eastAsia"/>
          <w:color w:val="auto"/>
          <w:lang w:eastAsia="zh-CN"/>
        </w:rPr>
        <w:t>【</w:t>
      </w:r>
      <w:r>
        <w:rPr>
          <w:rFonts w:hint="eastAsia" w:ascii="仿宋_GB2312" w:hAnsi="仿宋_GB2312" w:eastAsia="仿宋_GB2312" w:cs="仿宋_GB2312"/>
          <w:b w:val="0"/>
          <w:bCs w:val="0"/>
          <w:color w:val="auto"/>
          <w:sz w:val="32"/>
          <w:szCs w:val="32"/>
          <w:lang w:val="en-US" w:eastAsia="zh-CN"/>
        </w:rPr>
        <w:t>扶持</w:t>
      </w:r>
      <w:r>
        <w:rPr>
          <w:rFonts w:hint="eastAsia"/>
          <w:color w:val="auto"/>
          <w:lang w:eastAsia="zh-CN"/>
        </w:rPr>
        <w:t>资金定义】</w:t>
      </w:r>
      <w:r>
        <w:rPr>
          <w:rFonts w:hint="eastAsia" w:ascii="仿宋_GB2312" w:hAnsi="仿宋_GB2312" w:eastAsia="仿宋_GB2312" w:cs="仿宋_GB2312"/>
          <w:color w:val="auto"/>
          <w:sz w:val="32"/>
          <w:szCs w:val="32"/>
          <w:lang w:val="en-US" w:eastAsia="zh-CN"/>
        </w:rPr>
        <w:t>知识产权扶</w:t>
      </w:r>
      <w:r>
        <w:rPr>
          <w:rFonts w:hint="eastAsia" w:ascii="仿宋_GB2312" w:hAnsi="仿宋_GB2312" w:eastAsia="仿宋_GB2312" w:cs="仿宋_GB2312"/>
          <w:b w:val="0"/>
          <w:bCs w:val="0"/>
          <w:color w:val="auto"/>
          <w:sz w:val="32"/>
          <w:szCs w:val="32"/>
          <w:lang w:val="en-US" w:eastAsia="zh-CN"/>
        </w:rPr>
        <w:t>持资金</w:t>
      </w:r>
      <w:r>
        <w:rPr>
          <w:rFonts w:hint="eastAsia" w:cs="仿宋_GB2312"/>
          <w:b w:val="0"/>
          <w:bCs w:val="0"/>
          <w:color w:val="auto"/>
          <w:sz w:val="32"/>
          <w:szCs w:val="32"/>
          <w:lang w:val="en-US" w:eastAsia="zh-CN"/>
        </w:rPr>
        <w:t>是指</w:t>
      </w:r>
      <w:r>
        <w:rPr>
          <w:rFonts w:hint="eastAsia" w:ascii="仿宋_GB2312" w:hAnsi="仿宋_GB2312" w:eastAsia="仿宋_GB2312" w:cs="仿宋_GB2312"/>
          <w:b w:val="0"/>
          <w:bCs w:val="0"/>
          <w:color w:val="auto"/>
          <w:sz w:val="32"/>
          <w:szCs w:val="32"/>
          <w:lang w:val="en-US" w:eastAsia="zh-CN"/>
        </w:rPr>
        <w:t>纳入</w:t>
      </w:r>
      <w:r>
        <w:rPr>
          <w:rFonts w:hint="eastAsia" w:cs="仿宋_GB2312"/>
          <w:b w:val="0"/>
          <w:bCs w:val="0"/>
          <w:color w:val="auto"/>
          <w:sz w:val="32"/>
          <w:szCs w:val="32"/>
          <w:lang w:val="en-US" w:eastAsia="zh-CN"/>
        </w:rPr>
        <w:t>本市</w:t>
      </w:r>
      <w:r>
        <w:rPr>
          <w:rFonts w:hint="eastAsia" w:ascii="仿宋_GB2312" w:hAnsi="仿宋_GB2312" w:eastAsia="仿宋_GB2312" w:cs="仿宋_GB2312"/>
          <w:b w:val="0"/>
          <w:bCs w:val="0"/>
          <w:color w:val="auto"/>
          <w:sz w:val="32"/>
          <w:szCs w:val="32"/>
          <w:lang w:val="en-US" w:eastAsia="zh-CN"/>
        </w:rPr>
        <w:t>市级财政预算安排，</w:t>
      </w:r>
      <w:r>
        <w:rPr>
          <w:rFonts w:hint="eastAsia" w:cs="仿宋_GB2312"/>
          <w:color w:val="auto"/>
          <w:sz w:val="32"/>
          <w:szCs w:val="32"/>
          <w:lang w:val="en-US" w:eastAsia="zh-CN"/>
        </w:rPr>
        <w:t>主要用于</w:t>
      </w:r>
      <w:r>
        <w:rPr>
          <w:rFonts w:hint="eastAsia" w:ascii="仿宋_GB2312" w:hAnsi="仿宋_GB2312" w:eastAsia="仿宋_GB2312" w:cs="仿宋_GB2312"/>
          <w:color w:val="auto"/>
          <w:kern w:val="0"/>
          <w:sz w:val="32"/>
          <w:szCs w:val="32"/>
          <w:lang w:val="en-US" w:eastAsia="zh-CN" w:bidi="ar"/>
        </w:rPr>
        <w:t>提升知识产权创造质量、促进知识产权转化运用、</w:t>
      </w:r>
      <w:r>
        <w:rPr>
          <w:rFonts w:hint="eastAsia" w:ascii="仿宋_GB2312" w:hAnsi="仿宋_GB2312" w:eastAsia="仿宋_GB2312" w:cs="仿宋_GB2312"/>
          <w:color w:val="auto"/>
          <w:kern w:val="2"/>
          <w:sz w:val="32"/>
          <w:szCs w:val="32"/>
          <w:lang w:val="en-US" w:eastAsia="zh-CN" w:bidi="ar-SA"/>
        </w:rPr>
        <w:t>提高知识产权保护能力</w:t>
      </w:r>
      <w:r>
        <w:rPr>
          <w:rFonts w:hint="eastAsia" w:cs="仿宋_GB2312"/>
          <w:color w:val="auto"/>
          <w:kern w:val="2"/>
          <w:sz w:val="32"/>
          <w:szCs w:val="32"/>
          <w:lang w:val="en-US" w:eastAsia="zh-CN" w:bidi="ar-SA"/>
        </w:rPr>
        <w:t>、</w:t>
      </w:r>
      <w:r>
        <w:rPr>
          <w:rFonts w:hint="eastAsia" w:ascii="仿宋_GB2312" w:hAnsi="仿宋_GB2312" w:eastAsia="仿宋_GB2312" w:cs="仿宋_GB2312"/>
          <w:color w:val="auto"/>
          <w:kern w:val="0"/>
          <w:sz w:val="32"/>
          <w:szCs w:val="32"/>
          <w:lang w:val="en-US" w:eastAsia="zh-CN" w:bidi="ar"/>
        </w:rPr>
        <w:t>增强知识产权服务效能、助力知识产权金融</w:t>
      </w:r>
      <w:r>
        <w:rPr>
          <w:rFonts w:hint="eastAsia" w:cs="仿宋_GB2312"/>
          <w:color w:val="auto"/>
          <w:kern w:val="0"/>
          <w:sz w:val="32"/>
          <w:szCs w:val="32"/>
          <w:lang w:val="en-US" w:eastAsia="zh-CN" w:bidi="ar"/>
        </w:rPr>
        <w:t>创新</w:t>
      </w:r>
      <w:r>
        <w:rPr>
          <w:rFonts w:hint="eastAsia" w:cs="仿宋_GB2312"/>
          <w:color w:val="auto"/>
          <w:sz w:val="32"/>
          <w:szCs w:val="32"/>
          <w:lang w:val="en-US" w:eastAsia="zh-CN"/>
        </w:rPr>
        <w:t>等扶持内容的支出</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 xml:space="preserve">第三条 </w:t>
      </w:r>
      <w:r>
        <w:rPr>
          <w:rFonts w:hint="eastAsia"/>
          <w:color w:val="auto"/>
          <w:lang w:eastAsia="zh-CN"/>
        </w:rPr>
        <w:t>【扶持对象】</w:t>
      </w:r>
      <w:r>
        <w:rPr>
          <w:rFonts w:hint="eastAsia"/>
          <w:color w:val="auto"/>
          <w:highlight w:val="none"/>
          <w:lang w:val="en-US" w:eastAsia="zh-CN"/>
        </w:rPr>
        <w:t>扶持资金扶持对象</w:t>
      </w:r>
      <w:r>
        <w:rPr>
          <w:rFonts w:ascii="Times New Roman" w:hAnsi="Times New Roman"/>
          <w:color w:val="auto"/>
          <w:szCs w:val="32"/>
        </w:rPr>
        <w:t>为</w:t>
      </w:r>
      <w:r>
        <w:rPr>
          <w:rFonts w:hint="eastAsia" w:ascii="Times New Roman" w:hAnsi="Times New Roman"/>
          <w:color w:val="auto"/>
          <w:szCs w:val="32"/>
          <w:lang w:val="en-US" w:eastAsia="zh-CN"/>
        </w:rPr>
        <w:t>在</w:t>
      </w:r>
      <w:r>
        <w:rPr>
          <w:rFonts w:ascii="Times New Roman" w:hAnsi="Times New Roman"/>
          <w:color w:val="auto"/>
          <w:szCs w:val="32"/>
        </w:rPr>
        <w:t>本市</w:t>
      </w:r>
      <w:r>
        <w:rPr>
          <w:rFonts w:hint="eastAsia"/>
          <w:color w:val="auto"/>
          <w:szCs w:val="32"/>
          <w:lang w:val="en-US" w:eastAsia="zh-CN"/>
        </w:rPr>
        <w:t>从事</w:t>
      </w:r>
      <w:r>
        <w:rPr>
          <w:rFonts w:hint="eastAsia" w:ascii="Times New Roman" w:hAnsi="Times New Roman"/>
          <w:color w:val="auto"/>
          <w:szCs w:val="32"/>
          <w:lang w:val="en-US" w:eastAsia="zh-CN"/>
        </w:rPr>
        <w:t>生产经营活动</w:t>
      </w:r>
      <w:r>
        <w:rPr>
          <w:rFonts w:hint="eastAsia"/>
          <w:color w:val="auto"/>
          <w:szCs w:val="32"/>
          <w:lang w:val="en-US" w:eastAsia="zh-CN"/>
        </w:rPr>
        <w:t>的</w:t>
      </w:r>
      <w:r>
        <w:rPr>
          <w:rFonts w:hint="eastAsia" w:ascii="仿宋_GB2312" w:hAnsi="仿宋_GB2312" w:eastAsia="仿宋_GB2312" w:cs="仿宋_GB2312"/>
          <w:color w:val="auto"/>
          <w:sz w:val="32"/>
          <w:szCs w:val="32"/>
        </w:rPr>
        <w:t>企事业单位</w:t>
      </w:r>
      <w:r>
        <w:rPr>
          <w:rFonts w:hint="eastAsia" w:ascii="仿宋_GB2312" w:hAnsi="Calibri" w:eastAsia="仿宋_GB2312" w:cs="Times New Roman"/>
          <w:color w:val="auto"/>
          <w:kern w:val="2"/>
          <w:sz w:val="32"/>
          <w:szCs w:val="32"/>
          <w:lang w:val="en-US" w:eastAsia="zh-CN" w:bidi="ar-SA"/>
        </w:rPr>
        <w:t>和</w:t>
      </w:r>
      <w:r>
        <w:rPr>
          <w:rFonts w:hint="eastAsia" w:ascii="Times New Roman" w:hAnsi="Times New Roman"/>
          <w:color w:val="auto"/>
          <w:szCs w:val="32"/>
          <w:lang w:val="en-US" w:eastAsia="zh-CN"/>
        </w:rPr>
        <w:t>开展业务活动的</w:t>
      </w:r>
      <w:r>
        <w:rPr>
          <w:rFonts w:hint="eastAsia" w:ascii="仿宋_GB2312" w:hAnsi="仿宋_GB2312" w:eastAsia="仿宋_GB2312" w:cs="仿宋_GB2312"/>
          <w:color w:val="auto"/>
          <w:sz w:val="32"/>
          <w:szCs w:val="32"/>
        </w:rPr>
        <w:t>社会组织。</w:t>
      </w:r>
    </w:p>
    <w:p>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第四条</w:t>
      </w:r>
      <w:r>
        <w:rPr>
          <w:rFonts w:hint="eastAsia" w:ascii="仿宋_GB2312" w:hAnsi="仿宋_GB2312" w:eastAsia="仿宋_GB2312" w:cs="仿宋_GB2312"/>
          <w:b/>
          <w:bCs/>
          <w:color w:val="auto"/>
          <w:sz w:val="32"/>
          <w:szCs w:val="32"/>
          <w:lang w:val="en-US" w:eastAsia="zh-CN"/>
        </w:rPr>
        <w:t xml:space="preserve"> </w:t>
      </w:r>
      <w:r>
        <w:rPr>
          <w:rFonts w:hint="eastAsia"/>
          <w:color w:val="auto"/>
          <w:lang w:eastAsia="zh-CN"/>
        </w:rPr>
        <w:t>【</w:t>
      </w:r>
      <w:r>
        <w:rPr>
          <w:rFonts w:hint="eastAsia"/>
          <w:color w:val="auto"/>
          <w:lang w:val="en-US" w:eastAsia="zh-CN"/>
        </w:rPr>
        <w:t>扶持方式</w:t>
      </w:r>
      <w:r>
        <w:rPr>
          <w:rFonts w:hint="eastAsia"/>
          <w:color w:val="auto"/>
          <w:lang w:eastAsia="zh-CN"/>
        </w:rPr>
        <w:t>】</w:t>
      </w:r>
      <w:r>
        <w:rPr>
          <w:rFonts w:hint="eastAsia"/>
          <w:color w:val="auto"/>
          <w:lang w:val="en-US" w:eastAsia="zh-CN"/>
        </w:rPr>
        <w:t>按照</w:t>
      </w:r>
      <w:r>
        <w:rPr>
          <w:rFonts w:hint="eastAsia" w:cs="仿宋_GB2312"/>
          <w:b w:val="0"/>
          <w:bCs w:val="0"/>
          <w:color w:val="auto"/>
          <w:sz w:val="32"/>
          <w:szCs w:val="32"/>
          <w:lang w:val="en-US" w:eastAsia="zh-CN"/>
        </w:rPr>
        <w:t>扶持内容</w:t>
      </w:r>
      <w:r>
        <w:rPr>
          <w:rFonts w:hint="eastAsia" w:ascii="仿宋_GB2312" w:hAnsi="仿宋_GB2312" w:eastAsia="仿宋_GB2312" w:cs="仿宋_GB2312"/>
          <w:b w:val="0"/>
          <w:bCs w:val="0"/>
          <w:color w:val="auto"/>
          <w:sz w:val="32"/>
          <w:szCs w:val="32"/>
          <w:lang w:val="en-US" w:eastAsia="zh-CN"/>
        </w:rPr>
        <w:t>类型和性质，扶持资金</w:t>
      </w:r>
      <w:r>
        <w:rPr>
          <w:rFonts w:hint="eastAsia" w:cs="仿宋_GB2312"/>
          <w:b w:val="0"/>
          <w:bCs w:val="0"/>
          <w:color w:val="auto"/>
          <w:sz w:val="32"/>
          <w:szCs w:val="32"/>
          <w:lang w:val="en-US" w:eastAsia="zh-CN"/>
        </w:rPr>
        <w:t>采取</w:t>
      </w:r>
      <w:r>
        <w:rPr>
          <w:rFonts w:hint="eastAsia" w:ascii="仿宋_GB2312" w:hAnsi="仿宋_GB2312" w:eastAsia="仿宋_GB2312" w:cs="仿宋_GB2312"/>
          <w:b w:val="0"/>
          <w:bCs w:val="0"/>
          <w:color w:val="auto"/>
          <w:sz w:val="32"/>
          <w:szCs w:val="32"/>
          <w:lang w:val="en-US" w:eastAsia="zh-CN"/>
        </w:rPr>
        <w:t>资助</w:t>
      </w:r>
      <w:r>
        <w:rPr>
          <w:rFonts w:hint="eastAsia" w:cs="仿宋_GB2312"/>
          <w:b w:val="0"/>
          <w:bCs w:val="0"/>
          <w:color w:val="auto"/>
          <w:sz w:val="32"/>
          <w:szCs w:val="32"/>
          <w:lang w:val="en-US" w:eastAsia="zh-CN"/>
        </w:rPr>
        <w:t>和</w:t>
      </w:r>
      <w:r>
        <w:rPr>
          <w:rFonts w:hint="eastAsia" w:ascii="仿宋_GB2312" w:hAnsi="仿宋_GB2312" w:eastAsia="仿宋_GB2312" w:cs="仿宋_GB2312"/>
          <w:b w:val="0"/>
          <w:bCs w:val="0"/>
          <w:color w:val="auto"/>
          <w:sz w:val="32"/>
          <w:szCs w:val="32"/>
          <w:lang w:val="en-US" w:eastAsia="zh-CN"/>
        </w:rPr>
        <w:t>后补贴</w:t>
      </w:r>
      <w:r>
        <w:rPr>
          <w:rFonts w:hint="eastAsia" w:cs="仿宋_GB2312"/>
          <w:b w:val="0"/>
          <w:bCs w:val="0"/>
          <w:color w:val="auto"/>
          <w:sz w:val="32"/>
          <w:szCs w:val="32"/>
          <w:lang w:val="en-US" w:eastAsia="zh-CN"/>
        </w:rPr>
        <w:t>两</w:t>
      </w:r>
      <w:r>
        <w:rPr>
          <w:rFonts w:hint="eastAsia" w:ascii="仿宋_GB2312" w:hAnsi="仿宋_GB2312" w:eastAsia="仿宋_GB2312" w:cs="仿宋_GB2312"/>
          <w:b w:val="0"/>
          <w:bCs w:val="0"/>
          <w:color w:val="auto"/>
          <w:sz w:val="32"/>
          <w:szCs w:val="32"/>
          <w:lang w:val="en-US" w:eastAsia="zh-CN"/>
        </w:rPr>
        <w:t>种方式。</w:t>
      </w:r>
    </w:p>
    <w:p>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资助是指市知识产权局与</w:t>
      </w:r>
      <w:r>
        <w:rPr>
          <w:rFonts w:hint="eastAsia" w:cs="仿宋_GB2312"/>
          <w:b w:val="0"/>
          <w:bCs w:val="0"/>
          <w:color w:val="auto"/>
          <w:sz w:val="32"/>
          <w:szCs w:val="32"/>
          <w:lang w:val="en-US" w:eastAsia="zh-CN"/>
        </w:rPr>
        <w:t>扶持</w:t>
      </w:r>
      <w:r>
        <w:rPr>
          <w:rFonts w:hint="eastAsia" w:ascii="仿宋_GB2312" w:hAnsi="仿宋_GB2312" w:eastAsia="仿宋_GB2312" w:cs="仿宋_GB2312"/>
          <w:b w:val="0"/>
          <w:bCs w:val="0"/>
          <w:color w:val="auto"/>
          <w:sz w:val="32"/>
          <w:szCs w:val="32"/>
          <w:lang w:val="en-US" w:eastAsia="zh-CN"/>
        </w:rPr>
        <w:t>对象通过签订项目任务书，明确工作任务、绩效目标、完成时限、验收方式等内容，在项目执行前先行给予部分扶持资金，待项目执行期满对项目进行检查验收和绩效考核后，给予剩余资金的</w:t>
      </w:r>
      <w:r>
        <w:rPr>
          <w:rFonts w:hint="eastAsia" w:cs="仿宋_GB2312"/>
          <w:b w:val="0"/>
          <w:bCs w:val="0"/>
          <w:color w:val="auto"/>
          <w:sz w:val="32"/>
          <w:szCs w:val="32"/>
          <w:lang w:val="en-US" w:eastAsia="zh-CN"/>
        </w:rPr>
        <w:t>扶持</w:t>
      </w:r>
      <w:r>
        <w:rPr>
          <w:rFonts w:hint="eastAsia" w:ascii="仿宋_GB2312" w:hAnsi="仿宋_GB2312" w:eastAsia="仿宋_GB2312" w:cs="仿宋_GB2312"/>
          <w:b w:val="0"/>
          <w:bCs w:val="0"/>
          <w:color w:val="auto"/>
          <w:sz w:val="32"/>
          <w:szCs w:val="32"/>
          <w:lang w:val="en-US" w:eastAsia="zh-CN"/>
        </w:rPr>
        <w:t>方式。</w:t>
      </w:r>
    </w:p>
    <w:p>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后补贴是指</w:t>
      </w:r>
      <w:r>
        <w:rPr>
          <w:rFonts w:hint="eastAsia" w:cs="仿宋_GB2312"/>
          <w:b w:val="0"/>
          <w:bCs w:val="0"/>
          <w:color w:val="auto"/>
          <w:sz w:val="32"/>
          <w:szCs w:val="32"/>
          <w:lang w:val="en-US" w:eastAsia="zh-CN"/>
        </w:rPr>
        <w:t>扶持</w:t>
      </w:r>
      <w:r>
        <w:rPr>
          <w:rFonts w:hint="eastAsia" w:ascii="仿宋_GB2312" w:hAnsi="仿宋_GB2312" w:eastAsia="仿宋_GB2312" w:cs="仿宋_GB2312"/>
          <w:b w:val="0"/>
          <w:bCs w:val="0"/>
          <w:color w:val="auto"/>
          <w:sz w:val="32"/>
          <w:szCs w:val="32"/>
          <w:lang w:val="en-US" w:eastAsia="zh-CN"/>
        </w:rPr>
        <w:t>对象</w:t>
      </w:r>
      <w:r>
        <w:rPr>
          <w:rFonts w:hint="eastAsia" w:cs="仿宋_GB2312"/>
          <w:b w:val="0"/>
          <w:bCs w:val="0"/>
          <w:color w:val="auto"/>
          <w:sz w:val="32"/>
          <w:szCs w:val="32"/>
          <w:lang w:val="en-US" w:eastAsia="zh-CN"/>
        </w:rPr>
        <w:t>对有关扶持项目</w:t>
      </w:r>
      <w:r>
        <w:rPr>
          <w:rFonts w:hint="eastAsia" w:ascii="仿宋_GB2312" w:hAnsi="仿宋_GB2312" w:eastAsia="仿宋_GB2312" w:cs="仿宋_GB2312"/>
          <w:b w:val="0"/>
          <w:bCs w:val="0"/>
          <w:color w:val="auto"/>
          <w:sz w:val="32"/>
          <w:szCs w:val="32"/>
          <w:lang w:val="en-US" w:eastAsia="zh-CN"/>
        </w:rPr>
        <w:t>先行投入资金，</w:t>
      </w:r>
      <w:r>
        <w:rPr>
          <w:rFonts w:hint="eastAsia" w:cs="仿宋_GB2312"/>
          <w:b w:val="0"/>
          <w:bCs w:val="0"/>
          <w:color w:val="auto"/>
          <w:sz w:val="32"/>
          <w:szCs w:val="32"/>
          <w:lang w:val="en-US" w:eastAsia="zh-CN"/>
        </w:rPr>
        <w:t>完成或</w:t>
      </w:r>
      <w:r>
        <w:rPr>
          <w:rFonts w:hint="eastAsia" w:ascii="仿宋_GB2312" w:hAnsi="仿宋_GB2312" w:eastAsia="仿宋_GB2312" w:cs="仿宋_GB2312"/>
          <w:b w:val="0"/>
          <w:bCs w:val="0"/>
          <w:color w:val="auto"/>
          <w:sz w:val="32"/>
          <w:szCs w:val="32"/>
          <w:lang w:val="en-US" w:eastAsia="zh-CN"/>
        </w:rPr>
        <w:t>取得相应成效，</w:t>
      </w:r>
      <w:r>
        <w:rPr>
          <w:rFonts w:hint="eastAsia" w:cs="仿宋_GB2312"/>
          <w:b w:val="0"/>
          <w:bCs w:val="0"/>
          <w:color w:val="auto"/>
          <w:sz w:val="32"/>
          <w:szCs w:val="32"/>
          <w:lang w:val="en-US" w:eastAsia="zh-CN"/>
        </w:rPr>
        <w:t>经</w:t>
      </w:r>
      <w:r>
        <w:rPr>
          <w:rFonts w:hint="eastAsia" w:ascii="仿宋_GB2312" w:hAnsi="仿宋_GB2312" w:eastAsia="仿宋_GB2312" w:cs="仿宋_GB2312"/>
          <w:b w:val="0"/>
          <w:bCs w:val="0"/>
          <w:color w:val="auto"/>
          <w:sz w:val="32"/>
          <w:szCs w:val="32"/>
          <w:lang w:val="en-US" w:eastAsia="zh-CN"/>
        </w:rPr>
        <w:t>市知识产权局按规定程序审核</w:t>
      </w:r>
      <w:r>
        <w:rPr>
          <w:rFonts w:hint="eastAsia" w:cs="仿宋_GB2312"/>
          <w:b w:val="0"/>
          <w:bCs w:val="0"/>
          <w:color w:val="auto"/>
          <w:sz w:val="32"/>
          <w:szCs w:val="32"/>
          <w:lang w:val="en-US" w:eastAsia="zh-CN"/>
        </w:rPr>
        <w:t>认定</w:t>
      </w:r>
      <w:r>
        <w:rPr>
          <w:rFonts w:hint="eastAsia" w:ascii="仿宋_GB2312" w:hAnsi="仿宋_GB2312" w:eastAsia="仿宋_GB2312" w:cs="仿宋_GB2312"/>
          <w:b w:val="0"/>
          <w:bCs w:val="0"/>
          <w:color w:val="auto"/>
          <w:sz w:val="32"/>
          <w:szCs w:val="32"/>
          <w:lang w:val="en-US" w:eastAsia="zh-CN"/>
        </w:rPr>
        <w:t>后，给予</w:t>
      </w:r>
      <w:r>
        <w:rPr>
          <w:rFonts w:hint="eastAsia" w:cs="仿宋_GB2312"/>
          <w:b w:val="0"/>
          <w:bCs w:val="0"/>
          <w:color w:val="auto"/>
          <w:sz w:val="32"/>
          <w:szCs w:val="32"/>
          <w:lang w:val="en-US" w:eastAsia="zh-CN"/>
        </w:rPr>
        <w:t>一定数额扶持</w:t>
      </w:r>
      <w:r>
        <w:rPr>
          <w:rFonts w:hint="eastAsia" w:ascii="仿宋_GB2312" w:hAnsi="仿宋_GB2312" w:eastAsia="仿宋_GB2312" w:cs="仿宋_GB2312"/>
          <w:b w:val="0"/>
          <w:bCs w:val="0"/>
          <w:color w:val="auto"/>
          <w:sz w:val="32"/>
          <w:szCs w:val="32"/>
          <w:lang w:val="en-US" w:eastAsia="zh-CN"/>
        </w:rPr>
        <w:t>资金的</w:t>
      </w:r>
      <w:r>
        <w:rPr>
          <w:rFonts w:hint="eastAsia" w:cs="仿宋_GB2312"/>
          <w:b w:val="0"/>
          <w:bCs w:val="0"/>
          <w:color w:val="auto"/>
          <w:sz w:val="32"/>
          <w:szCs w:val="32"/>
          <w:lang w:val="en-US" w:eastAsia="zh-CN"/>
        </w:rPr>
        <w:t>扶持</w:t>
      </w:r>
      <w:r>
        <w:rPr>
          <w:rFonts w:hint="eastAsia" w:ascii="仿宋_GB2312" w:hAnsi="仿宋_GB2312" w:eastAsia="仿宋_GB2312" w:cs="仿宋_GB2312"/>
          <w:b w:val="0"/>
          <w:bCs w:val="0"/>
          <w:color w:val="auto"/>
          <w:sz w:val="32"/>
          <w:szCs w:val="32"/>
          <w:lang w:val="en-US" w:eastAsia="zh-CN"/>
        </w:rPr>
        <w:t>方式。</w:t>
      </w:r>
    </w:p>
    <w:p>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第五条</w:t>
      </w:r>
      <w:r>
        <w:rPr>
          <w:rFonts w:hint="eastAsia" w:ascii="仿宋_GB2312" w:hAnsi="仿宋_GB2312" w:eastAsia="仿宋_GB2312" w:cs="仿宋_GB2312"/>
          <w:b/>
          <w:bCs/>
          <w:color w:val="auto"/>
          <w:sz w:val="32"/>
          <w:szCs w:val="32"/>
          <w:lang w:val="en-US" w:eastAsia="zh-CN"/>
        </w:rPr>
        <w:t xml:space="preserve"> </w:t>
      </w:r>
      <w:r>
        <w:rPr>
          <w:rFonts w:hint="eastAsia"/>
          <w:color w:val="auto"/>
          <w:lang w:eastAsia="zh-CN"/>
        </w:rPr>
        <w:t>【指导原则】</w:t>
      </w:r>
      <w:r>
        <w:rPr>
          <w:rFonts w:hint="eastAsia" w:ascii="仿宋_GB2312" w:hAnsi="仿宋_GB2312" w:eastAsia="仿宋_GB2312" w:cs="仿宋_GB2312"/>
          <w:color w:val="auto"/>
          <w:sz w:val="32"/>
          <w:szCs w:val="32"/>
          <w:lang w:val="en-US" w:eastAsia="zh-CN"/>
        </w:rPr>
        <w:t>扶持资金的使用和管理遵循以下原则：</w:t>
      </w:r>
    </w:p>
    <w:p>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（一）突出重点，择优</w:t>
      </w:r>
      <w:r>
        <w:rPr>
          <w:rFonts w:hint="eastAsia" w:cs="仿宋_GB2312"/>
          <w:color w:val="auto"/>
          <w:sz w:val="32"/>
          <w:szCs w:val="32"/>
          <w:lang w:val="en-US" w:eastAsia="zh-CN"/>
        </w:rPr>
        <w:t>扶持</w:t>
      </w:r>
      <w:r>
        <w:rPr>
          <w:rFonts w:hint="eastAsia" w:ascii="仿宋_GB2312" w:hAnsi="仿宋_GB2312" w:eastAsia="仿宋_GB2312" w:cs="仿宋_GB2312"/>
          <w:color w:val="auto"/>
          <w:sz w:val="32"/>
          <w:szCs w:val="32"/>
          <w:lang w:val="en-US" w:eastAsia="zh-CN"/>
        </w:rPr>
        <w:t>；（二）绩效为先，成果导向</w:t>
      </w:r>
      <w:r>
        <w:rPr>
          <w:rFonts w:hint="eastAsia" w:cs="仿宋_GB2312"/>
          <w:color w:val="auto"/>
          <w:sz w:val="32"/>
          <w:szCs w:val="32"/>
          <w:lang w:val="en-US" w:eastAsia="zh-CN"/>
        </w:rPr>
        <w:t>；</w:t>
      </w:r>
    </w:p>
    <w:p>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w:t>
      </w:r>
      <w:r>
        <w:rPr>
          <w:rFonts w:hint="eastAsia" w:cs="仿宋_GB2312"/>
          <w:color w:val="auto"/>
          <w:sz w:val="32"/>
          <w:szCs w:val="32"/>
          <w:lang w:val="en-US" w:eastAsia="zh-CN"/>
        </w:rPr>
        <w:t>程序规范，</w:t>
      </w:r>
      <w:r>
        <w:rPr>
          <w:rFonts w:hint="eastAsia" w:ascii="仿宋_GB2312" w:hAnsi="仿宋_GB2312" w:eastAsia="仿宋_GB2312" w:cs="仿宋_GB2312"/>
          <w:color w:val="auto"/>
          <w:sz w:val="32"/>
          <w:szCs w:val="32"/>
          <w:lang w:val="en-US" w:eastAsia="zh-CN"/>
        </w:rPr>
        <w:t>公开</w:t>
      </w:r>
      <w:r>
        <w:rPr>
          <w:rFonts w:hint="eastAsia" w:cs="仿宋_GB2312"/>
          <w:color w:val="auto"/>
          <w:sz w:val="32"/>
          <w:szCs w:val="32"/>
          <w:lang w:val="en-US" w:eastAsia="zh-CN"/>
        </w:rPr>
        <w:t>公正；</w:t>
      </w:r>
      <w:r>
        <w:rPr>
          <w:rFonts w:hint="eastAsia" w:ascii="仿宋_GB2312" w:hAnsi="仿宋_GB2312" w:eastAsia="仿宋_GB2312" w:cs="仿宋_GB2312"/>
          <w:color w:val="auto"/>
          <w:sz w:val="32"/>
          <w:szCs w:val="32"/>
          <w:lang w:val="en-US" w:eastAsia="zh-CN"/>
        </w:rPr>
        <w:t>（四）强化监督，</w:t>
      </w:r>
      <w:r>
        <w:rPr>
          <w:rFonts w:hint="eastAsia" w:cs="仿宋_GB2312"/>
          <w:color w:val="auto"/>
          <w:sz w:val="32"/>
          <w:szCs w:val="32"/>
          <w:lang w:val="en-US" w:eastAsia="zh-CN"/>
        </w:rPr>
        <w:t>确保安全</w:t>
      </w:r>
      <w:r>
        <w:rPr>
          <w:rFonts w:hint="eastAsia" w:ascii="仿宋_GB2312" w:hAnsi="仿宋_GB2312" w:eastAsia="仿宋_GB2312" w:cs="仿宋_GB2312"/>
          <w:color w:val="auto"/>
          <w:sz w:val="32"/>
          <w:szCs w:val="32"/>
          <w:lang w:val="en-US" w:eastAsia="zh-CN"/>
        </w:rPr>
        <w:t>。</w:t>
      </w:r>
    </w:p>
    <w:p>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第六条</w:t>
      </w:r>
      <w:r>
        <w:rPr>
          <w:rFonts w:hint="eastAsia" w:ascii="仿宋_GB2312" w:hAnsi="仿宋_GB2312" w:eastAsia="仿宋_GB2312" w:cs="仿宋_GB2312"/>
          <w:color w:val="auto"/>
          <w:sz w:val="32"/>
          <w:szCs w:val="32"/>
          <w:lang w:val="en-US" w:eastAsia="zh-CN"/>
        </w:rPr>
        <w:t xml:space="preserve"> </w:t>
      </w:r>
      <w:r>
        <w:rPr>
          <w:rFonts w:hint="eastAsia"/>
          <w:color w:val="auto"/>
          <w:lang w:eastAsia="zh-CN"/>
        </w:rPr>
        <w:t>【管理单位职责】</w:t>
      </w:r>
      <w:r>
        <w:rPr>
          <w:rFonts w:hint="eastAsia" w:ascii="仿宋_GB2312" w:hAnsi="仿宋_GB2312" w:eastAsia="仿宋_GB2312" w:cs="仿宋_GB2312"/>
          <w:color w:val="auto"/>
          <w:kern w:val="2"/>
          <w:sz w:val="32"/>
          <w:szCs w:val="32"/>
          <w:lang w:val="en-US" w:eastAsia="zh-CN" w:bidi="ar-SA"/>
        </w:rPr>
        <w:t>市知识产权</w:t>
      </w:r>
      <w:r>
        <w:rPr>
          <w:rFonts w:hint="eastAsia" w:cs="仿宋_GB2312"/>
          <w:color w:val="auto"/>
          <w:kern w:val="2"/>
          <w:sz w:val="32"/>
          <w:szCs w:val="32"/>
          <w:lang w:val="en-US" w:eastAsia="zh-CN" w:bidi="ar-SA"/>
        </w:rPr>
        <w:t>局</w:t>
      </w:r>
      <w:r>
        <w:rPr>
          <w:rFonts w:hint="eastAsia" w:ascii="仿宋_GB2312" w:hAnsi="仿宋_GB2312" w:eastAsia="仿宋_GB2312" w:cs="仿宋_GB2312"/>
          <w:color w:val="auto"/>
          <w:kern w:val="2"/>
          <w:sz w:val="32"/>
          <w:szCs w:val="32"/>
          <w:lang w:val="en-US" w:eastAsia="zh-CN" w:bidi="ar-SA"/>
        </w:rPr>
        <w:t>负责</w:t>
      </w:r>
      <w:r>
        <w:rPr>
          <w:rFonts w:hint="eastAsia" w:cs="仿宋_GB2312"/>
          <w:color w:val="auto"/>
          <w:kern w:val="2"/>
          <w:sz w:val="32"/>
          <w:szCs w:val="32"/>
          <w:lang w:val="en-US" w:eastAsia="zh-CN" w:bidi="ar-SA"/>
        </w:rPr>
        <w:t>扶持</w:t>
      </w:r>
      <w:r>
        <w:rPr>
          <w:rFonts w:hint="eastAsia" w:ascii="仿宋_GB2312" w:hAnsi="仿宋_GB2312" w:eastAsia="仿宋_GB2312" w:cs="仿宋_GB2312"/>
          <w:color w:val="auto"/>
          <w:kern w:val="2"/>
          <w:sz w:val="32"/>
          <w:szCs w:val="32"/>
          <w:lang w:val="en-US" w:eastAsia="zh-CN" w:bidi="ar-SA"/>
        </w:rPr>
        <w:t>资金的预</w:t>
      </w:r>
      <w:r>
        <w:rPr>
          <w:rFonts w:hint="eastAsia" w:cs="仿宋_GB2312"/>
          <w:color w:val="auto"/>
          <w:kern w:val="2"/>
          <w:sz w:val="32"/>
          <w:szCs w:val="32"/>
          <w:lang w:val="en-US" w:eastAsia="zh-CN" w:bidi="ar-SA"/>
        </w:rPr>
        <w:t>决</w:t>
      </w:r>
      <w:r>
        <w:rPr>
          <w:rFonts w:hint="eastAsia" w:ascii="仿宋_GB2312" w:hAnsi="仿宋_GB2312" w:eastAsia="仿宋_GB2312" w:cs="仿宋_GB2312"/>
          <w:color w:val="auto"/>
          <w:kern w:val="2"/>
          <w:sz w:val="32"/>
          <w:szCs w:val="32"/>
          <w:lang w:val="en-US" w:eastAsia="zh-CN" w:bidi="ar-SA"/>
        </w:rPr>
        <w:t>算</w:t>
      </w:r>
      <w:r>
        <w:rPr>
          <w:rFonts w:hint="eastAsia" w:cs="仿宋_GB2312"/>
          <w:color w:val="auto"/>
          <w:kern w:val="2"/>
          <w:sz w:val="32"/>
          <w:szCs w:val="32"/>
          <w:lang w:val="en-US" w:eastAsia="zh-CN" w:bidi="ar-SA"/>
        </w:rPr>
        <w:t>管理，负责</w:t>
      </w:r>
      <w:r>
        <w:rPr>
          <w:rFonts w:hint="eastAsia" w:ascii="仿宋_GB2312" w:hAnsi="仿宋_GB2312" w:eastAsia="仿宋_GB2312" w:cs="仿宋_GB2312"/>
          <w:color w:val="auto"/>
          <w:kern w:val="2"/>
          <w:sz w:val="32"/>
          <w:szCs w:val="32"/>
          <w:lang w:val="en-US" w:eastAsia="zh-CN" w:bidi="ar-SA"/>
        </w:rPr>
        <w:t>项目的受理、审核和公示等</w:t>
      </w:r>
      <w:r>
        <w:rPr>
          <w:rFonts w:hint="eastAsia" w:cs="仿宋_GB2312"/>
          <w:color w:val="auto"/>
          <w:kern w:val="2"/>
          <w:sz w:val="32"/>
          <w:szCs w:val="32"/>
          <w:lang w:val="en-US" w:eastAsia="zh-CN" w:bidi="ar-SA"/>
        </w:rPr>
        <w:t>，以及</w:t>
      </w:r>
      <w:r>
        <w:rPr>
          <w:rFonts w:hint="eastAsia" w:ascii="仿宋_GB2312" w:hAnsi="仿宋_GB2312" w:eastAsia="仿宋_GB2312" w:cs="仿宋_GB2312"/>
          <w:color w:val="auto"/>
          <w:kern w:val="2"/>
          <w:sz w:val="32"/>
          <w:szCs w:val="32"/>
          <w:lang w:val="en-US" w:eastAsia="zh-CN" w:bidi="ar-SA"/>
        </w:rPr>
        <w:t>对</w:t>
      </w:r>
      <w:r>
        <w:rPr>
          <w:rFonts w:hint="eastAsia" w:cs="仿宋_GB2312"/>
          <w:color w:val="auto"/>
          <w:kern w:val="2"/>
          <w:sz w:val="32"/>
          <w:szCs w:val="32"/>
          <w:lang w:val="en-US" w:eastAsia="zh-CN" w:bidi="ar-SA"/>
        </w:rPr>
        <w:t>扶持</w:t>
      </w:r>
      <w:r>
        <w:rPr>
          <w:rFonts w:hint="eastAsia" w:ascii="仿宋_GB2312" w:hAnsi="仿宋_GB2312" w:eastAsia="仿宋_GB2312" w:cs="仿宋_GB2312"/>
          <w:color w:val="auto"/>
          <w:kern w:val="2"/>
          <w:sz w:val="32"/>
          <w:szCs w:val="32"/>
          <w:lang w:val="en-US" w:eastAsia="zh-CN" w:bidi="ar-SA"/>
        </w:rPr>
        <w:t>资金的执行情况</w:t>
      </w:r>
      <w:r>
        <w:rPr>
          <w:rFonts w:hint="eastAsia" w:cs="仿宋_GB2312"/>
          <w:color w:val="auto"/>
          <w:kern w:val="2"/>
          <w:sz w:val="32"/>
          <w:szCs w:val="32"/>
          <w:lang w:val="en-US" w:eastAsia="zh-CN" w:bidi="ar-SA"/>
        </w:rPr>
        <w:t>与</w:t>
      </w:r>
      <w:r>
        <w:rPr>
          <w:rFonts w:hint="eastAsia" w:ascii="仿宋_GB2312" w:hAnsi="仿宋_GB2312" w:eastAsia="仿宋_GB2312" w:cs="仿宋_GB2312"/>
          <w:color w:val="auto"/>
          <w:kern w:val="2"/>
          <w:sz w:val="32"/>
          <w:szCs w:val="32"/>
          <w:lang w:val="en-US" w:eastAsia="zh-CN" w:bidi="ar-SA"/>
        </w:rPr>
        <w:t>绩效进行跟踪监管。</w:t>
      </w:r>
    </w:p>
    <w:p>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第七条</w:t>
      </w:r>
      <w:r>
        <w:rPr>
          <w:rFonts w:hint="eastAsia" w:cs="仿宋_GB2312"/>
          <w:b/>
          <w:bCs/>
          <w:color w:val="auto"/>
          <w:sz w:val="32"/>
          <w:szCs w:val="32"/>
          <w:lang w:val="en-US" w:eastAsia="zh-CN"/>
        </w:rPr>
        <w:t xml:space="preserve"> </w:t>
      </w:r>
      <w:r>
        <w:rPr>
          <w:rFonts w:hint="eastAsia"/>
          <w:color w:val="auto"/>
          <w:lang w:eastAsia="zh-CN"/>
        </w:rPr>
        <w:t>【申报限制】</w:t>
      </w:r>
      <w:r>
        <w:rPr>
          <w:rFonts w:hint="eastAsia" w:cs="仿宋_GB2312"/>
          <w:b w:val="0"/>
          <w:bCs w:val="0"/>
          <w:color w:val="auto"/>
          <w:sz w:val="32"/>
          <w:szCs w:val="32"/>
          <w:lang w:val="en-US" w:eastAsia="zh-CN"/>
        </w:rPr>
        <w:t>同一申报单位同一内容的项目按照有关规定已从市级财政或区级财政获得相同或同类资金扶持的，不再重复扶持。</w:t>
      </w:r>
    </w:p>
    <w:p>
      <w:pPr>
        <w:pStyle w:val="6"/>
        <w:keepNext w:val="0"/>
        <w:keepLines w:val="0"/>
        <w:pageBreakBefore w:val="0"/>
        <w:widowControl w:val="0"/>
        <w:kinsoku/>
        <w:wordWrap/>
        <w:overflowPunct/>
        <w:topLinePunct/>
        <w:autoSpaceDE/>
        <w:autoSpaceDN/>
        <w:bidi w:val="0"/>
        <w:adjustRightInd/>
        <w:snapToGrid/>
        <w:spacing w:line="560" w:lineRule="exact"/>
        <w:textAlignment w:val="auto"/>
        <w:rPr>
          <w:rFonts w:hint="eastAsia"/>
          <w:color w:val="auto"/>
          <w:lang w:eastAsia="zh-CN"/>
        </w:rPr>
      </w:pPr>
      <w:r>
        <w:rPr>
          <w:rFonts w:hint="eastAsia" w:ascii="黑体" w:hAnsi="黑体" w:eastAsia="黑体" w:cs="黑体"/>
          <w:b w:val="0"/>
          <w:bCs w:val="0"/>
          <w:color w:val="auto"/>
          <w:kern w:val="2"/>
          <w:sz w:val="32"/>
          <w:szCs w:val="32"/>
          <w:lang w:val="en-US" w:eastAsia="zh-CN" w:bidi="ar-SA"/>
        </w:rPr>
        <w:t xml:space="preserve">第八条 </w:t>
      </w:r>
      <w:r>
        <w:rPr>
          <w:rFonts w:hint="eastAsia"/>
          <w:color w:val="auto"/>
          <w:lang w:eastAsia="zh-CN"/>
        </w:rPr>
        <w:t>【配套办法制定】市知识产权局根据本办法规定的资金使用方向、组织实施程序、绩效管理和监督要求，制定相应的扶持资金实施办法，对不同扶持方向的申报条件、扶持标准、评审程序和资金使用管理等作出具</w:t>
      </w:r>
      <w:bookmarkStart w:id="0" w:name="_GoBack"/>
      <w:bookmarkEnd w:id="0"/>
      <w:r>
        <w:rPr>
          <w:rFonts w:hint="eastAsia"/>
          <w:color w:val="auto"/>
          <w:lang w:eastAsia="zh-CN"/>
        </w:rPr>
        <w:t>体规定。</w:t>
      </w:r>
    </w:p>
    <w:p>
      <w:pPr>
        <w:pStyle w:val="6"/>
        <w:keepNext w:val="0"/>
        <w:keepLines w:val="0"/>
        <w:pageBreakBefore w:val="0"/>
        <w:widowControl w:val="0"/>
        <w:kinsoku/>
        <w:wordWrap/>
        <w:overflowPunct/>
        <w:topLinePunct/>
        <w:autoSpaceDE/>
        <w:autoSpaceDN/>
        <w:bidi w:val="0"/>
        <w:adjustRightInd/>
        <w:snapToGrid/>
        <w:spacing w:line="560" w:lineRule="exact"/>
        <w:textAlignment w:val="auto"/>
        <w:rPr>
          <w:rFonts w:hint="eastAsia" w:cs="仿宋_GB2312"/>
          <w:b w:val="0"/>
          <w:bCs w:val="0"/>
          <w:color w:val="auto"/>
          <w:sz w:val="32"/>
          <w:szCs w:val="32"/>
          <w:lang w:val="en-US" w:eastAsia="zh-CN"/>
        </w:rPr>
      </w:pPr>
      <w:r>
        <w:rPr>
          <w:rFonts w:hint="eastAsia"/>
          <w:color w:val="auto"/>
          <w:lang w:eastAsia="zh-CN"/>
        </w:rPr>
        <w:t>市知识产权局可根据工作实施需要，就扶持资金申报、审核及使用管理等操作层面的具体事项，制定申报指南、工作通知等配套文件，与本办法和扶持资金实施办法配套实施。申报指南等配套文件不得与本办法和扶持资金实施办法的规定相抵触。</w:t>
      </w:r>
    </w:p>
    <w:p>
      <w:pPr>
        <w:pStyle w:val="6"/>
        <w:keepNext w:val="0"/>
        <w:keepLines w:val="0"/>
        <w:pageBreakBefore w:val="0"/>
        <w:widowControl w:val="0"/>
        <w:kinsoku/>
        <w:wordWrap/>
        <w:overflowPunct/>
        <w:topLinePunct/>
        <w:autoSpaceDE/>
        <w:autoSpaceDN/>
        <w:bidi w:val="0"/>
        <w:adjustRightInd/>
        <w:snapToGrid/>
        <w:spacing w:line="560" w:lineRule="exact"/>
        <w:textAlignment w:val="auto"/>
        <w:rPr>
          <w:rFonts w:hint="default" w:ascii="仿宋_GB2312" w:hAnsi="仿宋_GB2312" w:eastAsia="仿宋_GB2312" w:cs="仿宋_GB2312"/>
          <w:color w:val="auto"/>
          <w:kern w:val="2"/>
          <w:sz w:val="32"/>
          <w:szCs w:val="32"/>
          <w:lang w:val="en-US" w:eastAsia="zh-CN" w:bidi="ar-SA"/>
        </w:rPr>
      </w:pPr>
    </w:p>
    <w:p>
      <w:pPr>
        <w:pStyle w:val="2"/>
        <w:keepNext w:val="0"/>
        <w:keepLines w:val="0"/>
        <w:pageBreakBefore w:val="0"/>
        <w:widowControl w:val="0"/>
        <w:numPr>
          <w:ilvl w:val="0"/>
          <w:numId w:val="0"/>
        </w:numPr>
        <w:kinsoku/>
        <w:wordWrap/>
        <w:overflowPunct/>
        <w:topLinePunct/>
        <w:autoSpaceDE/>
        <w:autoSpaceDN/>
        <w:bidi w:val="0"/>
        <w:adjustRightInd/>
        <w:snapToGrid/>
        <w:spacing w:before="0" w:after="0" w:line="560" w:lineRule="exact"/>
        <w:ind w:firstLine="0" w:firstLineChars="0"/>
        <w:jc w:val="center"/>
        <w:textAlignment w:val="auto"/>
        <w:rPr>
          <w:rFonts w:hint="default"/>
          <w:color w:val="auto"/>
          <w:lang w:val="en-US" w:eastAsia="zh-CN"/>
        </w:rPr>
      </w:pPr>
      <w:r>
        <w:rPr>
          <w:rFonts w:hint="eastAsia" w:cs="黑体"/>
          <w:color w:val="auto"/>
          <w:kern w:val="44"/>
          <w:sz w:val="32"/>
          <w:szCs w:val="32"/>
          <w:lang w:val="en-US" w:eastAsia="zh-CN" w:bidi="ar"/>
        </w:rPr>
        <w:t xml:space="preserve">第二章 </w:t>
      </w:r>
      <w:r>
        <w:rPr>
          <w:rFonts w:hint="eastAsia"/>
          <w:color w:val="auto"/>
          <w:lang w:val="en-US" w:eastAsia="zh-CN"/>
        </w:rPr>
        <w:t>资金使用方向</w:t>
      </w:r>
    </w:p>
    <w:p>
      <w:pPr>
        <w:keepNext w:val="0"/>
        <w:keepLines w:val="0"/>
        <w:pageBreakBefore w:val="0"/>
        <w:widowControl/>
        <w:suppressLineNumbers w:val="0"/>
        <w:kinsoku/>
        <w:wordWrap/>
        <w:overflowPunct/>
        <w:autoSpaceDE/>
        <w:autoSpaceDN/>
        <w:bidi w:val="0"/>
        <w:adjustRightInd w:val="0"/>
        <w:snapToGrid w:val="0"/>
        <w:spacing w:line="560" w:lineRule="exact"/>
        <w:ind w:firstLine="640" w:firstLineChars="200"/>
        <w:jc w:val="both"/>
        <w:textAlignment w:val="auto"/>
        <w:rPr>
          <w:rFonts w:hint="eastAsia"/>
          <w:color w:val="auto"/>
          <w:sz w:val="32"/>
          <w:szCs w:val="32"/>
          <w:lang w:val="en-US" w:eastAsia="zh-CN"/>
        </w:rPr>
      </w:pPr>
      <w:r>
        <w:rPr>
          <w:rFonts w:hint="default" w:ascii="黑体" w:hAnsi="黑体" w:eastAsia="黑体" w:cs="黑体"/>
          <w:b w:val="0"/>
          <w:bCs w:val="0"/>
          <w:color w:val="auto"/>
          <w:kern w:val="2"/>
          <w:sz w:val="32"/>
          <w:szCs w:val="32"/>
          <w:lang w:val="en-US" w:eastAsia="zh-CN" w:bidi="ar-SA"/>
        </w:rPr>
        <w:t>第</w:t>
      </w:r>
      <w:r>
        <w:rPr>
          <w:rFonts w:hint="eastAsia" w:ascii="黑体" w:hAnsi="黑体" w:eastAsia="黑体" w:cs="黑体"/>
          <w:b w:val="0"/>
          <w:bCs w:val="0"/>
          <w:color w:val="auto"/>
          <w:kern w:val="2"/>
          <w:sz w:val="32"/>
          <w:szCs w:val="32"/>
          <w:lang w:val="en-US" w:eastAsia="zh-CN" w:bidi="ar-SA"/>
        </w:rPr>
        <w:t>九</w:t>
      </w:r>
      <w:r>
        <w:rPr>
          <w:rFonts w:hint="default" w:ascii="黑体" w:hAnsi="黑体" w:eastAsia="黑体" w:cs="黑体"/>
          <w:b w:val="0"/>
          <w:bCs w:val="0"/>
          <w:color w:val="auto"/>
          <w:kern w:val="2"/>
          <w:sz w:val="32"/>
          <w:szCs w:val="32"/>
          <w:lang w:val="en-US" w:eastAsia="zh-CN" w:bidi="ar-SA"/>
        </w:rPr>
        <w:t>条</w:t>
      </w:r>
      <w:r>
        <w:rPr>
          <w:rFonts w:hint="eastAsia"/>
          <w:color w:val="auto"/>
          <w:lang w:val="en-US" w:eastAsia="zh-CN"/>
        </w:rPr>
        <w:t xml:space="preserve"> </w:t>
      </w:r>
      <w:r>
        <w:rPr>
          <w:rFonts w:hint="eastAsia"/>
          <w:color w:val="auto"/>
          <w:sz w:val="32"/>
          <w:szCs w:val="32"/>
          <w:lang w:val="en-US" w:eastAsia="zh-CN"/>
        </w:rPr>
        <w:t>【高质量创造】</w:t>
      </w:r>
      <w:r>
        <w:rPr>
          <w:rFonts w:hint="eastAsia" w:cs="仿宋_GB2312"/>
          <w:color w:val="auto"/>
          <w:sz w:val="32"/>
          <w:szCs w:val="32"/>
          <w:lang w:val="en-US" w:eastAsia="zh-CN"/>
        </w:rPr>
        <w:t>提升知识产权创造质量</w:t>
      </w:r>
      <w:r>
        <w:rPr>
          <w:rFonts w:hint="eastAsia"/>
          <w:color w:val="auto"/>
          <w:sz w:val="32"/>
          <w:szCs w:val="32"/>
          <w:lang w:val="en-US" w:eastAsia="zh-CN"/>
        </w:rPr>
        <w:t>，</w:t>
      </w:r>
      <w:r>
        <w:rPr>
          <w:rFonts w:hint="eastAsia"/>
          <w:color w:val="auto"/>
          <w:lang w:val="en-US" w:eastAsia="zh-CN"/>
        </w:rPr>
        <w:t>强化高质量供给引领</w:t>
      </w:r>
      <w:r>
        <w:rPr>
          <w:rFonts w:hint="eastAsia"/>
          <w:color w:val="auto"/>
          <w:sz w:val="32"/>
          <w:szCs w:val="32"/>
          <w:lang w:val="en-US" w:eastAsia="zh-CN"/>
        </w:rPr>
        <w:t xml:space="preserve">。 </w:t>
      </w:r>
    </w:p>
    <w:p>
      <w:pPr>
        <w:keepNext w:val="0"/>
        <w:keepLines w:val="0"/>
        <w:pageBreakBefore w:val="0"/>
        <w:widowControl/>
        <w:suppressLineNumbers w:val="0"/>
        <w:kinsoku/>
        <w:wordWrap/>
        <w:overflowPunct/>
        <w:autoSpaceDE/>
        <w:autoSpaceDN/>
        <w:bidi w:val="0"/>
        <w:adjustRightInd w:val="0"/>
        <w:snapToGrid w:val="0"/>
        <w:spacing w:line="560" w:lineRule="exact"/>
        <w:ind w:firstLine="640" w:firstLineChars="200"/>
        <w:jc w:val="both"/>
        <w:textAlignment w:val="auto"/>
        <w:rPr>
          <w:rFonts w:hint="eastAsia"/>
          <w:color w:val="auto"/>
          <w:sz w:val="32"/>
          <w:szCs w:val="32"/>
          <w:lang w:val="en-US" w:eastAsia="zh-CN"/>
        </w:rPr>
      </w:pPr>
      <w:r>
        <w:rPr>
          <w:rFonts w:hint="eastAsia"/>
          <w:color w:val="auto"/>
          <w:sz w:val="32"/>
          <w:szCs w:val="32"/>
          <w:lang w:val="en-US" w:eastAsia="zh-CN"/>
        </w:rPr>
        <w:t>（一）推动专精特新企业高价值专利布局。扶持</w:t>
      </w:r>
      <w:r>
        <w:rPr>
          <w:rFonts w:hint="default" w:ascii="Times New Roman" w:hAnsi="Times New Roman" w:eastAsia="仿宋_GB2312" w:cs="Times New Roman"/>
          <w:color w:val="auto"/>
          <w:sz w:val="32"/>
          <w:szCs w:val="32"/>
          <w:highlight w:val="none"/>
          <w:u w:val="none"/>
          <w:lang w:bidi="ar"/>
        </w:rPr>
        <w:t>专精特新中小企业聚焦</w:t>
      </w:r>
      <w:r>
        <w:rPr>
          <w:rFonts w:hint="default" w:ascii="Times New Roman" w:hAnsi="Times New Roman" w:eastAsia="仿宋_GB2312" w:cs="Times New Roman"/>
          <w:color w:val="auto"/>
          <w:sz w:val="32"/>
          <w:szCs w:val="32"/>
          <w:highlight w:val="none"/>
          <w:u w:val="none"/>
          <w:lang w:val="en-US" w:eastAsia="zh-CN" w:bidi="ar"/>
        </w:rPr>
        <w:t>战略性新兴产业</w:t>
      </w:r>
      <w:r>
        <w:rPr>
          <w:rFonts w:hint="eastAsia" w:ascii="Times New Roman" w:hAnsi="Times New Roman" w:eastAsia="仿宋_GB2312" w:cs="Times New Roman"/>
          <w:color w:val="auto"/>
          <w:sz w:val="32"/>
          <w:szCs w:val="32"/>
          <w:highlight w:val="none"/>
          <w:u w:val="none"/>
          <w:lang w:val="en-US" w:eastAsia="zh-CN" w:bidi="ar"/>
        </w:rPr>
        <w:t>、</w:t>
      </w:r>
      <w:r>
        <w:rPr>
          <w:rFonts w:hint="default" w:ascii="Times New Roman" w:hAnsi="Times New Roman" w:eastAsia="仿宋_GB2312" w:cs="Times New Roman"/>
          <w:color w:val="auto"/>
          <w:sz w:val="32"/>
          <w:szCs w:val="32"/>
          <w:highlight w:val="none"/>
          <w:u w:val="none"/>
          <w:lang w:val="en-US" w:eastAsia="zh-CN" w:bidi="ar"/>
        </w:rPr>
        <w:t>未来产业</w:t>
      </w:r>
      <w:r>
        <w:rPr>
          <w:rFonts w:hint="default" w:ascii="Times New Roman" w:hAnsi="Times New Roman" w:eastAsia="仿宋_GB2312" w:cs="Times New Roman"/>
          <w:color w:val="auto"/>
          <w:sz w:val="32"/>
          <w:szCs w:val="32"/>
          <w:highlight w:val="none"/>
          <w:u w:val="none"/>
          <w:lang w:bidi="ar"/>
        </w:rPr>
        <w:t>领域开展高</w:t>
      </w:r>
      <w:r>
        <w:rPr>
          <w:rFonts w:hint="default" w:ascii="Times New Roman" w:hAnsi="Times New Roman" w:eastAsia="仿宋_GB2312" w:cs="Times New Roman"/>
          <w:color w:val="auto"/>
          <w:sz w:val="32"/>
          <w:szCs w:val="32"/>
          <w:highlight w:val="none"/>
          <w:u w:val="none"/>
          <w:lang w:val="en-US" w:eastAsia="zh-CN" w:bidi="ar"/>
        </w:rPr>
        <w:t>价值专利</w:t>
      </w:r>
      <w:r>
        <w:rPr>
          <w:rFonts w:hint="eastAsia" w:ascii="Times New Roman" w:hAnsi="Times New Roman" w:eastAsia="仿宋_GB2312" w:cs="Times New Roman"/>
          <w:color w:val="auto"/>
          <w:sz w:val="32"/>
          <w:szCs w:val="32"/>
          <w:highlight w:val="none"/>
          <w:u w:val="none"/>
          <w:lang w:val="en-US" w:eastAsia="zh-CN" w:bidi="ar"/>
        </w:rPr>
        <w:t>布局</w:t>
      </w:r>
      <w:r>
        <w:rPr>
          <w:rFonts w:hint="eastAsia" w:ascii="Times New Roman" w:hAnsi="Times New Roman" w:cs="Times New Roman"/>
          <w:color w:val="auto"/>
          <w:sz w:val="32"/>
          <w:szCs w:val="32"/>
          <w:highlight w:val="none"/>
          <w:u w:val="none"/>
          <w:lang w:val="en-US" w:eastAsia="zh-CN" w:bidi="ar"/>
        </w:rPr>
        <w:t>，</w:t>
      </w:r>
      <w:r>
        <w:rPr>
          <w:rFonts w:hint="eastAsia"/>
          <w:color w:val="auto"/>
          <w:sz w:val="32"/>
          <w:szCs w:val="32"/>
          <w:lang w:val="en-US" w:eastAsia="zh-CN"/>
        </w:rPr>
        <w:t>提升核心技术专利布局水平，夯实中小企业创新发展根基。</w:t>
      </w:r>
    </w:p>
    <w:p>
      <w:pPr>
        <w:keepNext w:val="0"/>
        <w:keepLines w:val="0"/>
        <w:pageBreakBefore w:val="0"/>
        <w:widowControl/>
        <w:suppressLineNumbers w:val="0"/>
        <w:kinsoku/>
        <w:wordWrap/>
        <w:overflowPunct/>
        <w:autoSpaceDE/>
        <w:autoSpaceDN/>
        <w:bidi w:val="0"/>
        <w:adjustRightInd w:val="0"/>
        <w:snapToGrid w:val="0"/>
        <w:spacing w:line="560" w:lineRule="exact"/>
        <w:ind w:firstLine="640" w:firstLineChars="200"/>
        <w:jc w:val="both"/>
        <w:textAlignment w:val="auto"/>
        <w:rPr>
          <w:rFonts w:hint="eastAsia"/>
          <w:color w:val="auto"/>
          <w:sz w:val="32"/>
          <w:szCs w:val="32"/>
          <w:lang w:val="en-US" w:eastAsia="zh-CN"/>
        </w:rPr>
      </w:pPr>
      <w:r>
        <w:rPr>
          <w:rFonts w:hint="eastAsia"/>
          <w:color w:val="auto"/>
          <w:sz w:val="32"/>
          <w:szCs w:val="32"/>
          <w:lang w:val="en-US" w:eastAsia="zh-CN"/>
        </w:rPr>
        <w:t>（二）培育高价值专利组合。聚焦人工智能、6G、人形机器人、原子级制造、脑科学与类脑计算等未来产业及高精尖产业领域，扶持企事业单位等构建高价值专利组合，筑牢产业创新发展专利壁垒。</w:t>
      </w:r>
    </w:p>
    <w:p>
      <w:pPr>
        <w:keepNext w:val="0"/>
        <w:keepLines w:val="0"/>
        <w:pageBreakBefore w:val="0"/>
        <w:widowControl/>
        <w:suppressLineNumbers w:val="0"/>
        <w:kinsoku/>
        <w:wordWrap/>
        <w:overflowPunct/>
        <w:autoSpaceDE/>
        <w:autoSpaceDN/>
        <w:bidi w:val="0"/>
        <w:adjustRightInd w:val="0"/>
        <w:snapToGrid w:val="0"/>
        <w:spacing w:line="560" w:lineRule="exact"/>
        <w:ind w:firstLine="640" w:firstLineChars="200"/>
        <w:jc w:val="both"/>
        <w:textAlignment w:val="auto"/>
        <w:rPr>
          <w:rFonts w:hint="eastAsia"/>
          <w:color w:val="auto"/>
          <w:sz w:val="32"/>
          <w:szCs w:val="32"/>
          <w:lang w:val="en-US" w:eastAsia="zh-CN"/>
        </w:rPr>
      </w:pPr>
      <w:r>
        <w:rPr>
          <w:rFonts w:hint="eastAsia"/>
          <w:color w:val="auto"/>
          <w:sz w:val="32"/>
          <w:szCs w:val="32"/>
          <w:lang w:val="en-US" w:eastAsia="zh-CN"/>
        </w:rPr>
        <w:t>（三）助力专利布局与标准研制深度融合。</w:t>
      </w:r>
      <w:r>
        <w:rPr>
          <w:rFonts w:hint="eastAsia"/>
          <w:color w:val="auto"/>
          <w:lang w:eastAsia="zh-CN"/>
        </w:rPr>
        <w:t>扶持</w:t>
      </w:r>
      <w:r>
        <w:rPr>
          <w:rFonts w:hint="eastAsia"/>
          <w:color w:val="auto"/>
        </w:rPr>
        <w:t>重点产业链企业实施“技术-专利-标准”一体化战略，</w:t>
      </w:r>
      <w:r>
        <w:rPr>
          <w:rFonts w:hint="eastAsia"/>
          <w:color w:val="auto"/>
          <w:sz w:val="32"/>
          <w:szCs w:val="32"/>
          <w:lang w:val="en-US" w:eastAsia="zh-CN"/>
        </w:rPr>
        <w:t>推动创新成果加快向技术标准转化，实现专利与标准深度融合、协同增效。</w:t>
      </w:r>
    </w:p>
    <w:p>
      <w:pPr>
        <w:keepNext w:val="0"/>
        <w:keepLines w:val="0"/>
        <w:pageBreakBefore w:val="0"/>
        <w:widowControl/>
        <w:suppressLineNumbers w:val="0"/>
        <w:kinsoku/>
        <w:wordWrap/>
        <w:overflowPunct/>
        <w:autoSpaceDE/>
        <w:autoSpaceDN/>
        <w:bidi w:val="0"/>
        <w:adjustRightInd w:val="0"/>
        <w:snapToGrid w:val="0"/>
        <w:spacing w:line="560" w:lineRule="exact"/>
        <w:ind w:firstLine="640" w:firstLineChars="200"/>
        <w:jc w:val="both"/>
        <w:textAlignment w:val="auto"/>
        <w:rPr>
          <w:rFonts w:hint="eastAsia"/>
          <w:color w:val="auto"/>
          <w:sz w:val="32"/>
          <w:szCs w:val="32"/>
          <w:lang w:val="en-US" w:eastAsia="zh-CN"/>
        </w:rPr>
      </w:pPr>
      <w:r>
        <w:rPr>
          <w:rFonts w:hint="eastAsia"/>
          <w:color w:val="auto"/>
          <w:sz w:val="32"/>
          <w:szCs w:val="32"/>
          <w:lang w:val="en-US" w:eastAsia="zh-CN"/>
        </w:rPr>
        <w:t>（四）加强海外高价值专利布局。扶持企业开展海外高价值专利布局，提升企业全球市场竞争与涉外知识产权应对能力，服务首都高水平对外开放大局。</w:t>
      </w:r>
    </w:p>
    <w:p>
      <w:pPr>
        <w:pageBreakBefore w:val="0"/>
        <w:kinsoku/>
        <w:wordWrap/>
        <w:overflowPunct/>
        <w:topLinePunct/>
        <w:autoSpaceDE/>
        <w:autoSpaceDN/>
        <w:bidi w:val="0"/>
        <w:adjustRightInd w:val="0"/>
        <w:snapToGrid w:val="0"/>
        <w:spacing w:line="560" w:lineRule="exact"/>
        <w:textAlignment w:val="auto"/>
        <w:rPr>
          <w:rFonts w:hint="eastAsia"/>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第十条</w:t>
      </w:r>
      <w:r>
        <w:rPr>
          <w:rFonts w:hint="eastAsia"/>
          <w:color w:val="auto"/>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高效益运用</w:t>
      </w:r>
      <w:r>
        <w:rPr>
          <w:rFonts w:hint="eastAsia" w:ascii="仿宋_GB2312" w:hAnsi="仿宋_GB2312" w:eastAsia="仿宋_GB2312" w:cs="仿宋_GB2312"/>
          <w:color w:val="auto"/>
          <w:kern w:val="2"/>
          <w:sz w:val="32"/>
          <w:szCs w:val="32"/>
          <w:lang w:val="en-US" w:eastAsia="zh-CN" w:bidi="ar-SA"/>
        </w:rPr>
        <w:t>】</w:t>
      </w:r>
      <w:r>
        <w:rPr>
          <w:rFonts w:hint="eastAsia"/>
          <w:color w:val="auto"/>
          <w:sz w:val="32"/>
          <w:szCs w:val="32"/>
          <w:lang w:val="en-US" w:eastAsia="zh-CN"/>
        </w:rPr>
        <w:t>促进知识产权转化运用，加速创新价值实现。</w:t>
      </w:r>
    </w:p>
    <w:p>
      <w:pPr>
        <w:pageBreakBefore w:val="0"/>
        <w:kinsoku/>
        <w:wordWrap/>
        <w:overflowPunct/>
        <w:topLinePunct/>
        <w:autoSpaceDE/>
        <w:autoSpaceDN/>
        <w:bidi w:val="0"/>
        <w:adjustRightInd w:val="0"/>
        <w:snapToGrid w:val="0"/>
        <w:spacing w:line="560" w:lineRule="exact"/>
        <w:textAlignment w:val="auto"/>
        <w:rPr>
          <w:rFonts w:hint="eastAsia"/>
          <w:color w:val="auto"/>
          <w:sz w:val="32"/>
          <w:szCs w:val="32"/>
          <w:lang w:val="en-US" w:eastAsia="zh-CN"/>
        </w:rPr>
      </w:pPr>
      <w:r>
        <w:rPr>
          <w:rFonts w:hint="eastAsia"/>
          <w:color w:val="auto"/>
          <w:sz w:val="32"/>
          <w:szCs w:val="32"/>
          <w:lang w:val="en-US" w:eastAsia="zh-CN"/>
        </w:rPr>
        <w:t>（一）促进专利转化运用和服务能力提升。扶持高等院校、科研院所、医疗卫生机构、企业等创新主体健全专利转化运用体系，提升转化运用能力；扶持服务机构提高专利转化运用服务能力；推动高质量专利转化和加快实现产业化应用，提升专利转化运用服务水平。</w:t>
      </w:r>
    </w:p>
    <w:p>
      <w:pPr>
        <w:pageBreakBefore w:val="0"/>
        <w:kinsoku/>
        <w:wordWrap/>
        <w:overflowPunct/>
        <w:topLinePunct/>
        <w:autoSpaceDE/>
        <w:autoSpaceDN/>
        <w:bidi w:val="0"/>
        <w:adjustRightInd w:val="0"/>
        <w:snapToGrid w:val="0"/>
        <w:spacing w:line="560" w:lineRule="exact"/>
        <w:textAlignment w:val="auto"/>
        <w:rPr>
          <w:rFonts w:hint="eastAsia"/>
          <w:color w:val="auto"/>
          <w:sz w:val="32"/>
          <w:szCs w:val="32"/>
          <w:lang w:val="en-US" w:eastAsia="zh-CN"/>
        </w:rPr>
      </w:pPr>
      <w:r>
        <w:rPr>
          <w:rFonts w:hint="eastAsia"/>
          <w:color w:val="auto"/>
          <w:sz w:val="32"/>
          <w:szCs w:val="32"/>
          <w:lang w:val="en-US" w:eastAsia="zh-CN"/>
        </w:rPr>
        <w:t>（二）完善专利导航支撑服务体系。引导企事业单位紧扣产业创新发展需求，系统化开展专利导航工作。实施重点产业专利导航项目，提升专利导航服务效能，强化项目成果应用。健全重点产业专利导航对接与成果发布机制，促进创新资源的优化配置，助力实现高水平科技自立自强。</w:t>
      </w:r>
    </w:p>
    <w:p>
      <w:pPr>
        <w:pageBreakBefore w:val="0"/>
        <w:kinsoku/>
        <w:wordWrap/>
        <w:overflowPunct/>
        <w:topLinePunct/>
        <w:autoSpaceDE/>
        <w:autoSpaceDN/>
        <w:bidi w:val="0"/>
        <w:adjustRightInd w:val="0"/>
        <w:snapToGrid w:val="0"/>
        <w:spacing w:line="560" w:lineRule="exact"/>
        <w:textAlignment w:val="auto"/>
        <w:rPr>
          <w:rFonts w:hint="eastAsia"/>
          <w:color w:val="auto"/>
          <w:lang w:val="en-US" w:eastAsia="zh-CN"/>
        </w:rPr>
      </w:pPr>
      <w:r>
        <w:rPr>
          <w:rFonts w:hint="eastAsia"/>
          <w:color w:val="auto"/>
          <w:sz w:val="32"/>
          <w:szCs w:val="32"/>
          <w:lang w:val="en-US" w:eastAsia="zh-CN"/>
        </w:rPr>
        <w:t>（三）推进产业知识产权创新联合体建设。扶持龙头企业牵头、产业链上下游协同、产学研用深度融合、知识产权服务机构支撑，组建细分领域知识产权创新联合体。聚焦重点产业知识产权强链补链延链，构建资源整合、利益共享、风险共担的协同发展机制，提升产业整体创新竞争力与知识产权运用水平。</w:t>
      </w:r>
      <w:r>
        <w:rPr>
          <w:rFonts w:hint="eastAsia"/>
          <w:color w:val="auto"/>
          <w:lang w:val="en-US" w:eastAsia="zh-CN"/>
        </w:rPr>
        <w:t xml:space="preserve"> </w:t>
      </w:r>
    </w:p>
    <w:p>
      <w:pPr>
        <w:pStyle w:val="8"/>
        <w:pageBreakBefore w:val="0"/>
        <w:kinsoku/>
        <w:wordWrap/>
        <w:overflowPunct/>
        <w:autoSpaceDE/>
        <w:autoSpaceDN/>
        <w:bidi w:val="0"/>
        <w:spacing w:after="0" w:line="560" w:lineRule="exact"/>
        <w:ind w:left="0" w:leftChars="0" w:firstLine="642"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b/>
          <w:bCs/>
          <w:color w:val="auto"/>
          <w:sz w:val="32"/>
          <w:szCs w:val="32"/>
          <w:lang w:val="en-US" w:eastAsia="zh-CN"/>
        </w:rPr>
        <w:t xml:space="preserve"> </w:t>
      </w:r>
      <w:r>
        <w:rPr>
          <w:rFonts w:hint="eastAsia" w:ascii="黑体" w:hAnsi="黑体" w:eastAsia="黑体" w:cs="黑体"/>
          <w:b w:val="0"/>
          <w:bCs w:val="0"/>
          <w:color w:val="auto"/>
          <w:kern w:val="2"/>
          <w:sz w:val="32"/>
          <w:szCs w:val="32"/>
          <w:lang w:val="en-US" w:eastAsia="zh-CN" w:bidi="ar-SA"/>
        </w:rPr>
        <w:t>第十一条</w:t>
      </w:r>
      <w:r>
        <w:rPr>
          <w:rFonts w:hint="eastAsia" w:ascii="仿宋_GB2312" w:hAnsi="仿宋_GB2312" w:eastAsia="仿宋_GB2312" w:cs="仿宋_GB2312"/>
          <w:b/>
          <w:bCs/>
          <w:color w:val="auto"/>
          <w:kern w:val="2"/>
          <w:sz w:val="32"/>
          <w:szCs w:val="32"/>
          <w:lang w:val="en-US" w:eastAsia="zh-CN" w:bidi="ar-SA"/>
        </w:rPr>
        <w:t xml:space="preserve"> </w:t>
      </w:r>
      <w:r>
        <w:rPr>
          <w:rFonts w:hint="eastAsia" w:ascii="仿宋_GB2312" w:hAnsi="仿宋_GB2312" w:eastAsia="仿宋_GB2312" w:cs="仿宋_GB2312"/>
          <w:color w:val="auto"/>
          <w:kern w:val="2"/>
          <w:sz w:val="32"/>
          <w:szCs w:val="32"/>
          <w:lang w:val="en-US" w:eastAsia="zh-CN" w:bidi="ar-SA"/>
        </w:rPr>
        <w:t>【立体化保护】 提高知识产权保护能力，健全协同保护工作机制。</w:t>
      </w:r>
    </w:p>
    <w:p>
      <w:pPr>
        <w:pStyle w:val="8"/>
        <w:pageBreakBefore w:val="0"/>
        <w:kinsoku/>
        <w:wordWrap/>
        <w:overflowPunct/>
        <w:autoSpaceDE/>
        <w:autoSpaceDN/>
        <w:bidi w:val="0"/>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（一）强化海外知识产权风险预警。聚焦企业产品出口、技术输出、境外参展等核心出海场景，扶持企业海外知识产权风险排查与预警分析，提前研判风险、防范侵权隐患，筑牢出海知识产权安全防线。</w:t>
      </w:r>
    </w:p>
    <w:p>
      <w:pPr>
        <w:pStyle w:val="8"/>
        <w:pageBreakBefore w:val="0"/>
        <w:kinsoku/>
        <w:wordWrap/>
        <w:overflowPunct/>
        <w:autoSpaceDE/>
        <w:autoSpaceDN/>
        <w:bidi w:val="0"/>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（二）优化海外知识产权维权援助。健全外向型企业海外知识产权维权援助机制，扶持企事业单位、社会组织合理处理海外知识产权纠纷，有效降低企业涉外纠纷发生率与维权成本，保障企业海外合法权益。</w:t>
      </w:r>
    </w:p>
    <w:p>
      <w:pPr>
        <w:rPr>
          <w:rFonts w:hint="eastAsia"/>
          <w:color w:val="auto"/>
          <w:lang w:val="en-US" w:eastAsia="zh-CN"/>
        </w:rPr>
      </w:pPr>
      <w:r>
        <w:rPr>
          <w:rFonts w:hint="eastAsia" w:ascii="仿宋_GB2312" w:hAnsi="仿宋_GB2312" w:eastAsia="仿宋_GB2312" w:cs="仿宋_GB2312"/>
          <w:color w:val="auto"/>
          <w:kern w:val="2"/>
          <w:sz w:val="32"/>
          <w:szCs w:val="32"/>
          <w:lang w:val="en-US" w:eastAsia="zh-CN" w:bidi="ar-SA"/>
        </w:rPr>
        <w:t>（三）深化知识产权纠纷多元化解。扶持行业性、专业性知识产权纠纷人民调解</w:t>
      </w:r>
      <w:r>
        <w:rPr>
          <w:rFonts w:hint="eastAsia" w:cs="仿宋_GB2312"/>
          <w:color w:val="auto"/>
          <w:kern w:val="2"/>
          <w:sz w:val="32"/>
          <w:szCs w:val="32"/>
          <w:lang w:val="en-US" w:eastAsia="zh-CN" w:bidi="ar-SA"/>
        </w:rPr>
        <w:t>组织</w:t>
      </w:r>
      <w:r>
        <w:rPr>
          <w:rFonts w:hint="eastAsia" w:ascii="仿宋_GB2312" w:hAnsi="仿宋_GB2312" w:eastAsia="仿宋_GB2312" w:cs="仿宋_GB2312"/>
          <w:color w:val="auto"/>
          <w:kern w:val="2"/>
          <w:sz w:val="32"/>
          <w:szCs w:val="32"/>
          <w:lang w:val="en-US" w:eastAsia="zh-CN" w:bidi="ar-SA"/>
        </w:rPr>
        <w:t>，开展矛盾排查、纠纷调解、普法宣传等服务，推动知识产权纠纷源头化解、前端治理，构建和谐有序的知识产权保护环境。</w:t>
      </w:r>
    </w:p>
    <w:p>
      <w:pPr>
        <w:rPr>
          <w:rFonts w:hint="eastAsia" w:ascii="仿宋_GB2312" w:hAnsi="仿宋_GB2312" w:eastAsia="仿宋_GB2312" w:cs="仿宋_GB2312"/>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第十二条</w:t>
      </w:r>
      <w:r>
        <w:rPr>
          <w:rFonts w:hint="eastAsia" w:ascii="仿宋_GB2312" w:hAnsi="仿宋_GB2312" w:eastAsia="仿宋_GB2312" w:cs="仿宋_GB2312"/>
          <w:color w:val="auto"/>
          <w:szCs w:val="32"/>
          <w:u w:val="none"/>
          <w:lang w:val="en-US" w:eastAsia="zh-CN"/>
        </w:rPr>
        <w:t xml:space="preserve"> </w:t>
      </w:r>
      <w:r>
        <w:rPr>
          <w:rFonts w:hint="eastAsia" w:ascii="仿宋_GB2312" w:hAnsi="仿宋_GB2312" w:eastAsia="仿宋_GB2312" w:cs="仿宋_GB2312"/>
          <w:color w:val="auto"/>
          <w:kern w:val="2"/>
          <w:sz w:val="32"/>
          <w:szCs w:val="32"/>
          <w:lang w:val="en-US" w:eastAsia="zh-CN" w:bidi="ar-SA"/>
        </w:rPr>
        <w:t>【高品质服务】增强知识产权服务效能，推动开放合作纵深发展。</w:t>
      </w:r>
    </w:p>
    <w:p>
      <w:pPr>
        <w:keepNext w:val="0"/>
        <w:keepLines w:val="0"/>
        <w:widowControl/>
        <w:suppressLineNumbers w:val="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（一）推进知识产权公共服务体系建设。</w:t>
      </w:r>
      <w:r>
        <w:rPr>
          <w:rFonts w:hint="eastAsia" w:cs="仿宋_GB2312"/>
          <w:color w:val="auto"/>
          <w:kern w:val="2"/>
          <w:sz w:val="32"/>
          <w:szCs w:val="32"/>
          <w:lang w:val="en-US" w:eastAsia="zh-CN" w:bidi="ar-SA"/>
        </w:rPr>
        <w:t>扶</w:t>
      </w:r>
      <w:r>
        <w:rPr>
          <w:rFonts w:hint="eastAsia" w:ascii="仿宋_GB2312" w:hAnsi="仿宋_GB2312" w:eastAsia="仿宋_GB2312" w:cs="仿宋_GB2312"/>
          <w:color w:val="auto"/>
          <w:kern w:val="2"/>
          <w:sz w:val="32"/>
          <w:szCs w:val="32"/>
          <w:lang w:val="en-US" w:eastAsia="zh-CN" w:bidi="ar-SA"/>
        </w:rPr>
        <w:t>持知识产权公共服务工作站、技术与创新支持中心（TISC）等提供公共服务</w:t>
      </w:r>
      <w:r>
        <w:rPr>
          <w:rFonts w:hint="eastAsia" w:cs="仿宋_GB2312"/>
          <w:color w:val="auto"/>
          <w:kern w:val="2"/>
          <w:sz w:val="32"/>
          <w:szCs w:val="32"/>
          <w:lang w:val="en-US" w:eastAsia="zh-CN" w:bidi="ar-SA"/>
        </w:rPr>
        <w:t>机构</w:t>
      </w:r>
      <w:r>
        <w:rPr>
          <w:rFonts w:hint="eastAsia" w:ascii="仿宋_GB2312" w:hAnsi="仿宋_GB2312" w:eastAsia="仿宋_GB2312" w:cs="仿宋_GB2312"/>
          <w:color w:val="auto"/>
          <w:kern w:val="2"/>
          <w:sz w:val="32"/>
          <w:szCs w:val="32"/>
          <w:lang w:val="en-US" w:eastAsia="zh-CN" w:bidi="ar-SA"/>
        </w:rPr>
        <w:t>发展，面向创新主体开展知识产权全链条的优质知识产权公共服务，打通知识产权服务“最后一公里”。</w:t>
      </w:r>
    </w:p>
    <w:p>
      <w:pPr>
        <w:keepNext w:val="0"/>
        <w:keepLines w:val="0"/>
        <w:widowControl/>
        <w:suppressLineNumbers w:val="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（二）实施知识产权服务机构培育工程。</w:t>
      </w:r>
      <w:r>
        <w:rPr>
          <w:rFonts w:hint="eastAsia" w:cs="仿宋_GB2312"/>
          <w:color w:val="auto"/>
          <w:kern w:val="2"/>
          <w:sz w:val="32"/>
          <w:szCs w:val="32"/>
          <w:lang w:val="en-US" w:eastAsia="zh-CN" w:bidi="ar-SA"/>
        </w:rPr>
        <w:t>扶持</w:t>
      </w:r>
      <w:r>
        <w:rPr>
          <w:rFonts w:hint="eastAsia" w:ascii="仿宋_GB2312" w:hAnsi="仿宋_GB2312" w:eastAsia="仿宋_GB2312" w:cs="仿宋_GB2312"/>
          <w:color w:val="auto"/>
          <w:kern w:val="2"/>
          <w:sz w:val="32"/>
          <w:szCs w:val="32"/>
          <w:lang w:val="en-US" w:eastAsia="zh-CN" w:bidi="ar-SA"/>
        </w:rPr>
        <w:t>知识产权服务机构为企事业单位提供各类专业化知识产权服务，鼓励知识产权机构创新服务模式，融合科技、法律、商务服务资源，推动新技术在专利、商标、地理标志等知识产权服务中的应用，打造精细型特色服务机构、高端型品牌服务机构、综合型国际服务机构。</w:t>
      </w:r>
    </w:p>
    <w:p>
      <w:pPr>
        <w:pageBreakBefore w:val="0"/>
        <w:kinsoku/>
        <w:wordWrap/>
        <w:overflowPunct/>
        <w:autoSpaceDE/>
        <w:autoSpaceDN/>
        <w:bidi w:val="0"/>
        <w:spacing w:line="56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（三）深化知识产权交流合作。扶持企事业单位等面向</w:t>
      </w:r>
      <w:r>
        <w:rPr>
          <w:rFonts w:hint="eastAsia" w:cs="仿宋_GB2312"/>
          <w:color w:val="auto"/>
          <w:kern w:val="2"/>
          <w:sz w:val="32"/>
          <w:szCs w:val="32"/>
          <w:lang w:val="en-US" w:eastAsia="zh-CN" w:bidi="ar-SA"/>
        </w:rPr>
        <w:t>目标国家、国际组织</w:t>
      </w:r>
      <w:r>
        <w:rPr>
          <w:rFonts w:hint="eastAsia" w:ascii="仿宋_GB2312" w:hAnsi="仿宋_GB2312" w:eastAsia="仿宋_GB2312" w:cs="仿宋_GB2312"/>
          <w:color w:val="auto"/>
          <w:kern w:val="2"/>
          <w:sz w:val="32"/>
          <w:szCs w:val="32"/>
          <w:lang w:val="en-US" w:eastAsia="zh-CN" w:bidi="ar-SA"/>
        </w:rPr>
        <w:t>及港澳台地区，举办国际会议活动、开展国际联合研究</w:t>
      </w:r>
      <w:r>
        <w:rPr>
          <w:rFonts w:hint="eastAsia" w:cs="仿宋_GB2312"/>
          <w:color w:val="auto"/>
          <w:kern w:val="2"/>
          <w:sz w:val="32"/>
          <w:szCs w:val="32"/>
          <w:lang w:val="en-US" w:eastAsia="zh-CN" w:bidi="ar-SA"/>
        </w:rPr>
        <w:t>等</w:t>
      </w:r>
      <w:r>
        <w:rPr>
          <w:rFonts w:hint="eastAsia" w:ascii="仿宋_GB2312" w:hAnsi="仿宋_GB2312" w:eastAsia="仿宋_GB2312" w:cs="仿宋_GB2312"/>
          <w:color w:val="auto"/>
          <w:kern w:val="2"/>
          <w:sz w:val="32"/>
          <w:szCs w:val="32"/>
          <w:lang w:val="en-US" w:eastAsia="zh-CN" w:bidi="ar-SA"/>
        </w:rPr>
        <w:t>知识产权交流合作</w:t>
      </w:r>
      <w:r>
        <w:rPr>
          <w:rFonts w:hint="eastAsia" w:cs="仿宋_GB2312"/>
          <w:color w:val="auto"/>
          <w:kern w:val="2"/>
          <w:sz w:val="32"/>
          <w:szCs w:val="32"/>
          <w:lang w:val="en-US" w:eastAsia="zh-CN" w:bidi="ar-SA"/>
        </w:rPr>
        <w:t>，</w:t>
      </w:r>
      <w:r>
        <w:rPr>
          <w:rFonts w:hint="eastAsia" w:ascii="仿宋_GB2312" w:hAnsi="仿宋_GB2312" w:eastAsia="仿宋_GB2312" w:cs="仿宋_GB2312"/>
          <w:color w:val="auto"/>
          <w:sz w:val="32"/>
          <w:szCs w:val="32"/>
          <w:highlight w:val="none"/>
          <w:lang w:val="en-US" w:eastAsia="zh-CN"/>
        </w:rPr>
        <w:t>开发本土化的国际知识产权数据库</w:t>
      </w:r>
      <w:r>
        <w:rPr>
          <w:rFonts w:hint="eastAsia" w:ascii="仿宋_GB2312" w:hAnsi="仿宋_GB2312" w:eastAsia="仿宋_GB2312" w:cs="仿宋_GB2312"/>
          <w:color w:val="auto"/>
          <w:kern w:val="2"/>
          <w:sz w:val="32"/>
          <w:szCs w:val="32"/>
          <w:lang w:val="en-US" w:eastAsia="zh-CN" w:bidi="ar-SA"/>
        </w:rPr>
        <w:t>；扶持有条件的知识产权服务机构在境外设立分支机构或代表处，参加国际性展览展示，依法合规承接海外知识产权业务，有力支撑企业“走出去”与首都高水平对外开放。</w:t>
      </w:r>
    </w:p>
    <w:p>
      <w:pPr>
        <w:pageBreakBefore w:val="0"/>
        <w:kinsoku/>
        <w:wordWrap/>
        <w:overflowPunct/>
        <w:autoSpaceDE/>
        <w:autoSpaceDN/>
        <w:bidi w:val="0"/>
        <w:spacing w:line="56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集聚国际知识产权高端资源。扶持企事业单位等发起成立知识产权国际组织，积极引进国际知识产权高端人才、专业机构，整合优质国际资源，提升首都知识产权领域国际影响力与资源集聚能级。加快培育通晓国际规则、精通外语、兼具法律素养与专业技术能力的复合型高端人才，夯实知识产权国际化发展人才支撑，助力首都知识产权人才协同培养合作网络构建。</w:t>
      </w:r>
    </w:p>
    <w:p>
      <w:pPr>
        <w:pageBreakBefore w:val="0"/>
        <w:kinsoku/>
        <w:wordWrap/>
        <w:overflowPunct/>
        <w:autoSpaceDE/>
        <w:autoSpaceDN/>
        <w:bidi w:val="0"/>
        <w:spacing w:line="560" w:lineRule="exact"/>
        <w:textAlignment w:val="auto"/>
        <w:rPr>
          <w:rFonts w:hint="eastAsia"/>
          <w:color w:val="auto"/>
        </w:rPr>
      </w:pPr>
      <w:r>
        <w:rPr>
          <w:rFonts w:hint="eastAsia" w:ascii="黑体" w:hAnsi="黑体" w:eastAsia="黑体" w:cs="黑体"/>
          <w:b w:val="0"/>
          <w:bCs w:val="0"/>
          <w:color w:val="auto"/>
          <w:kern w:val="2"/>
          <w:sz w:val="32"/>
          <w:szCs w:val="32"/>
          <w:lang w:val="en-US" w:eastAsia="zh-CN" w:bidi="ar-SA"/>
        </w:rPr>
        <w:t>第十三条</w:t>
      </w:r>
      <w:r>
        <w:rPr>
          <w:rFonts w:hint="eastAsia" w:cs="仿宋_GB2312"/>
          <w:b/>
          <w:bCs/>
          <w:color w:val="auto"/>
          <w:szCs w:val="32"/>
          <w:u w:val="none"/>
          <w:lang w:val="en-US" w:eastAsia="zh-CN"/>
        </w:rPr>
        <w:t xml:space="preserve"> </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金融创新</w:t>
      </w:r>
      <w:r>
        <w:rPr>
          <w:rFonts w:hint="eastAsia" w:ascii="仿宋_GB2312" w:hAnsi="仿宋_GB2312" w:eastAsia="仿宋_GB2312" w:cs="仿宋_GB2312"/>
          <w:color w:val="auto"/>
          <w:kern w:val="2"/>
          <w:sz w:val="32"/>
          <w:szCs w:val="32"/>
          <w:lang w:val="en-US" w:eastAsia="zh-CN" w:bidi="ar-SA"/>
        </w:rPr>
        <w:t>】</w:t>
      </w:r>
      <w:r>
        <w:rPr>
          <w:rFonts w:hint="eastAsia"/>
          <w:color w:val="auto"/>
        </w:rPr>
        <w:t>强化知识产权金融创新，助力科创企业融资增效赋能</w:t>
      </w:r>
      <w:r>
        <w:rPr>
          <w:rFonts w:hint="eastAsia"/>
          <w:color w:val="auto"/>
          <w:lang w:eastAsia="zh-CN"/>
        </w:rPr>
        <w:t>。</w:t>
      </w:r>
      <w:r>
        <w:rPr>
          <w:rFonts w:hint="eastAsia"/>
          <w:color w:val="auto"/>
        </w:rPr>
        <w:t xml:space="preserve"> </w:t>
      </w:r>
    </w:p>
    <w:p>
      <w:pPr>
        <w:pageBreakBefore w:val="0"/>
        <w:kinsoku/>
        <w:wordWrap/>
        <w:overflowPunct/>
        <w:autoSpaceDE/>
        <w:autoSpaceDN/>
        <w:bidi w:val="0"/>
        <w:spacing w:line="560" w:lineRule="exact"/>
        <w:textAlignment w:val="auto"/>
        <w:rPr>
          <w:rFonts w:hint="eastAsia"/>
          <w:color w:val="auto"/>
          <w:lang w:eastAsia="zh-CN"/>
        </w:rPr>
      </w:pPr>
      <w:r>
        <w:rPr>
          <w:rFonts w:hint="eastAsia"/>
          <w:color w:val="auto"/>
        </w:rPr>
        <w:t>（一）加大知识产权质押融资</w:t>
      </w:r>
      <w:r>
        <w:rPr>
          <w:rFonts w:hint="eastAsia"/>
          <w:color w:val="auto"/>
          <w:lang w:eastAsia="zh-CN"/>
        </w:rPr>
        <w:t>扶持</w:t>
      </w:r>
      <w:r>
        <w:rPr>
          <w:rFonts w:hint="eastAsia"/>
          <w:color w:val="auto"/>
        </w:rPr>
        <w:t>。</w:t>
      </w:r>
      <w:r>
        <w:rPr>
          <w:rFonts w:hint="eastAsia"/>
          <w:color w:val="auto"/>
          <w:lang w:eastAsia="zh-CN"/>
        </w:rPr>
        <w:t>扶持企业通过知识产权质押贷款等方式开展融资，健全知识产权质押融资风险补偿机制，通过企业融资成本分担，提升知识产权质押融资普惠性与可及性。</w:t>
      </w:r>
    </w:p>
    <w:p>
      <w:pPr>
        <w:keepNext w:val="0"/>
        <w:keepLines w:val="0"/>
        <w:widowControl/>
        <w:suppressLineNumbers w:val="0"/>
        <w:jc w:val="left"/>
        <w:rPr>
          <w:rFonts w:hint="eastAsia"/>
          <w:color w:val="auto"/>
          <w:lang w:val="en-US" w:eastAsia="zh-CN"/>
        </w:rPr>
      </w:pPr>
      <w:r>
        <w:rPr>
          <w:rFonts w:hint="eastAsia"/>
          <w:color w:val="auto"/>
        </w:rPr>
        <w:t>（二）推进知识产权保险提质扩面。</w:t>
      </w:r>
      <w:r>
        <w:rPr>
          <w:rFonts w:hint="eastAsia"/>
          <w:color w:val="auto"/>
          <w:lang w:eastAsia="zh-CN"/>
        </w:rPr>
        <w:t>扶</w:t>
      </w:r>
      <w:r>
        <w:rPr>
          <w:rFonts w:hint="eastAsia"/>
          <w:color w:val="auto"/>
          <w:lang w:val="en-US" w:eastAsia="zh-CN"/>
        </w:rPr>
        <w:t>持企业投保知识产权执行保险、被侵权损失保险及相关附加险、组合险等各类国内知识产权保险产品，海外纠纷法律费用保险等各类海外知识产权保险产品，以及商标、地理标志、数据知识产权等其他知识产权保险产品，完善知识产权风险防范和风险管控，减轻企业面临知识产权侵权、诉讼等问题时的经济负担。</w:t>
      </w:r>
    </w:p>
    <w:p>
      <w:pPr>
        <w:keepNext w:val="0"/>
        <w:keepLines w:val="0"/>
        <w:widowControl/>
        <w:suppressLineNumbers w:val="0"/>
        <w:jc w:val="left"/>
        <w:rPr>
          <w:rFonts w:hint="eastAsia" w:ascii="仿宋_GB2312" w:hAnsi="仿宋_GB2312" w:eastAsia="仿宋_GB2312" w:cs="仿宋_GB2312"/>
          <w:b w:val="0"/>
          <w:bCs w:val="0"/>
          <w:color w:val="auto"/>
          <w:kern w:val="2"/>
          <w:sz w:val="32"/>
          <w:szCs w:val="32"/>
          <w:lang w:val="en-US" w:eastAsia="zh-CN" w:bidi="ar-SA"/>
        </w:rPr>
      </w:pPr>
      <w:r>
        <w:rPr>
          <w:rFonts w:hint="eastAsia"/>
          <w:color w:val="auto"/>
        </w:rPr>
        <w:t>（三）规范探索知识产权证券化。</w:t>
      </w:r>
      <w:r>
        <w:rPr>
          <w:rFonts w:hint="eastAsia"/>
          <w:color w:val="auto"/>
          <w:lang w:eastAsia="zh-CN"/>
        </w:rPr>
        <w:t>扶</w:t>
      </w:r>
      <w:r>
        <w:rPr>
          <w:rFonts w:hint="eastAsia"/>
          <w:color w:val="auto"/>
        </w:rPr>
        <w:t>持企业</w:t>
      </w:r>
      <w:r>
        <w:rPr>
          <w:rFonts w:hint="eastAsia"/>
          <w:color w:val="auto"/>
          <w:lang w:eastAsia="zh-CN"/>
        </w:rPr>
        <w:t>利用</w:t>
      </w:r>
      <w:r>
        <w:rPr>
          <w:rFonts w:hint="eastAsia"/>
          <w:color w:val="auto"/>
        </w:rPr>
        <w:t>知识产权资产支持证券（ABS）、资产支持票据（ABN）等融资模式，拓宽企业融资渠道，运用资本市场工具促进创新成果转化和创新型企业跨越式发展，激活知识产权资产价值。</w:t>
      </w:r>
    </w:p>
    <w:p>
      <w:pPr>
        <w:pStyle w:val="2"/>
        <w:keepNext w:val="0"/>
        <w:keepLines w:val="0"/>
        <w:pageBreakBefore w:val="0"/>
        <w:widowControl w:val="0"/>
        <w:numPr>
          <w:ilvl w:val="0"/>
          <w:numId w:val="0"/>
        </w:numPr>
        <w:kinsoku/>
        <w:wordWrap/>
        <w:overflowPunct/>
        <w:topLinePunct/>
        <w:autoSpaceDE/>
        <w:autoSpaceDN/>
        <w:bidi w:val="0"/>
        <w:adjustRightInd/>
        <w:snapToGrid/>
        <w:spacing w:before="0" w:after="0" w:line="560" w:lineRule="exact"/>
        <w:ind w:firstLine="0" w:firstLineChars="0"/>
        <w:jc w:val="center"/>
        <w:textAlignment w:val="auto"/>
        <w:rPr>
          <w:rFonts w:hint="eastAsia" w:cs="黑体"/>
          <w:color w:val="auto"/>
          <w:kern w:val="44"/>
          <w:sz w:val="32"/>
          <w:szCs w:val="32"/>
          <w:lang w:val="en-US" w:eastAsia="zh-CN" w:bidi="ar"/>
        </w:rPr>
      </w:pPr>
    </w:p>
    <w:p>
      <w:pPr>
        <w:pStyle w:val="2"/>
        <w:keepNext w:val="0"/>
        <w:keepLines w:val="0"/>
        <w:pageBreakBefore w:val="0"/>
        <w:widowControl w:val="0"/>
        <w:numPr>
          <w:ilvl w:val="0"/>
          <w:numId w:val="0"/>
        </w:numPr>
        <w:kinsoku/>
        <w:wordWrap/>
        <w:overflowPunct/>
        <w:topLinePunct/>
        <w:autoSpaceDE/>
        <w:autoSpaceDN/>
        <w:bidi w:val="0"/>
        <w:adjustRightInd/>
        <w:snapToGrid/>
        <w:spacing w:before="0" w:after="0" w:line="560" w:lineRule="exact"/>
        <w:ind w:firstLine="0" w:firstLineChars="0"/>
        <w:jc w:val="center"/>
        <w:textAlignment w:val="auto"/>
        <w:rPr>
          <w:rFonts w:hint="eastAsia" w:cs="黑体"/>
          <w:color w:val="auto"/>
          <w:kern w:val="44"/>
          <w:sz w:val="32"/>
          <w:szCs w:val="32"/>
          <w:lang w:val="en-US" w:eastAsia="zh-CN" w:bidi="ar"/>
        </w:rPr>
      </w:pPr>
      <w:r>
        <w:rPr>
          <w:rFonts w:hint="eastAsia" w:cs="黑体"/>
          <w:color w:val="auto"/>
          <w:kern w:val="44"/>
          <w:sz w:val="32"/>
          <w:szCs w:val="32"/>
          <w:lang w:val="en-US" w:eastAsia="zh-CN" w:bidi="ar"/>
        </w:rPr>
        <w:t>第三章 组织实施和项目管理</w:t>
      </w:r>
    </w:p>
    <w:p>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b/>
          <w:bCs/>
          <w:color w:val="auto"/>
          <w:highlight w:val="none"/>
          <w:lang w:val="en-US" w:eastAsia="zh-CN"/>
        </w:rPr>
      </w:pPr>
      <w:r>
        <w:rPr>
          <w:rFonts w:hint="eastAsia" w:ascii="黑体" w:hAnsi="黑体" w:eastAsia="黑体" w:cs="黑体"/>
          <w:b w:val="0"/>
          <w:bCs w:val="0"/>
          <w:color w:val="auto"/>
          <w:kern w:val="2"/>
          <w:sz w:val="32"/>
          <w:szCs w:val="32"/>
          <w:lang w:val="en-US" w:eastAsia="zh-CN" w:bidi="ar-SA"/>
        </w:rPr>
        <w:t>第十四条</w:t>
      </w:r>
      <w:r>
        <w:rPr>
          <w:rFonts w:hint="eastAsia"/>
          <w:b/>
          <w:bCs/>
          <w:color w:val="auto"/>
          <w:highlight w:val="none"/>
          <w:lang w:val="en-US" w:eastAsia="zh-CN"/>
        </w:rPr>
        <w:t xml:space="preserve"> </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组织申报</w:t>
      </w:r>
      <w:r>
        <w:rPr>
          <w:rFonts w:hint="eastAsia" w:ascii="仿宋_GB2312" w:hAnsi="仿宋_GB2312" w:eastAsia="仿宋_GB2312" w:cs="仿宋_GB2312"/>
          <w:color w:val="auto"/>
          <w:kern w:val="2"/>
          <w:sz w:val="32"/>
          <w:szCs w:val="32"/>
          <w:lang w:val="en-US" w:eastAsia="zh-CN" w:bidi="ar-SA"/>
        </w:rPr>
        <w:t>】</w:t>
      </w:r>
      <w:r>
        <w:rPr>
          <w:rFonts w:hint="eastAsia"/>
          <w:b w:val="0"/>
          <w:bCs w:val="0"/>
          <w:color w:val="auto"/>
          <w:highlight w:val="none"/>
          <w:lang w:val="en-US" w:eastAsia="zh-CN"/>
        </w:rPr>
        <w:t>市知识产权局根据年度工作安排，在官方网站发布申报通知。</w:t>
      </w:r>
      <w:r>
        <w:rPr>
          <w:rFonts w:hint="eastAsia"/>
          <w:color w:val="auto"/>
          <w:lang w:val="en-US" w:eastAsia="zh-CN"/>
        </w:rPr>
        <w:t>项目申报单位根据通知要求提交申报材料。</w:t>
      </w:r>
    </w:p>
    <w:p>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第十五条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初审</w:t>
      </w:r>
      <w:r>
        <w:rPr>
          <w:rFonts w:hint="eastAsia" w:ascii="仿宋_GB2312" w:hAnsi="仿宋_GB2312" w:eastAsia="仿宋_GB2312" w:cs="仿宋_GB2312"/>
          <w:color w:val="auto"/>
          <w:kern w:val="2"/>
          <w:sz w:val="32"/>
          <w:szCs w:val="32"/>
          <w:lang w:val="en-US" w:eastAsia="zh-CN" w:bidi="ar-SA"/>
        </w:rPr>
        <w:t>】</w:t>
      </w:r>
      <w:r>
        <w:rPr>
          <w:rFonts w:hint="eastAsia"/>
          <w:b w:val="0"/>
          <w:bCs w:val="0"/>
          <w:color w:val="auto"/>
          <w:highlight w:val="none"/>
          <w:lang w:val="en-US" w:eastAsia="zh-CN"/>
        </w:rPr>
        <w:t>市知识产权局</w:t>
      </w:r>
      <w:r>
        <w:rPr>
          <w:rFonts w:hint="eastAsia" w:ascii="仿宋_GB2312" w:hAnsi="仿宋_GB2312" w:eastAsia="仿宋_GB2312" w:cs="仿宋_GB2312"/>
          <w:b w:val="0"/>
          <w:bCs w:val="0"/>
          <w:color w:val="auto"/>
          <w:kern w:val="2"/>
          <w:sz w:val="32"/>
          <w:szCs w:val="32"/>
          <w:lang w:val="en-US" w:eastAsia="zh-CN" w:bidi="ar-SA"/>
        </w:rPr>
        <w:t>对</w:t>
      </w:r>
      <w:r>
        <w:rPr>
          <w:rFonts w:hint="eastAsia" w:cs="仿宋_GB2312"/>
          <w:b w:val="0"/>
          <w:bCs w:val="0"/>
          <w:color w:val="auto"/>
          <w:kern w:val="2"/>
          <w:sz w:val="32"/>
          <w:szCs w:val="32"/>
          <w:lang w:val="en-US" w:eastAsia="zh-CN" w:bidi="ar-SA"/>
        </w:rPr>
        <w:t>申报</w:t>
      </w:r>
      <w:r>
        <w:rPr>
          <w:rFonts w:hint="eastAsia" w:ascii="仿宋_GB2312" w:hAnsi="仿宋_GB2312" w:eastAsia="仿宋_GB2312" w:cs="仿宋_GB2312"/>
          <w:b w:val="0"/>
          <w:bCs w:val="0"/>
          <w:color w:val="auto"/>
          <w:kern w:val="2"/>
          <w:sz w:val="32"/>
          <w:szCs w:val="32"/>
          <w:lang w:val="en-US" w:eastAsia="zh-CN" w:bidi="ar-SA"/>
        </w:rPr>
        <w:t>项目进行汇总和</w:t>
      </w:r>
      <w:r>
        <w:rPr>
          <w:rFonts w:hint="eastAsia" w:cs="仿宋_GB2312"/>
          <w:b w:val="0"/>
          <w:bCs w:val="0"/>
          <w:color w:val="auto"/>
          <w:kern w:val="2"/>
          <w:sz w:val="32"/>
          <w:szCs w:val="32"/>
          <w:lang w:val="en-US" w:eastAsia="zh-CN" w:bidi="ar-SA"/>
        </w:rPr>
        <w:t>初</w:t>
      </w:r>
      <w:r>
        <w:rPr>
          <w:rFonts w:hint="eastAsia" w:ascii="仿宋_GB2312" w:hAnsi="仿宋_GB2312" w:eastAsia="仿宋_GB2312" w:cs="仿宋_GB2312"/>
          <w:b w:val="0"/>
          <w:bCs w:val="0"/>
          <w:color w:val="auto"/>
          <w:kern w:val="2"/>
          <w:sz w:val="32"/>
          <w:szCs w:val="32"/>
          <w:lang w:val="en-US" w:eastAsia="zh-CN" w:bidi="ar-SA"/>
        </w:rPr>
        <w:t>审，形成初审查见</w:t>
      </w:r>
      <w:r>
        <w:rPr>
          <w:rFonts w:hint="eastAsia"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初审流程包括：</w:t>
      </w:r>
    </w:p>
    <w:p>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（一）资格审查。申报项目是否符合扶持资金</w:t>
      </w:r>
      <w:r>
        <w:rPr>
          <w:rFonts w:hint="eastAsia" w:cs="仿宋_GB2312"/>
          <w:b w:val="0"/>
          <w:bCs w:val="0"/>
          <w:color w:val="auto"/>
          <w:kern w:val="2"/>
          <w:sz w:val="32"/>
          <w:szCs w:val="32"/>
          <w:lang w:val="en-US" w:eastAsia="zh-CN" w:bidi="ar-SA"/>
        </w:rPr>
        <w:t>扶持</w:t>
      </w:r>
      <w:r>
        <w:rPr>
          <w:rFonts w:hint="eastAsia" w:ascii="仿宋_GB2312" w:hAnsi="仿宋_GB2312" w:eastAsia="仿宋_GB2312" w:cs="仿宋_GB2312"/>
          <w:b w:val="0"/>
          <w:bCs w:val="0"/>
          <w:color w:val="auto"/>
          <w:kern w:val="2"/>
          <w:sz w:val="32"/>
          <w:szCs w:val="32"/>
          <w:lang w:val="en-US" w:eastAsia="zh-CN" w:bidi="ar-SA"/>
        </w:rPr>
        <w:t>范围，申报单位是否符合要求。</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（二）材料审查。报送材料是否完整</w:t>
      </w:r>
      <w:r>
        <w:rPr>
          <w:rFonts w:hint="eastAsia" w:cs="仿宋_GB2312"/>
          <w:b w:val="0"/>
          <w:bCs w:val="0"/>
          <w:color w:val="auto"/>
          <w:kern w:val="2"/>
          <w:sz w:val="32"/>
          <w:szCs w:val="32"/>
          <w:lang w:val="en-US" w:eastAsia="zh-CN" w:bidi="ar-SA"/>
        </w:rPr>
        <w:t>、真实、合法</w:t>
      </w:r>
      <w:r>
        <w:rPr>
          <w:rFonts w:hint="eastAsia" w:ascii="仿宋_GB2312" w:hAnsi="仿宋_GB2312" w:eastAsia="仿宋_GB2312" w:cs="仿宋_GB2312"/>
          <w:b w:val="0"/>
          <w:bCs w:val="0"/>
          <w:color w:val="auto"/>
          <w:kern w:val="2"/>
          <w:sz w:val="32"/>
          <w:szCs w:val="32"/>
          <w:lang w:val="en-US" w:eastAsia="zh-CN" w:bidi="ar-SA"/>
        </w:rPr>
        <w:t>，格式是否规范，申报项目的内容是否符合要求，是否有明确的绩效目标。</w:t>
      </w:r>
    </w:p>
    <w:p>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（三）程序审查。申报项目是否按规定的程序</w:t>
      </w:r>
      <w:r>
        <w:rPr>
          <w:rFonts w:hint="eastAsia" w:cs="仿宋_GB2312"/>
          <w:b w:val="0"/>
          <w:bCs w:val="0"/>
          <w:color w:val="auto"/>
          <w:kern w:val="2"/>
          <w:sz w:val="32"/>
          <w:szCs w:val="32"/>
          <w:lang w:val="en-US" w:eastAsia="zh-CN" w:bidi="ar-SA"/>
        </w:rPr>
        <w:t>报送</w:t>
      </w:r>
      <w:r>
        <w:rPr>
          <w:rFonts w:hint="eastAsia" w:ascii="仿宋_GB2312" w:hAnsi="仿宋_GB2312" w:eastAsia="仿宋_GB2312" w:cs="仿宋_GB2312"/>
          <w:b w:val="0"/>
          <w:bCs w:val="0"/>
          <w:color w:val="auto"/>
          <w:kern w:val="2"/>
          <w:sz w:val="32"/>
          <w:szCs w:val="32"/>
          <w:lang w:val="en-US" w:eastAsia="zh-CN" w:bidi="ar-SA"/>
        </w:rPr>
        <w:t>。</w:t>
      </w:r>
    </w:p>
    <w:p>
      <w:pPr>
        <w:keepNext w:val="0"/>
        <w:keepLines w:val="0"/>
        <w:pageBreakBefore w:val="0"/>
        <w:widowControl w:val="0"/>
        <w:suppressLineNumbers w:val="0"/>
        <w:kinsoku/>
        <w:wordWrap/>
        <w:overflowPunct/>
        <w:topLinePunct/>
        <w:autoSpaceDE/>
        <w:autoSpaceDN/>
        <w:bidi w:val="0"/>
        <w:adjustRightInd/>
        <w:snapToGrid/>
        <w:spacing w:line="560" w:lineRule="exact"/>
        <w:jc w:val="both"/>
        <w:textAlignment w:val="auto"/>
        <w:rPr>
          <w:rFonts w:hint="eastAsia"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第十六条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复审与审议</w:t>
      </w:r>
      <w:r>
        <w:rPr>
          <w:rFonts w:hint="eastAsia" w:ascii="仿宋_GB2312" w:hAnsi="仿宋_GB2312" w:eastAsia="仿宋_GB2312" w:cs="仿宋_GB2312"/>
          <w:color w:val="auto"/>
          <w:kern w:val="2"/>
          <w:sz w:val="32"/>
          <w:szCs w:val="32"/>
          <w:lang w:val="en-US" w:eastAsia="zh-CN" w:bidi="ar-SA"/>
        </w:rPr>
        <w:t>】</w:t>
      </w:r>
      <w:r>
        <w:rPr>
          <w:rFonts w:hint="eastAsia" w:cs="仿宋_GB2312"/>
          <w:b w:val="0"/>
          <w:bCs w:val="0"/>
          <w:color w:val="auto"/>
          <w:kern w:val="2"/>
          <w:sz w:val="32"/>
          <w:szCs w:val="32"/>
          <w:lang w:val="en-US" w:eastAsia="zh-CN" w:bidi="ar-SA"/>
        </w:rPr>
        <w:t>市知识产权局根据</w:t>
      </w:r>
      <w:r>
        <w:rPr>
          <w:rFonts w:hint="eastAsia" w:ascii="仿宋_GB2312" w:hAnsi="仿宋_GB2312" w:eastAsia="仿宋_GB2312" w:cs="仿宋_GB2312"/>
          <w:b w:val="0"/>
          <w:bCs w:val="0"/>
          <w:color w:val="auto"/>
          <w:kern w:val="2"/>
          <w:sz w:val="32"/>
          <w:szCs w:val="32"/>
          <w:lang w:val="en-US" w:eastAsia="zh-CN" w:bidi="ar-SA"/>
        </w:rPr>
        <w:t>初步审查意见组织项目复审</w:t>
      </w:r>
      <w:r>
        <w:rPr>
          <w:rFonts w:hint="eastAsia"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资助项目可根据复杂和重要程度聘请专家或第三方机构进行论证，参考论证</w:t>
      </w:r>
      <w:r>
        <w:rPr>
          <w:rFonts w:hint="eastAsia" w:cs="仿宋_GB2312"/>
          <w:b w:val="0"/>
          <w:bCs w:val="0"/>
          <w:color w:val="auto"/>
          <w:kern w:val="2"/>
          <w:sz w:val="32"/>
          <w:szCs w:val="32"/>
          <w:lang w:val="en-US" w:eastAsia="zh-CN" w:bidi="ar-SA"/>
        </w:rPr>
        <w:t>建议</w:t>
      </w:r>
      <w:r>
        <w:rPr>
          <w:rFonts w:hint="eastAsia" w:ascii="仿宋_GB2312" w:hAnsi="仿宋_GB2312" w:eastAsia="仿宋_GB2312" w:cs="仿宋_GB2312"/>
          <w:b w:val="0"/>
          <w:bCs w:val="0"/>
          <w:color w:val="auto"/>
          <w:kern w:val="2"/>
          <w:sz w:val="32"/>
          <w:szCs w:val="32"/>
          <w:lang w:val="en-US" w:eastAsia="zh-CN" w:bidi="ar-SA"/>
        </w:rPr>
        <w:t>形成复审意见</w:t>
      </w:r>
      <w:r>
        <w:rPr>
          <w:rFonts w:hint="eastAsia"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后补贴项目直接形成复审意见</w:t>
      </w:r>
      <w:r>
        <w:rPr>
          <w:rFonts w:hint="eastAsia" w:cs="仿宋_GB2312"/>
          <w:b w:val="0"/>
          <w:bCs w:val="0"/>
          <w:color w:val="auto"/>
          <w:kern w:val="2"/>
          <w:sz w:val="32"/>
          <w:szCs w:val="32"/>
          <w:lang w:val="en-US" w:eastAsia="zh-CN" w:bidi="ar-SA"/>
        </w:rPr>
        <w:t>。复审意见经市知识产权局相关会议</w:t>
      </w:r>
      <w:r>
        <w:rPr>
          <w:rFonts w:hint="eastAsia" w:ascii="仿宋_GB2312" w:hAnsi="仿宋_GB2312" w:eastAsia="仿宋_GB2312" w:cs="仿宋_GB2312"/>
          <w:b w:val="0"/>
          <w:bCs w:val="0"/>
          <w:color w:val="auto"/>
          <w:kern w:val="2"/>
          <w:sz w:val="32"/>
          <w:szCs w:val="32"/>
          <w:lang w:val="en-US" w:eastAsia="zh-CN" w:bidi="ar-SA"/>
        </w:rPr>
        <w:t>审议通过</w:t>
      </w:r>
      <w:r>
        <w:rPr>
          <w:rFonts w:hint="eastAsia" w:cs="仿宋_GB2312"/>
          <w:b w:val="0"/>
          <w:bCs w:val="0"/>
          <w:color w:val="auto"/>
          <w:kern w:val="2"/>
          <w:sz w:val="32"/>
          <w:szCs w:val="32"/>
          <w:lang w:val="en-US" w:eastAsia="zh-CN" w:bidi="ar-SA"/>
        </w:rPr>
        <w:t>，确定拟扶持名单。</w:t>
      </w:r>
    </w:p>
    <w:p>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第十七条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公示</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拟</w:t>
      </w:r>
      <w:r>
        <w:rPr>
          <w:rFonts w:hint="eastAsia" w:cs="仿宋_GB2312"/>
          <w:b w:val="0"/>
          <w:bCs w:val="0"/>
          <w:color w:val="auto"/>
          <w:kern w:val="2"/>
          <w:sz w:val="32"/>
          <w:szCs w:val="32"/>
          <w:lang w:val="en-US" w:eastAsia="zh-CN" w:bidi="ar-SA"/>
        </w:rPr>
        <w:t>扶持名单在市知识产权局官方网站进行公示，涉密或法律法规规定不宜公开的除外，公示时间不少于5个工作日。</w:t>
      </w:r>
      <w:r>
        <w:rPr>
          <w:rFonts w:hint="eastAsia" w:ascii="仿宋_GB2312" w:hAnsi="仿宋_GB2312" w:eastAsia="仿宋_GB2312" w:cs="仿宋_GB2312"/>
          <w:b w:val="0"/>
          <w:bCs w:val="0"/>
          <w:color w:val="auto"/>
          <w:kern w:val="2"/>
          <w:sz w:val="32"/>
          <w:szCs w:val="32"/>
          <w:lang w:val="en-US" w:eastAsia="zh-CN" w:bidi="ar-SA"/>
        </w:rPr>
        <w:t>经公</w:t>
      </w:r>
      <w:r>
        <w:rPr>
          <w:rFonts w:hint="eastAsia" w:cs="仿宋_GB2312"/>
          <w:b w:val="0"/>
          <w:bCs w:val="0"/>
          <w:color w:val="auto"/>
          <w:kern w:val="2"/>
          <w:sz w:val="32"/>
          <w:szCs w:val="32"/>
          <w:lang w:val="en-US" w:eastAsia="zh-CN" w:bidi="ar-SA"/>
        </w:rPr>
        <w:t>示无异议或异议不成立的，市知识产权局办理资金拨付。</w:t>
      </w:r>
    </w:p>
    <w:p>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第十八条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扶持资金到位周期</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扶持资金应及时到位，当年组织申报的项目应于申报截止日起，3个月内完成受理审核、公示、</w:t>
      </w:r>
      <w:r>
        <w:rPr>
          <w:rFonts w:hint="eastAsia"/>
          <w:lang w:val="en-US" w:eastAsia="zh-CN"/>
        </w:rPr>
        <w:t>资助首款资金或后补贴资金拨付等工作</w:t>
      </w:r>
      <w:r>
        <w:rPr>
          <w:rFonts w:hint="eastAsia"/>
          <w:color w:val="auto"/>
          <w:lang w:val="en-US" w:eastAsia="zh-CN"/>
        </w:rPr>
        <w:t>，</w:t>
      </w:r>
      <w:r>
        <w:rPr>
          <w:rFonts w:hint="eastAsia"/>
          <w:lang w:val="en-US" w:eastAsia="zh-CN"/>
        </w:rPr>
        <w:t>资助</w:t>
      </w:r>
      <w:r>
        <w:rPr>
          <w:rFonts w:hint="eastAsia"/>
          <w:color w:val="auto"/>
          <w:lang w:val="en-US" w:eastAsia="zh-CN"/>
        </w:rPr>
        <w:t>尾款资金应在验收通过后10个工作日内完成拨付；跨年项目应于第二年3月底前完成受理审核、公示和资金拨付等全流程工作。如遇特殊情况，经</w:t>
      </w:r>
      <w:r>
        <w:rPr>
          <w:rFonts w:hint="eastAsia" w:cs="仿宋_GB2312"/>
          <w:b w:val="0"/>
          <w:bCs w:val="0"/>
          <w:color w:val="auto"/>
          <w:kern w:val="2"/>
          <w:sz w:val="32"/>
          <w:szCs w:val="32"/>
          <w:lang w:val="en-US" w:eastAsia="zh-CN" w:bidi="ar-SA"/>
        </w:rPr>
        <w:t>市知识产权局相关会议</w:t>
      </w:r>
      <w:r>
        <w:rPr>
          <w:rFonts w:hint="default"/>
          <w:color w:val="auto"/>
          <w:lang w:val="en-US" w:eastAsia="zh-CN"/>
        </w:rPr>
        <w:t>审议</w:t>
      </w:r>
      <w:r>
        <w:rPr>
          <w:rFonts w:hint="eastAsia"/>
          <w:color w:val="auto"/>
          <w:lang w:val="en-US" w:eastAsia="zh-CN"/>
        </w:rPr>
        <w:t>，可适当延长资金到位周期。</w:t>
      </w:r>
    </w:p>
    <w:p>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第十九条</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资金配置要求</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扶持资金配置应提高科学性，优化存量、控制增量，加强统筹管理，确保资金精准投向项目核心环节，提高使用效益。</w:t>
      </w:r>
    </w:p>
    <w:p>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p>
    <w:p>
      <w:pPr>
        <w:pStyle w:val="2"/>
        <w:keepNext/>
        <w:keepLines/>
        <w:pageBreakBefore w:val="0"/>
        <w:widowControl w:val="0"/>
        <w:kinsoku/>
        <w:wordWrap/>
        <w:overflowPunct/>
        <w:topLinePunct/>
        <w:autoSpaceDE/>
        <w:autoSpaceDN/>
        <w:bidi w:val="0"/>
        <w:adjustRightInd/>
        <w:snapToGrid/>
        <w:spacing w:before="0" w:after="0" w:line="560" w:lineRule="exact"/>
        <w:ind w:firstLine="0" w:firstLineChars="0"/>
        <w:jc w:val="center"/>
        <w:textAlignment w:val="auto"/>
        <w:rPr>
          <w:rFonts w:hint="eastAsia" w:ascii="仿宋_GB2312" w:hAnsi="仿宋_GB2312" w:eastAsia="仿宋_GB2312" w:cs="仿宋_GB2312"/>
          <w:color w:val="auto"/>
          <w:szCs w:val="32"/>
          <w:lang w:val="en-US" w:eastAsia="zh-CN"/>
        </w:rPr>
      </w:pPr>
      <w:r>
        <w:rPr>
          <w:rFonts w:hint="eastAsia"/>
          <w:color w:val="auto"/>
          <w:lang w:val="en-US" w:eastAsia="zh-CN"/>
        </w:rPr>
        <w:t>第四章 监督与责任</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第二十条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预算绩效管理</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市知识产权局按照全面实施预算绩效管理要求，落实预算绩效管理主体责任，建立健全全过程预算绩效管理机制，科学合理设定绩效目标，组织开展绩效运行监控、绩效自评和部门绩效评价，强化绩效结果运用，做好绩效信息公开。绩效评价结果作为后续项目申报资格的重要依据。</w:t>
      </w:r>
    </w:p>
    <w:p>
      <w:pPr>
        <w:pStyle w:val="6"/>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第二十一条</w:t>
      </w:r>
      <w:r>
        <w:rPr>
          <w:rFonts w:hint="eastAsia"/>
          <w:color w:val="auto"/>
          <w:lang w:val="en-US" w:eastAsia="zh-CN"/>
        </w:rPr>
        <w:t xml:space="preserve"> </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不予资助情形</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项目申报单位存在下列情形之一的，不予或停止资金扶持，已支付的款项应当退回：</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（一）不符合相关法律法规和本办法及配套文件要求的；</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（二）申报项目未通过验收的；</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（三）任意一笔资金拨付前列入</w:t>
      </w:r>
      <w:r>
        <w:rPr>
          <w:rFonts w:hint="eastAsia"/>
          <w:lang w:val="en-US" w:eastAsia="zh-CN"/>
        </w:rPr>
        <w:t>严重失信主体名单</w:t>
      </w:r>
      <w:r>
        <w:rPr>
          <w:rFonts w:hint="eastAsia"/>
          <w:color w:val="auto"/>
          <w:lang w:val="en-US" w:eastAsia="zh-CN"/>
        </w:rPr>
        <w:t>的；</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（四）已进入破产清算程序的；</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（五）两年内有</w:t>
      </w:r>
      <w:r>
        <w:rPr>
          <w:rFonts w:hint="eastAsia"/>
          <w:lang w:val="en-US" w:eastAsia="zh-CN"/>
        </w:rPr>
        <w:t>严重违法行为</w:t>
      </w:r>
      <w:r>
        <w:rPr>
          <w:rFonts w:hint="eastAsia"/>
          <w:color w:val="auto"/>
          <w:lang w:val="en-US" w:eastAsia="zh-CN"/>
        </w:rPr>
        <w:t>的；</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color w:val="auto"/>
          <w:lang w:val="en-US" w:eastAsia="zh-CN"/>
        </w:rPr>
        <w:t>（六）其他不符合资金扶持的情形。</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lang w:val="en-US" w:eastAsia="zh-CN" w:bidi="ar-SA"/>
        </w:rPr>
      </w:pPr>
      <w:r>
        <w:rPr>
          <w:rFonts w:hint="eastAsia"/>
          <w:color w:val="auto"/>
          <w:lang w:val="en-US" w:eastAsia="zh-CN"/>
        </w:rPr>
        <w:t xml:space="preserve"> </w:t>
      </w:r>
      <w:r>
        <w:rPr>
          <w:rFonts w:hint="eastAsia" w:ascii="黑体" w:hAnsi="黑体" w:eastAsia="黑体" w:cs="黑体"/>
          <w:b w:val="0"/>
          <w:bCs w:val="0"/>
          <w:color w:val="auto"/>
          <w:kern w:val="2"/>
          <w:sz w:val="32"/>
          <w:szCs w:val="32"/>
          <w:lang w:val="en-US" w:eastAsia="zh-CN" w:bidi="ar-SA"/>
        </w:rPr>
        <w:t>第二十二条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监督管理</w:t>
      </w:r>
      <w:r>
        <w:rPr>
          <w:rFonts w:hint="eastAsia" w:ascii="仿宋_GB2312" w:hAnsi="仿宋_GB2312" w:eastAsia="仿宋_GB2312" w:cs="仿宋_GB2312"/>
          <w:color w:val="auto"/>
          <w:kern w:val="2"/>
          <w:sz w:val="32"/>
          <w:szCs w:val="32"/>
          <w:lang w:val="en-US" w:eastAsia="zh-CN" w:bidi="ar-SA"/>
        </w:rPr>
        <w:t>】获得扶持资金的单位</w:t>
      </w:r>
      <w:r>
        <w:rPr>
          <w:rFonts w:hint="eastAsia" w:cs="仿宋_GB2312"/>
          <w:color w:val="auto"/>
          <w:kern w:val="2"/>
          <w:sz w:val="32"/>
          <w:szCs w:val="32"/>
          <w:lang w:val="en-US" w:eastAsia="zh-CN" w:bidi="ar-SA"/>
        </w:rPr>
        <w:t>应</w:t>
      </w:r>
      <w:r>
        <w:rPr>
          <w:rFonts w:hint="eastAsia" w:ascii="仿宋_GB2312" w:hAnsi="仿宋_GB2312" w:eastAsia="仿宋_GB2312" w:cs="仿宋_GB2312"/>
          <w:color w:val="auto"/>
          <w:kern w:val="2"/>
          <w:sz w:val="32"/>
          <w:szCs w:val="32"/>
          <w:lang w:val="en-US" w:eastAsia="zh-CN" w:bidi="ar-SA"/>
        </w:rPr>
        <w:t>严格执行本办法，对项目实施和资金使用负责，</w:t>
      </w:r>
      <w:r>
        <w:rPr>
          <w:rFonts w:hint="eastAsia"/>
          <w:color w:val="auto"/>
          <w:lang w:val="en-US" w:eastAsia="zh-CN"/>
        </w:rPr>
        <w:t>将扶持资金纳入本单位财务统一管理，</w:t>
      </w:r>
      <w:r>
        <w:rPr>
          <w:rFonts w:hint="eastAsia" w:ascii="仿宋_GB2312" w:hAnsi="仿宋_GB2312" w:eastAsia="仿宋_GB2312" w:cs="仿宋_GB2312"/>
          <w:color w:val="auto"/>
          <w:kern w:val="2"/>
          <w:sz w:val="32"/>
          <w:szCs w:val="32"/>
          <w:lang w:val="en-US" w:eastAsia="zh-CN" w:bidi="ar-SA"/>
        </w:rPr>
        <w:t>加强</w:t>
      </w:r>
      <w:r>
        <w:rPr>
          <w:rFonts w:hint="eastAsia" w:cs="仿宋_GB2312"/>
          <w:color w:val="auto"/>
          <w:kern w:val="2"/>
          <w:sz w:val="32"/>
          <w:szCs w:val="32"/>
          <w:lang w:val="en-US" w:eastAsia="zh-CN" w:bidi="ar-SA"/>
        </w:rPr>
        <w:t>风险控制</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确保专款专用，并接受财政、审计、银行、监察等部门的监督检查。</w:t>
      </w:r>
      <w:r>
        <w:rPr>
          <w:rFonts w:hint="eastAsia" w:ascii="仿宋_GB2312" w:hAnsi="仿宋_GB2312" w:eastAsia="仿宋_GB2312" w:cs="仿宋_GB2312"/>
          <w:color w:val="auto"/>
          <w:kern w:val="2"/>
          <w:sz w:val="32"/>
          <w:szCs w:val="32"/>
          <w:lang w:val="en-US" w:eastAsia="zh-CN" w:bidi="ar-SA"/>
        </w:rPr>
        <w:t>根据市知识产权局管理要求，配合做好结项验收、审计、绩效评价等相关工作</w:t>
      </w:r>
      <w:r>
        <w:rPr>
          <w:rFonts w:hint="eastAsia"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并提供相应材料。</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第二十三条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违规处理</w:t>
      </w:r>
      <w:r>
        <w:rPr>
          <w:rFonts w:hint="eastAsia" w:ascii="仿宋_GB2312" w:hAnsi="仿宋_GB2312" w:eastAsia="仿宋_GB2312" w:cs="仿宋_GB2312"/>
          <w:color w:val="auto"/>
          <w:kern w:val="2"/>
          <w:sz w:val="32"/>
          <w:szCs w:val="32"/>
          <w:lang w:val="en-US" w:eastAsia="zh-CN" w:bidi="ar-SA"/>
        </w:rPr>
        <w:t>】获得扶持资金</w:t>
      </w:r>
      <w:r>
        <w:rPr>
          <w:rFonts w:hint="eastAsia"/>
          <w:color w:val="auto"/>
          <w:lang w:val="en-US" w:eastAsia="zh-CN"/>
        </w:rPr>
        <w:t>的单位应对提交材料的真实性、合法性、有效性负责，以虚报、冒领等手段骗取扶持资金的，一经查实，终止项目并追回已获扶持资金，按照有关法律法规追究相应责任，同时将相关情况纳入信用档案管理，5年内不得享受本办法规定的资金扶持；涉嫌犯罪的，移送司法机关依法处理。</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r>
        <w:rPr>
          <w:rFonts w:hint="eastAsia" w:ascii="黑体" w:hAnsi="黑体" w:eastAsia="黑体" w:cs="黑体"/>
          <w:b w:val="0"/>
          <w:bCs w:val="0"/>
          <w:color w:val="auto"/>
          <w:kern w:val="2"/>
          <w:sz w:val="32"/>
          <w:szCs w:val="32"/>
          <w:lang w:val="en-US" w:eastAsia="zh-CN" w:bidi="ar-SA"/>
        </w:rPr>
        <w:t>第二十四条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责任追究</w:t>
      </w:r>
      <w:r>
        <w:rPr>
          <w:rFonts w:hint="eastAsia" w:ascii="仿宋_GB2312" w:hAnsi="仿宋_GB2312" w:eastAsia="仿宋_GB2312" w:cs="仿宋_GB2312"/>
          <w:color w:val="auto"/>
          <w:kern w:val="2"/>
          <w:sz w:val="32"/>
          <w:szCs w:val="32"/>
          <w:lang w:val="en-US" w:eastAsia="zh-CN" w:bidi="ar-SA"/>
        </w:rPr>
        <w:t>】</w:t>
      </w:r>
      <w:r>
        <w:rPr>
          <w:rFonts w:hint="eastAsia"/>
          <w:color w:val="auto"/>
          <w:lang w:val="en-US" w:eastAsia="zh-CN"/>
        </w:rPr>
        <w:t>业务主管处室和单位及其工作人员在扶持资金项目审核、资金分配、项目执行过程中，存在违反本办法规定以及其他滥用职权、玩忽职守、徇私舞弊等违法违纪行为的，按照国家有关法律法规追究相应责任；情节严重涉嫌犯罪的，移送司法机关依法处理。</w:t>
      </w:r>
    </w:p>
    <w:p>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color w:val="auto"/>
          <w:lang w:val="en-US" w:eastAsia="zh-CN"/>
        </w:rPr>
      </w:pPr>
    </w:p>
    <w:p>
      <w:pPr>
        <w:keepNext w:val="0"/>
        <w:keepLines w:val="0"/>
        <w:pageBreakBefore w:val="0"/>
        <w:widowControl w:val="0"/>
        <w:kinsoku/>
        <w:wordWrap/>
        <w:overflowPunct/>
        <w:topLinePunct/>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val="en-US" w:eastAsia="zh-CN"/>
        </w:rPr>
        <w:t>第五章 附则</w:t>
      </w:r>
    </w:p>
    <w:p>
      <w:pPr>
        <w:keepNext w:val="0"/>
        <w:keepLines w:val="0"/>
        <w:pageBreakBefore w:val="0"/>
        <w:widowControl w:val="0"/>
        <w:kinsoku/>
        <w:wordWrap/>
        <w:overflowPunct/>
        <w:topLinePunct/>
        <w:autoSpaceDE/>
        <w:autoSpaceDN/>
        <w:bidi w:val="0"/>
        <w:adjustRightInd/>
        <w:snapToGrid/>
        <w:spacing w:line="560" w:lineRule="exact"/>
        <w:textAlignment w:val="auto"/>
        <w:rPr>
          <w:rFonts w:hint="default"/>
          <w:color w:val="auto"/>
          <w:lang w:val="en-US" w:eastAsia="zh-CN"/>
        </w:rPr>
      </w:pPr>
      <w:r>
        <w:rPr>
          <w:rFonts w:hint="eastAsia" w:ascii="黑体" w:hAnsi="黑体" w:eastAsia="黑体" w:cs="黑体"/>
          <w:b w:val="0"/>
          <w:bCs w:val="0"/>
          <w:color w:val="auto"/>
          <w:kern w:val="2"/>
          <w:sz w:val="32"/>
          <w:szCs w:val="32"/>
          <w:lang w:val="en-US" w:eastAsia="zh-CN" w:bidi="ar-SA"/>
        </w:rPr>
        <w:t>第二十五条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解释权</w:t>
      </w:r>
      <w:r>
        <w:rPr>
          <w:rFonts w:hint="eastAsia"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sz w:val="32"/>
          <w:szCs w:val="32"/>
          <w:lang w:val="en-US" w:eastAsia="zh-CN"/>
        </w:rPr>
        <w:t>本</w:t>
      </w:r>
      <w:r>
        <w:rPr>
          <w:rFonts w:hint="eastAsia" w:cs="仿宋_GB2312"/>
          <w:color w:val="auto"/>
          <w:sz w:val="32"/>
          <w:szCs w:val="32"/>
          <w:lang w:val="en-US" w:eastAsia="zh-CN"/>
        </w:rPr>
        <w:t>办法由市知识产权局</w:t>
      </w:r>
      <w:r>
        <w:rPr>
          <w:rFonts w:hint="eastAsia" w:ascii="仿宋_GB2312" w:hAnsi="仿宋_GB2312" w:eastAsia="仿宋_GB2312" w:cs="仿宋_GB2312"/>
          <w:color w:val="auto"/>
          <w:sz w:val="32"/>
          <w:szCs w:val="32"/>
          <w:lang w:val="en-US" w:eastAsia="zh-CN"/>
        </w:rPr>
        <w:t>负责解释。</w:t>
      </w:r>
    </w:p>
    <w:p>
      <w:pPr>
        <w:keepNext w:val="0"/>
        <w:keepLines w:val="0"/>
        <w:pageBreakBefore w:val="0"/>
        <w:widowControl w:val="0"/>
        <w:kinsoku/>
        <w:wordWrap/>
        <w:overflowPunct/>
        <w:topLinePunct/>
        <w:autoSpaceDE/>
        <w:autoSpaceDN/>
        <w:bidi w:val="0"/>
        <w:adjustRightInd/>
        <w:snapToGrid/>
        <w:spacing w:line="560" w:lineRule="exact"/>
        <w:textAlignment w:val="auto"/>
        <w:rPr>
          <w:rFonts w:hint="default" w:cs="仿宋_GB2312"/>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第二十六条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施行日期</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sz w:val="32"/>
          <w:szCs w:val="32"/>
          <w:lang w:val="en-US" w:eastAsia="zh-CN"/>
        </w:rPr>
        <w:t>本办法自印发之日起施行，有效期5年。</w:t>
      </w:r>
      <w:r>
        <w:rPr>
          <w:rFonts w:hint="default" w:cs="仿宋_GB2312"/>
          <w:color w:val="auto"/>
          <w:sz w:val="32"/>
          <w:szCs w:val="32"/>
          <w:lang w:val="en-US" w:eastAsia="zh-CN"/>
        </w:rPr>
        <w:t>此前相关文件规定与本办法不一致的，以本办法为准。</w:t>
      </w:r>
    </w:p>
    <w:p>
      <w:pPr>
        <w:keepNext w:val="0"/>
        <w:keepLines w:val="0"/>
        <w:pageBreakBefore w:val="0"/>
        <w:widowControl w:val="0"/>
        <w:kinsoku/>
        <w:wordWrap/>
        <w:overflowPunct/>
        <w:topLinePunct/>
        <w:autoSpaceDE/>
        <w:autoSpaceDN/>
        <w:bidi w:val="0"/>
        <w:adjustRightInd/>
        <w:snapToGrid/>
        <w:spacing w:line="560" w:lineRule="exact"/>
        <w:textAlignment w:val="auto"/>
        <w:rPr>
          <w:rFonts w:hint="default"/>
          <w:color w:val="auto"/>
          <w:lang w:val="en-US" w:eastAsia="zh-CN"/>
        </w:rPr>
      </w:pPr>
      <w:r>
        <w:rPr>
          <w:rFonts w:hint="eastAsia" w:ascii="黑体" w:hAnsi="黑体" w:eastAsia="黑体" w:cs="黑体"/>
          <w:b w:val="0"/>
          <w:bCs w:val="0"/>
          <w:color w:val="auto"/>
          <w:kern w:val="2"/>
          <w:sz w:val="32"/>
          <w:szCs w:val="32"/>
          <w:lang w:val="en-US" w:eastAsia="zh-CN" w:bidi="ar-SA"/>
        </w:rPr>
        <w:t>第二十七条</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政策衔接</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sz w:val="32"/>
          <w:szCs w:val="32"/>
          <w:lang w:val="en-US" w:eastAsia="zh-CN"/>
        </w:rPr>
        <w:t>本办法实施过程中，因国家有关政策规定调整而产生不一致的，以国家有关政策规定为准。</w:t>
      </w:r>
    </w:p>
    <w:sectPr>
      <w:footerReference r:id="rId5" w:type="default"/>
      <w:pgSz w:w="11906" w:h="16838"/>
      <w:pgMar w:top="1723" w:right="1746" w:bottom="1383" w:left="1746" w:header="851" w:footer="992" w:gutter="0"/>
      <w:pgNumType w:fmt="numberInDash" w:start="1"/>
      <w:cols w:space="0" w:num="1"/>
      <w:rtlGutter w:val="0"/>
      <w:docGrid w:type="lines" w:linePitch="44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color w:val="auto"/>
                              <w:sz w:val="28"/>
                              <w:szCs w:val="52"/>
                            </w:rPr>
                          </w:pPr>
                          <w:r>
                            <w:rPr>
                              <w:color w:val="auto"/>
                              <w:sz w:val="28"/>
                              <w:szCs w:val="52"/>
                            </w:rPr>
                            <w:fldChar w:fldCharType="begin"/>
                          </w:r>
                          <w:r>
                            <w:rPr>
                              <w:color w:val="auto"/>
                              <w:sz w:val="28"/>
                              <w:szCs w:val="52"/>
                            </w:rPr>
                            <w:instrText xml:space="preserve"> PAGE  \* MERGEFORMAT </w:instrText>
                          </w:r>
                          <w:r>
                            <w:rPr>
                              <w:color w:val="auto"/>
                              <w:sz w:val="28"/>
                              <w:szCs w:val="52"/>
                            </w:rPr>
                            <w:fldChar w:fldCharType="separate"/>
                          </w:r>
                          <w:r>
                            <w:rPr>
                              <w:color w:val="auto"/>
                              <w:sz w:val="28"/>
                              <w:szCs w:val="52"/>
                            </w:rPr>
                            <w:t>1</w:t>
                          </w:r>
                          <w:r>
                            <w:rPr>
                              <w:color w:val="auto"/>
                              <w:sz w:val="28"/>
                              <w:szCs w:val="52"/>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9"/>
                      <w:rPr>
                        <w:color w:val="auto"/>
                        <w:sz w:val="28"/>
                        <w:szCs w:val="52"/>
                      </w:rPr>
                    </w:pPr>
                    <w:r>
                      <w:rPr>
                        <w:color w:val="auto"/>
                        <w:sz w:val="28"/>
                        <w:szCs w:val="52"/>
                      </w:rPr>
                      <w:fldChar w:fldCharType="begin"/>
                    </w:r>
                    <w:r>
                      <w:rPr>
                        <w:color w:val="auto"/>
                        <w:sz w:val="28"/>
                        <w:szCs w:val="52"/>
                      </w:rPr>
                      <w:instrText xml:space="preserve"> PAGE  \* MERGEFORMAT </w:instrText>
                    </w:r>
                    <w:r>
                      <w:rPr>
                        <w:color w:val="auto"/>
                        <w:sz w:val="28"/>
                        <w:szCs w:val="52"/>
                      </w:rPr>
                      <w:fldChar w:fldCharType="separate"/>
                    </w:r>
                    <w:r>
                      <w:rPr>
                        <w:color w:val="auto"/>
                        <w:sz w:val="28"/>
                        <w:szCs w:val="52"/>
                      </w:rPr>
                      <w:t>1</w:t>
                    </w:r>
                    <w:r>
                      <w:rPr>
                        <w:color w:val="auto"/>
                        <w:sz w:val="28"/>
                        <w:szCs w:val="5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embedSystemFonts/>
  <w:bordersDoNotSurroundHeader w:val="false"/>
  <w:bordersDoNotSurroundFooter w:val="false"/>
  <w:documentProtection w:enforcement="0"/>
  <w:defaultTabStop w:val="420"/>
  <w:drawingGridVerticalSpacing w:val="221"/>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F73C9"/>
    <w:rsid w:val="00826B49"/>
    <w:rsid w:val="00B97330"/>
    <w:rsid w:val="014948E7"/>
    <w:rsid w:val="01736DC2"/>
    <w:rsid w:val="0288552A"/>
    <w:rsid w:val="02B5218A"/>
    <w:rsid w:val="03513695"/>
    <w:rsid w:val="03DB3612"/>
    <w:rsid w:val="04206073"/>
    <w:rsid w:val="04CE1CCA"/>
    <w:rsid w:val="055A55B4"/>
    <w:rsid w:val="067B75D2"/>
    <w:rsid w:val="06982109"/>
    <w:rsid w:val="06DD49EE"/>
    <w:rsid w:val="06E85D06"/>
    <w:rsid w:val="07442078"/>
    <w:rsid w:val="076113D3"/>
    <w:rsid w:val="07726CDC"/>
    <w:rsid w:val="07EE7D74"/>
    <w:rsid w:val="07F31A87"/>
    <w:rsid w:val="088866C4"/>
    <w:rsid w:val="08ED4280"/>
    <w:rsid w:val="096B7D90"/>
    <w:rsid w:val="099D5F6E"/>
    <w:rsid w:val="09D767D1"/>
    <w:rsid w:val="0A23066B"/>
    <w:rsid w:val="0A550FB4"/>
    <w:rsid w:val="0AC251DD"/>
    <w:rsid w:val="0AD6392F"/>
    <w:rsid w:val="0B0161B1"/>
    <w:rsid w:val="0B2C2A66"/>
    <w:rsid w:val="0B326D67"/>
    <w:rsid w:val="0BBF4C07"/>
    <w:rsid w:val="0BF4406D"/>
    <w:rsid w:val="0CFC4B4C"/>
    <w:rsid w:val="0D1644B7"/>
    <w:rsid w:val="0D5B4C65"/>
    <w:rsid w:val="0E1C5AFD"/>
    <w:rsid w:val="0E250BFD"/>
    <w:rsid w:val="0E2714DC"/>
    <w:rsid w:val="0F115977"/>
    <w:rsid w:val="0FB713F2"/>
    <w:rsid w:val="0FB754DE"/>
    <w:rsid w:val="0FD3043D"/>
    <w:rsid w:val="0FDFC5A3"/>
    <w:rsid w:val="0FF9547A"/>
    <w:rsid w:val="10AB148B"/>
    <w:rsid w:val="10D655CE"/>
    <w:rsid w:val="11DA241F"/>
    <w:rsid w:val="125F2A05"/>
    <w:rsid w:val="12B836C2"/>
    <w:rsid w:val="12F232D0"/>
    <w:rsid w:val="13052885"/>
    <w:rsid w:val="136979F6"/>
    <w:rsid w:val="13980783"/>
    <w:rsid w:val="13E93015"/>
    <w:rsid w:val="13E946D3"/>
    <w:rsid w:val="142F0AA5"/>
    <w:rsid w:val="14424448"/>
    <w:rsid w:val="147E306D"/>
    <w:rsid w:val="1494463F"/>
    <w:rsid w:val="154812ED"/>
    <w:rsid w:val="15B37C6D"/>
    <w:rsid w:val="15DFA738"/>
    <w:rsid w:val="15FB7C4F"/>
    <w:rsid w:val="15FF5772"/>
    <w:rsid w:val="164333B5"/>
    <w:rsid w:val="16783AEC"/>
    <w:rsid w:val="16AFCC92"/>
    <w:rsid w:val="16EBB760"/>
    <w:rsid w:val="16EF05E8"/>
    <w:rsid w:val="172E6DBA"/>
    <w:rsid w:val="17EBB013"/>
    <w:rsid w:val="18433B55"/>
    <w:rsid w:val="1848606E"/>
    <w:rsid w:val="18602A8A"/>
    <w:rsid w:val="189548E4"/>
    <w:rsid w:val="18C6340A"/>
    <w:rsid w:val="18E7DEC7"/>
    <w:rsid w:val="18F57676"/>
    <w:rsid w:val="198B3B37"/>
    <w:rsid w:val="19F7ED74"/>
    <w:rsid w:val="1A90544E"/>
    <w:rsid w:val="1B554923"/>
    <w:rsid w:val="1B7FDC99"/>
    <w:rsid w:val="1B9157F8"/>
    <w:rsid w:val="1BA04D19"/>
    <w:rsid w:val="1C411D38"/>
    <w:rsid w:val="1C4A5F2B"/>
    <w:rsid w:val="1C6E39C8"/>
    <w:rsid w:val="1C9F8C98"/>
    <w:rsid w:val="1CAD46D9"/>
    <w:rsid w:val="1D030852"/>
    <w:rsid w:val="1D9F7E11"/>
    <w:rsid w:val="1DA70D45"/>
    <w:rsid w:val="1DC31AF1"/>
    <w:rsid w:val="1DF7160D"/>
    <w:rsid w:val="1DF8224F"/>
    <w:rsid w:val="1E312EFF"/>
    <w:rsid w:val="1E691CFF"/>
    <w:rsid w:val="1EE241F9"/>
    <w:rsid w:val="1EF778BE"/>
    <w:rsid w:val="1F1BF66D"/>
    <w:rsid w:val="1F3BE905"/>
    <w:rsid w:val="1F4F6592"/>
    <w:rsid w:val="1F7C1320"/>
    <w:rsid w:val="1F7E03C6"/>
    <w:rsid w:val="1FAF6801"/>
    <w:rsid w:val="1FFA214A"/>
    <w:rsid w:val="201410E6"/>
    <w:rsid w:val="20887022"/>
    <w:rsid w:val="209A6C3A"/>
    <w:rsid w:val="20BE3BC3"/>
    <w:rsid w:val="20FE750F"/>
    <w:rsid w:val="21042B4C"/>
    <w:rsid w:val="21086D82"/>
    <w:rsid w:val="2170453F"/>
    <w:rsid w:val="217A2E0F"/>
    <w:rsid w:val="21EA007E"/>
    <w:rsid w:val="21EB5ABA"/>
    <w:rsid w:val="22B10E24"/>
    <w:rsid w:val="2449021B"/>
    <w:rsid w:val="24D001D4"/>
    <w:rsid w:val="25BE472C"/>
    <w:rsid w:val="27190E26"/>
    <w:rsid w:val="282C1F78"/>
    <w:rsid w:val="28352183"/>
    <w:rsid w:val="28936238"/>
    <w:rsid w:val="28947D38"/>
    <w:rsid w:val="29357695"/>
    <w:rsid w:val="29951356"/>
    <w:rsid w:val="2A1A7979"/>
    <w:rsid w:val="2A6C41AC"/>
    <w:rsid w:val="2A6C67D4"/>
    <w:rsid w:val="2A727F16"/>
    <w:rsid w:val="2AF33EA1"/>
    <w:rsid w:val="2AFF548C"/>
    <w:rsid w:val="2B38473C"/>
    <w:rsid w:val="2B6932D3"/>
    <w:rsid w:val="2B725D38"/>
    <w:rsid w:val="2BBA3532"/>
    <w:rsid w:val="2BFE7666"/>
    <w:rsid w:val="2C063C1D"/>
    <w:rsid w:val="2C4464F3"/>
    <w:rsid w:val="2C730B86"/>
    <w:rsid w:val="2CFC6B59"/>
    <w:rsid w:val="2D00063B"/>
    <w:rsid w:val="2D75A847"/>
    <w:rsid w:val="2D8A367D"/>
    <w:rsid w:val="2E5E2641"/>
    <w:rsid w:val="2E8B7063"/>
    <w:rsid w:val="2EB778AC"/>
    <w:rsid w:val="2EDB63C3"/>
    <w:rsid w:val="2F195BC6"/>
    <w:rsid w:val="2F7B1009"/>
    <w:rsid w:val="2FA365B9"/>
    <w:rsid w:val="2FFD0E22"/>
    <w:rsid w:val="30884130"/>
    <w:rsid w:val="30D2231F"/>
    <w:rsid w:val="31206A60"/>
    <w:rsid w:val="314FF7FC"/>
    <w:rsid w:val="31E90558"/>
    <w:rsid w:val="326316BD"/>
    <w:rsid w:val="337C2272"/>
    <w:rsid w:val="33BA42C0"/>
    <w:rsid w:val="33E30E2E"/>
    <w:rsid w:val="33FE7257"/>
    <w:rsid w:val="346F4329"/>
    <w:rsid w:val="34815AEF"/>
    <w:rsid w:val="34900C6B"/>
    <w:rsid w:val="34B94E5D"/>
    <w:rsid w:val="355A7265"/>
    <w:rsid w:val="357A72AD"/>
    <w:rsid w:val="359C114E"/>
    <w:rsid w:val="360D31AB"/>
    <w:rsid w:val="36146F36"/>
    <w:rsid w:val="36DDBFCD"/>
    <w:rsid w:val="36E903C3"/>
    <w:rsid w:val="36F65934"/>
    <w:rsid w:val="371545F7"/>
    <w:rsid w:val="3767F670"/>
    <w:rsid w:val="376D5A8E"/>
    <w:rsid w:val="37CB5932"/>
    <w:rsid w:val="37E573FD"/>
    <w:rsid w:val="37F012DD"/>
    <w:rsid w:val="38226FBF"/>
    <w:rsid w:val="384D5F7F"/>
    <w:rsid w:val="39131727"/>
    <w:rsid w:val="391B270E"/>
    <w:rsid w:val="391E08A6"/>
    <w:rsid w:val="39727BE4"/>
    <w:rsid w:val="39BC1265"/>
    <w:rsid w:val="3AA615FA"/>
    <w:rsid w:val="3ABF1273"/>
    <w:rsid w:val="3AF22D0E"/>
    <w:rsid w:val="3AFE1F63"/>
    <w:rsid w:val="3B3D6F2F"/>
    <w:rsid w:val="3B7F2997"/>
    <w:rsid w:val="3B8F7A7D"/>
    <w:rsid w:val="3BA15C6B"/>
    <w:rsid w:val="3BBDBEAA"/>
    <w:rsid w:val="3BEE0229"/>
    <w:rsid w:val="3C1934F8"/>
    <w:rsid w:val="3C9EF13B"/>
    <w:rsid w:val="3CB26F90"/>
    <w:rsid w:val="3CB43221"/>
    <w:rsid w:val="3CED9F33"/>
    <w:rsid w:val="3CF8FA6C"/>
    <w:rsid w:val="3D2FA1FA"/>
    <w:rsid w:val="3D4E6FD8"/>
    <w:rsid w:val="3D504CF4"/>
    <w:rsid w:val="3D7D7AB7"/>
    <w:rsid w:val="3E174C57"/>
    <w:rsid w:val="3E7C7AA0"/>
    <w:rsid w:val="3E7F3FC1"/>
    <w:rsid w:val="3E7FCC91"/>
    <w:rsid w:val="3E8F1ECB"/>
    <w:rsid w:val="3EAFF8F2"/>
    <w:rsid w:val="3ED43706"/>
    <w:rsid w:val="3EE34B37"/>
    <w:rsid w:val="3EFBB0FF"/>
    <w:rsid w:val="3EFF33F9"/>
    <w:rsid w:val="3F6B6E00"/>
    <w:rsid w:val="3F8F2EC6"/>
    <w:rsid w:val="3F9B84A0"/>
    <w:rsid w:val="3FB79AE0"/>
    <w:rsid w:val="3FC724D2"/>
    <w:rsid w:val="3FDD5716"/>
    <w:rsid w:val="3FE28AB4"/>
    <w:rsid w:val="3FEBCCDC"/>
    <w:rsid w:val="3FF33BB8"/>
    <w:rsid w:val="3FF74EBA"/>
    <w:rsid w:val="3FF7F020"/>
    <w:rsid w:val="3FFABCB4"/>
    <w:rsid w:val="4014414F"/>
    <w:rsid w:val="40404C9C"/>
    <w:rsid w:val="40D54D99"/>
    <w:rsid w:val="40EF5548"/>
    <w:rsid w:val="411840F8"/>
    <w:rsid w:val="41E0516D"/>
    <w:rsid w:val="42213239"/>
    <w:rsid w:val="42277FF1"/>
    <w:rsid w:val="423574CD"/>
    <w:rsid w:val="4253528A"/>
    <w:rsid w:val="427F375F"/>
    <w:rsid w:val="43412AFC"/>
    <w:rsid w:val="4372617F"/>
    <w:rsid w:val="43843040"/>
    <w:rsid w:val="438751EB"/>
    <w:rsid w:val="44380293"/>
    <w:rsid w:val="44635EE7"/>
    <w:rsid w:val="45421F84"/>
    <w:rsid w:val="45A100BA"/>
    <w:rsid w:val="46213A4C"/>
    <w:rsid w:val="46395C05"/>
    <w:rsid w:val="466451B2"/>
    <w:rsid w:val="46B470E2"/>
    <w:rsid w:val="46D31926"/>
    <w:rsid w:val="47305B9A"/>
    <w:rsid w:val="474D4056"/>
    <w:rsid w:val="47584820"/>
    <w:rsid w:val="476D1911"/>
    <w:rsid w:val="477E19A4"/>
    <w:rsid w:val="47FFC592"/>
    <w:rsid w:val="483A2895"/>
    <w:rsid w:val="485C1771"/>
    <w:rsid w:val="489606D1"/>
    <w:rsid w:val="49042511"/>
    <w:rsid w:val="4A192915"/>
    <w:rsid w:val="4A4D25BF"/>
    <w:rsid w:val="4A4E4588"/>
    <w:rsid w:val="4A5751EC"/>
    <w:rsid w:val="4A897A9B"/>
    <w:rsid w:val="4AA80073"/>
    <w:rsid w:val="4ABD676B"/>
    <w:rsid w:val="4AFE7327"/>
    <w:rsid w:val="4B3F63AB"/>
    <w:rsid w:val="4B6422B6"/>
    <w:rsid w:val="4B660DD4"/>
    <w:rsid w:val="4B6B5F0A"/>
    <w:rsid w:val="4BAE51E9"/>
    <w:rsid w:val="4BD85EBF"/>
    <w:rsid w:val="4C4B7650"/>
    <w:rsid w:val="4CF03E83"/>
    <w:rsid w:val="4CF72F1F"/>
    <w:rsid w:val="4D88228C"/>
    <w:rsid w:val="4DFFC292"/>
    <w:rsid w:val="4E123842"/>
    <w:rsid w:val="4E3356C1"/>
    <w:rsid w:val="4ED938A6"/>
    <w:rsid w:val="4F4119F1"/>
    <w:rsid w:val="4F870321"/>
    <w:rsid w:val="4F923D91"/>
    <w:rsid w:val="4FC7696F"/>
    <w:rsid w:val="4FF742C7"/>
    <w:rsid w:val="505505EB"/>
    <w:rsid w:val="507C629B"/>
    <w:rsid w:val="50AE034C"/>
    <w:rsid w:val="50AF2B04"/>
    <w:rsid w:val="50BC06E7"/>
    <w:rsid w:val="50DC04EE"/>
    <w:rsid w:val="511C3DE5"/>
    <w:rsid w:val="514B3CFC"/>
    <w:rsid w:val="51E36061"/>
    <w:rsid w:val="51FED7AB"/>
    <w:rsid w:val="52950642"/>
    <w:rsid w:val="52F537F4"/>
    <w:rsid w:val="535639A4"/>
    <w:rsid w:val="53690723"/>
    <w:rsid w:val="53834143"/>
    <w:rsid w:val="539A143D"/>
    <w:rsid w:val="53B35B89"/>
    <w:rsid w:val="53D77E3E"/>
    <w:rsid w:val="53E64DC3"/>
    <w:rsid w:val="53E97F57"/>
    <w:rsid w:val="53F817ED"/>
    <w:rsid w:val="53FD32A8"/>
    <w:rsid w:val="54443F64"/>
    <w:rsid w:val="54DE09E3"/>
    <w:rsid w:val="55173EF5"/>
    <w:rsid w:val="556C4241"/>
    <w:rsid w:val="558257EB"/>
    <w:rsid w:val="56091348"/>
    <w:rsid w:val="566F31CC"/>
    <w:rsid w:val="56783FB1"/>
    <w:rsid w:val="567FD170"/>
    <w:rsid w:val="56BD7712"/>
    <w:rsid w:val="56C1236A"/>
    <w:rsid w:val="570B5609"/>
    <w:rsid w:val="57337E06"/>
    <w:rsid w:val="57A44166"/>
    <w:rsid w:val="58675B78"/>
    <w:rsid w:val="587AA207"/>
    <w:rsid w:val="591075D9"/>
    <w:rsid w:val="59366081"/>
    <w:rsid w:val="593C31B9"/>
    <w:rsid w:val="59B80C9B"/>
    <w:rsid w:val="59F501B9"/>
    <w:rsid w:val="5A38433B"/>
    <w:rsid w:val="5AA77AC9"/>
    <w:rsid w:val="5AD003A8"/>
    <w:rsid w:val="5B565D1C"/>
    <w:rsid w:val="5B5849FA"/>
    <w:rsid w:val="5B5B5CE7"/>
    <w:rsid w:val="5BBB7CD0"/>
    <w:rsid w:val="5BBE0032"/>
    <w:rsid w:val="5BD462C2"/>
    <w:rsid w:val="5BE718BC"/>
    <w:rsid w:val="5C480089"/>
    <w:rsid w:val="5C9D1184"/>
    <w:rsid w:val="5CAD6AD2"/>
    <w:rsid w:val="5D4F1796"/>
    <w:rsid w:val="5D52005E"/>
    <w:rsid w:val="5D7EA438"/>
    <w:rsid w:val="5DAF7EC3"/>
    <w:rsid w:val="5DB81B30"/>
    <w:rsid w:val="5DBF21B2"/>
    <w:rsid w:val="5DCE1A65"/>
    <w:rsid w:val="5DDC753E"/>
    <w:rsid w:val="5DF39106"/>
    <w:rsid w:val="5E244615"/>
    <w:rsid w:val="5E403254"/>
    <w:rsid w:val="5E5835E2"/>
    <w:rsid w:val="5E73679A"/>
    <w:rsid w:val="5EAFCC69"/>
    <w:rsid w:val="5EEF921E"/>
    <w:rsid w:val="5EFA7CCD"/>
    <w:rsid w:val="5EFEE351"/>
    <w:rsid w:val="5F1E755F"/>
    <w:rsid w:val="5F36FF5F"/>
    <w:rsid w:val="5F7D20B8"/>
    <w:rsid w:val="5F9FE6EB"/>
    <w:rsid w:val="5FA42829"/>
    <w:rsid w:val="5FCB425A"/>
    <w:rsid w:val="5FD600B8"/>
    <w:rsid w:val="5FD75CD4"/>
    <w:rsid w:val="5FDD8089"/>
    <w:rsid w:val="5FED6FB4"/>
    <w:rsid w:val="5FFB9F68"/>
    <w:rsid w:val="5FFC08B7"/>
    <w:rsid w:val="60034DE4"/>
    <w:rsid w:val="60477A6E"/>
    <w:rsid w:val="60525A30"/>
    <w:rsid w:val="607572A4"/>
    <w:rsid w:val="61105D5D"/>
    <w:rsid w:val="620A1E4B"/>
    <w:rsid w:val="62764951"/>
    <w:rsid w:val="62BD60DC"/>
    <w:rsid w:val="62C123EB"/>
    <w:rsid w:val="62C40DFD"/>
    <w:rsid w:val="62C6396E"/>
    <w:rsid w:val="631D6B7A"/>
    <w:rsid w:val="63556555"/>
    <w:rsid w:val="637E4A6A"/>
    <w:rsid w:val="63BB0188"/>
    <w:rsid w:val="63BC7657"/>
    <w:rsid w:val="63BFD95A"/>
    <w:rsid w:val="63F10269"/>
    <w:rsid w:val="63FFD6EB"/>
    <w:rsid w:val="64311FF4"/>
    <w:rsid w:val="64515019"/>
    <w:rsid w:val="64A75F46"/>
    <w:rsid w:val="64CC2606"/>
    <w:rsid w:val="64E6488F"/>
    <w:rsid w:val="652341F0"/>
    <w:rsid w:val="65234692"/>
    <w:rsid w:val="65F7E607"/>
    <w:rsid w:val="66911D59"/>
    <w:rsid w:val="66B273EF"/>
    <w:rsid w:val="670565A4"/>
    <w:rsid w:val="670DD61A"/>
    <w:rsid w:val="674D2378"/>
    <w:rsid w:val="67F943BA"/>
    <w:rsid w:val="683D32A9"/>
    <w:rsid w:val="683F57E5"/>
    <w:rsid w:val="686D1F6F"/>
    <w:rsid w:val="686F7BAE"/>
    <w:rsid w:val="688C1896"/>
    <w:rsid w:val="68E470E5"/>
    <w:rsid w:val="68EE31C6"/>
    <w:rsid w:val="68F64C28"/>
    <w:rsid w:val="696726FD"/>
    <w:rsid w:val="6A0B0046"/>
    <w:rsid w:val="6A163EE8"/>
    <w:rsid w:val="6A5A6CDB"/>
    <w:rsid w:val="6A793EE8"/>
    <w:rsid w:val="6AD96AE2"/>
    <w:rsid w:val="6ADD73F1"/>
    <w:rsid w:val="6B651007"/>
    <w:rsid w:val="6B675D79"/>
    <w:rsid w:val="6B6C68F1"/>
    <w:rsid w:val="6B6D4E21"/>
    <w:rsid w:val="6B723D24"/>
    <w:rsid w:val="6B99BBF0"/>
    <w:rsid w:val="6BEB6A56"/>
    <w:rsid w:val="6BFF7BD8"/>
    <w:rsid w:val="6C5FBD43"/>
    <w:rsid w:val="6C775A78"/>
    <w:rsid w:val="6CFB3396"/>
    <w:rsid w:val="6D1C3C9B"/>
    <w:rsid w:val="6D6564F1"/>
    <w:rsid w:val="6DBC6A84"/>
    <w:rsid w:val="6DC013B2"/>
    <w:rsid w:val="6DD96607"/>
    <w:rsid w:val="6DE7C308"/>
    <w:rsid w:val="6E2ED232"/>
    <w:rsid w:val="6E5A6C18"/>
    <w:rsid w:val="6E6DA4DA"/>
    <w:rsid w:val="6E8054D4"/>
    <w:rsid w:val="6EA770C8"/>
    <w:rsid w:val="6EB6EE9D"/>
    <w:rsid w:val="6EFE50D2"/>
    <w:rsid w:val="6EFF8C87"/>
    <w:rsid w:val="6F1E39D6"/>
    <w:rsid w:val="6F3B0787"/>
    <w:rsid w:val="6F6FBC42"/>
    <w:rsid w:val="6F8758F6"/>
    <w:rsid w:val="6FA9F990"/>
    <w:rsid w:val="6FB37682"/>
    <w:rsid w:val="6FBB27F8"/>
    <w:rsid w:val="6FFF438D"/>
    <w:rsid w:val="700454D6"/>
    <w:rsid w:val="703F5DE1"/>
    <w:rsid w:val="70800B43"/>
    <w:rsid w:val="70D14275"/>
    <w:rsid w:val="70E9534D"/>
    <w:rsid w:val="70F96927"/>
    <w:rsid w:val="717B6263"/>
    <w:rsid w:val="717F3BC0"/>
    <w:rsid w:val="7186296C"/>
    <w:rsid w:val="721C2EEC"/>
    <w:rsid w:val="72BE7763"/>
    <w:rsid w:val="72D52FCE"/>
    <w:rsid w:val="7302625B"/>
    <w:rsid w:val="737631D1"/>
    <w:rsid w:val="73A31846"/>
    <w:rsid w:val="73DA776F"/>
    <w:rsid w:val="73DF2604"/>
    <w:rsid w:val="73EA7F4F"/>
    <w:rsid w:val="73F94649"/>
    <w:rsid w:val="74012A49"/>
    <w:rsid w:val="7443726F"/>
    <w:rsid w:val="74746816"/>
    <w:rsid w:val="74784559"/>
    <w:rsid w:val="748A304E"/>
    <w:rsid w:val="74D7E372"/>
    <w:rsid w:val="75475B88"/>
    <w:rsid w:val="75663F6F"/>
    <w:rsid w:val="757DE146"/>
    <w:rsid w:val="75CC188F"/>
    <w:rsid w:val="75E459AD"/>
    <w:rsid w:val="75ED5D32"/>
    <w:rsid w:val="75EF6515"/>
    <w:rsid w:val="75F9B6B6"/>
    <w:rsid w:val="762F6E99"/>
    <w:rsid w:val="76794E52"/>
    <w:rsid w:val="76C79112"/>
    <w:rsid w:val="76F7457C"/>
    <w:rsid w:val="76FFA18E"/>
    <w:rsid w:val="77190F85"/>
    <w:rsid w:val="771F6F0D"/>
    <w:rsid w:val="775BC78E"/>
    <w:rsid w:val="77746EF7"/>
    <w:rsid w:val="77CD9AE2"/>
    <w:rsid w:val="77DE5D3A"/>
    <w:rsid w:val="77F7BA2A"/>
    <w:rsid w:val="783E7E0B"/>
    <w:rsid w:val="786B1CDE"/>
    <w:rsid w:val="78F7ADED"/>
    <w:rsid w:val="7937C746"/>
    <w:rsid w:val="794B223C"/>
    <w:rsid w:val="794E4A3B"/>
    <w:rsid w:val="796F7CD8"/>
    <w:rsid w:val="79912DA6"/>
    <w:rsid w:val="79B167A6"/>
    <w:rsid w:val="79BF6D28"/>
    <w:rsid w:val="7A3222AE"/>
    <w:rsid w:val="7A770C9C"/>
    <w:rsid w:val="7A7B1F75"/>
    <w:rsid w:val="7A857F0B"/>
    <w:rsid w:val="7A8A017B"/>
    <w:rsid w:val="7AB056DB"/>
    <w:rsid w:val="7AFE61F7"/>
    <w:rsid w:val="7AFF96C1"/>
    <w:rsid w:val="7B45165F"/>
    <w:rsid w:val="7B5F6B56"/>
    <w:rsid w:val="7B7E06AE"/>
    <w:rsid w:val="7B9A085A"/>
    <w:rsid w:val="7B9D1925"/>
    <w:rsid w:val="7BA75B92"/>
    <w:rsid w:val="7BBED4A0"/>
    <w:rsid w:val="7BC4654C"/>
    <w:rsid w:val="7BEB9565"/>
    <w:rsid w:val="7BF451B2"/>
    <w:rsid w:val="7BFD125C"/>
    <w:rsid w:val="7BFF193A"/>
    <w:rsid w:val="7C252FB6"/>
    <w:rsid w:val="7C5B5A7F"/>
    <w:rsid w:val="7C684EB3"/>
    <w:rsid w:val="7CA3E458"/>
    <w:rsid w:val="7CEF5A0F"/>
    <w:rsid w:val="7D0B52CB"/>
    <w:rsid w:val="7D23AF22"/>
    <w:rsid w:val="7D5DCD46"/>
    <w:rsid w:val="7D82594E"/>
    <w:rsid w:val="7D9960F8"/>
    <w:rsid w:val="7DA85FE1"/>
    <w:rsid w:val="7DB71F6B"/>
    <w:rsid w:val="7DBBA1F3"/>
    <w:rsid w:val="7DD72264"/>
    <w:rsid w:val="7DE67851"/>
    <w:rsid w:val="7DE7112D"/>
    <w:rsid w:val="7DEFA746"/>
    <w:rsid w:val="7DFC2429"/>
    <w:rsid w:val="7DFD170E"/>
    <w:rsid w:val="7DFD33F0"/>
    <w:rsid w:val="7DFE284F"/>
    <w:rsid w:val="7E152E18"/>
    <w:rsid w:val="7E3FEDD5"/>
    <w:rsid w:val="7E5D031B"/>
    <w:rsid w:val="7E5F43EC"/>
    <w:rsid w:val="7E6B2A38"/>
    <w:rsid w:val="7E8514D2"/>
    <w:rsid w:val="7E9D597D"/>
    <w:rsid w:val="7EA85C93"/>
    <w:rsid w:val="7EB9C66B"/>
    <w:rsid w:val="7EC37778"/>
    <w:rsid w:val="7ED9F98D"/>
    <w:rsid w:val="7EDF8E9B"/>
    <w:rsid w:val="7EE1E482"/>
    <w:rsid w:val="7EEF9907"/>
    <w:rsid w:val="7EF951D6"/>
    <w:rsid w:val="7EFAF087"/>
    <w:rsid w:val="7EFC35DF"/>
    <w:rsid w:val="7EFFCC41"/>
    <w:rsid w:val="7F160C49"/>
    <w:rsid w:val="7F2FEE7E"/>
    <w:rsid w:val="7F7B325B"/>
    <w:rsid w:val="7F7C8C2B"/>
    <w:rsid w:val="7F7D58EC"/>
    <w:rsid w:val="7F7FFA3A"/>
    <w:rsid w:val="7F8EC3F8"/>
    <w:rsid w:val="7F95AFEA"/>
    <w:rsid w:val="7FBC6F8C"/>
    <w:rsid w:val="7FBF26ED"/>
    <w:rsid w:val="7FC85D75"/>
    <w:rsid w:val="7FCF80B6"/>
    <w:rsid w:val="7FDD17F3"/>
    <w:rsid w:val="7FDFC8C2"/>
    <w:rsid w:val="7FE72CCB"/>
    <w:rsid w:val="7FE9D2A6"/>
    <w:rsid w:val="7FEE8396"/>
    <w:rsid w:val="7FEEC3C0"/>
    <w:rsid w:val="7FEF8A71"/>
    <w:rsid w:val="7FF1EA66"/>
    <w:rsid w:val="7FF321D5"/>
    <w:rsid w:val="7FF9C78B"/>
    <w:rsid w:val="7FFA4D76"/>
    <w:rsid w:val="7FFEC6D1"/>
    <w:rsid w:val="7FFEF1A2"/>
    <w:rsid w:val="7FFF0120"/>
    <w:rsid w:val="7FFF3430"/>
    <w:rsid w:val="7FFF40A2"/>
    <w:rsid w:val="7FFF6578"/>
    <w:rsid w:val="7FFF6F60"/>
    <w:rsid w:val="7FFFBEC3"/>
    <w:rsid w:val="873F2367"/>
    <w:rsid w:val="8BF742BA"/>
    <w:rsid w:val="93D2120A"/>
    <w:rsid w:val="95FF402F"/>
    <w:rsid w:val="965FB9C2"/>
    <w:rsid w:val="9799960F"/>
    <w:rsid w:val="97BDC13D"/>
    <w:rsid w:val="98F9CB6B"/>
    <w:rsid w:val="9BBDE656"/>
    <w:rsid w:val="9BEFCA54"/>
    <w:rsid w:val="9CDF8A51"/>
    <w:rsid w:val="9D4B5CFF"/>
    <w:rsid w:val="9EEB3807"/>
    <w:rsid w:val="9FC74D7E"/>
    <w:rsid w:val="9FF72E30"/>
    <w:rsid w:val="A79DC10E"/>
    <w:rsid w:val="A7DBE417"/>
    <w:rsid w:val="A7DFD355"/>
    <w:rsid w:val="A7FF82B2"/>
    <w:rsid w:val="AAF707D4"/>
    <w:rsid w:val="AB7F2859"/>
    <w:rsid w:val="AD5F5AE9"/>
    <w:rsid w:val="AF7F36D1"/>
    <w:rsid w:val="AF97837E"/>
    <w:rsid w:val="AF9F53FA"/>
    <w:rsid w:val="B3DFCD85"/>
    <w:rsid w:val="B56F187E"/>
    <w:rsid w:val="B5DB1DA0"/>
    <w:rsid w:val="B61654FE"/>
    <w:rsid w:val="B67E64E2"/>
    <w:rsid w:val="B6ECB89B"/>
    <w:rsid w:val="B77BEF78"/>
    <w:rsid w:val="B7B9EEF7"/>
    <w:rsid w:val="B7F49900"/>
    <w:rsid w:val="BA7B23C6"/>
    <w:rsid w:val="BA7D5FFA"/>
    <w:rsid w:val="BD2FA157"/>
    <w:rsid w:val="BDAB4E90"/>
    <w:rsid w:val="BDFEBDCC"/>
    <w:rsid w:val="BE76AB2B"/>
    <w:rsid w:val="BEF74539"/>
    <w:rsid w:val="BEFB0869"/>
    <w:rsid w:val="BF371E9E"/>
    <w:rsid w:val="BF9F30DA"/>
    <w:rsid w:val="BFAFF8BD"/>
    <w:rsid w:val="BFBB4873"/>
    <w:rsid w:val="BFBB497C"/>
    <w:rsid w:val="BFCE7BA7"/>
    <w:rsid w:val="BFFFB57E"/>
    <w:rsid w:val="C9BBD300"/>
    <w:rsid w:val="CB78550D"/>
    <w:rsid w:val="CBDACE23"/>
    <w:rsid w:val="CD3EDDE9"/>
    <w:rsid w:val="CFDAC2D1"/>
    <w:rsid w:val="CFF2C9CF"/>
    <w:rsid w:val="CFFF7263"/>
    <w:rsid w:val="D35EBD8A"/>
    <w:rsid w:val="D4EA269E"/>
    <w:rsid w:val="D5BF7277"/>
    <w:rsid w:val="D6BAF1BD"/>
    <w:rsid w:val="D6F48314"/>
    <w:rsid w:val="D7FD65E5"/>
    <w:rsid w:val="D8FBE66C"/>
    <w:rsid w:val="D9FECC36"/>
    <w:rsid w:val="DAFF0F12"/>
    <w:rsid w:val="DBB95C7F"/>
    <w:rsid w:val="DBFB68AD"/>
    <w:rsid w:val="DBFD6A92"/>
    <w:rsid w:val="DCF58F45"/>
    <w:rsid w:val="DD1DC2AF"/>
    <w:rsid w:val="DD9E579B"/>
    <w:rsid w:val="DDEFDF51"/>
    <w:rsid w:val="DEA3A753"/>
    <w:rsid w:val="DED95321"/>
    <w:rsid w:val="DEDB42B8"/>
    <w:rsid w:val="DEDF86A0"/>
    <w:rsid w:val="DEDFD90E"/>
    <w:rsid w:val="DEF7747D"/>
    <w:rsid w:val="DF37163D"/>
    <w:rsid w:val="DF7FFAD1"/>
    <w:rsid w:val="DFD342D8"/>
    <w:rsid w:val="DFDCAB09"/>
    <w:rsid w:val="DFDDA92C"/>
    <w:rsid w:val="DFDFCC5C"/>
    <w:rsid w:val="DFEB4ADC"/>
    <w:rsid w:val="DFEBC913"/>
    <w:rsid w:val="DFEEB8D2"/>
    <w:rsid w:val="DFEF333F"/>
    <w:rsid w:val="DFEFD79F"/>
    <w:rsid w:val="DFF029D0"/>
    <w:rsid w:val="DFF7A297"/>
    <w:rsid w:val="DFF7E9E8"/>
    <w:rsid w:val="E21CE3DF"/>
    <w:rsid w:val="E2E84ECF"/>
    <w:rsid w:val="E34FD4A1"/>
    <w:rsid w:val="E3CFFC37"/>
    <w:rsid w:val="E3EF92CF"/>
    <w:rsid w:val="E477F044"/>
    <w:rsid w:val="E5BB5F08"/>
    <w:rsid w:val="E5F75942"/>
    <w:rsid w:val="E6F7BB87"/>
    <w:rsid w:val="E771786D"/>
    <w:rsid w:val="E9DFAC99"/>
    <w:rsid w:val="E9F71EFB"/>
    <w:rsid w:val="E9F7AE0E"/>
    <w:rsid w:val="E9FEC401"/>
    <w:rsid w:val="EB7F47C8"/>
    <w:rsid w:val="EBE59E85"/>
    <w:rsid w:val="ED718EBD"/>
    <w:rsid w:val="EDBDF707"/>
    <w:rsid w:val="EDDFEAF2"/>
    <w:rsid w:val="EDFF0068"/>
    <w:rsid w:val="EE7CF2C6"/>
    <w:rsid w:val="EE8FC67D"/>
    <w:rsid w:val="EEED9060"/>
    <w:rsid w:val="EEEFFE00"/>
    <w:rsid w:val="EF3E063B"/>
    <w:rsid w:val="EF5F5896"/>
    <w:rsid w:val="EF7B25AE"/>
    <w:rsid w:val="EF8EBA09"/>
    <w:rsid w:val="EFAD7C5F"/>
    <w:rsid w:val="EFAFF581"/>
    <w:rsid w:val="EFFF1F7B"/>
    <w:rsid w:val="F1AFA700"/>
    <w:rsid w:val="F38D895D"/>
    <w:rsid w:val="F3F357BF"/>
    <w:rsid w:val="F3F74C1E"/>
    <w:rsid w:val="F3FD8639"/>
    <w:rsid w:val="F43FFB53"/>
    <w:rsid w:val="F4BB29FD"/>
    <w:rsid w:val="F4F69A0A"/>
    <w:rsid w:val="F6FF6899"/>
    <w:rsid w:val="F770937F"/>
    <w:rsid w:val="F77E5F01"/>
    <w:rsid w:val="F77EDC4D"/>
    <w:rsid w:val="F77FE77D"/>
    <w:rsid w:val="F78936A6"/>
    <w:rsid w:val="F79BB1EB"/>
    <w:rsid w:val="F7F9384E"/>
    <w:rsid w:val="F7FE30D3"/>
    <w:rsid w:val="F7FE8EC7"/>
    <w:rsid w:val="F8BFD64F"/>
    <w:rsid w:val="F9CF8CB2"/>
    <w:rsid w:val="F9D9AB41"/>
    <w:rsid w:val="FA5DA317"/>
    <w:rsid w:val="FA731F65"/>
    <w:rsid w:val="FADF5F2B"/>
    <w:rsid w:val="FADFB2AB"/>
    <w:rsid w:val="FAFCBDE1"/>
    <w:rsid w:val="FAFF9F25"/>
    <w:rsid w:val="FB3BD7B7"/>
    <w:rsid w:val="FB67F2F9"/>
    <w:rsid w:val="FB6E079A"/>
    <w:rsid w:val="FB7E255A"/>
    <w:rsid w:val="FBC734C4"/>
    <w:rsid w:val="FBDF3D0A"/>
    <w:rsid w:val="FBDF6FC2"/>
    <w:rsid w:val="FBEBE435"/>
    <w:rsid w:val="FBF707F9"/>
    <w:rsid w:val="FBF90139"/>
    <w:rsid w:val="FBFA2098"/>
    <w:rsid w:val="FBFA45EE"/>
    <w:rsid w:val="FBFCB32C"/>
    <w:rsid w:val="FBFD269A"/>
    <w:rsid w:val="FBFE4F83"/>
    <w:rsid w:val="FBFF41E4"/>
    <w:rsid w:val="FD1EA713"/>
    <w:rsid w:val="FD338641"/>
    <w:rsid w:val="FD6D815A"/>
    <w:rsid w:val="FDABA8D4"/>
    <w:rsid w:val="FDBB8A4F"/>
    <w:rsid w:val="FDBBC908"/>
    <w:rsid w:val="FDBDC840"/>
    <w:rsid w:val="FDBF86BE"/>
    <w:rsid w:val="FDEA2A97"/>
    <w:rsid w:val="FDF78202"/>
    <w:rsid w:val="FDF7F5A2"/>
    <w:rsid w:val="FDFB754D"/>
    <w:rsid w:val="FDFDBD3D"/>
    <w:rsid w:val="FDFDDD27"/>
    <w:rsid w:val="FDFF1F57"/>
    <w:rsid w:val="FDFFE907"/>
    <w:rsid w:val="FDFFF8E1"/>
    <w:rsid w:val="FDFFFA56"/>
    <w:rsid w:val="FE734873"/>
    <w:rsid w:val="FEADA6B3"/>
    <w:rsid w:val="FEBBC4FF"/>
    <w:rsid w:val="FEBF3337"/>
    <w:rsid w:val="FECAED44"/>
    <w:rsid w:val="FED28BF9"/>
    <w:rsid w:val="FEDF6CB0"/>
    <w:rsid w:val="FEFD9DEE"/>
    <w:rsid w:val="FEFF9A9B"/>
    <w:rsid w:val="FF6198A8"/>
    <w:rsid w:val="FF6F4822"/>
    <w:rsid w:val="FF77AA03"/>
    <w:rsid w:val="FF7F69B1"/>
    <w:rsid w:val="FF8E3EB4"/>
    <w:rsid w:val="FF9512E6"/>
    <w:rsid w:val="FFA930AF"/>
    <w:rsid w:val="FFB1103F"/>
    <w:rsid w:val="FFBE35D4"/>
    <w:rsid w:val="FFBF442F"/>
    <w:rsid w:val="FFC7E646"/>
    <w:rsid w:val="FFCEDC3C"/>
    <w:rsid w:val="FFDD12C9"/>
    <w:rsid w:val="FFDF7796"/>
    <w:rsid w:val="FFDF7FDB"/>
    <w:rsid w:val="FFDFC32D"/>
    <w:rsid w:val="FFDFCC85"/>
    <w:rsid w:val="FFDFD1BB"/>
    <w:rsid w:val="FFED9C81"/>
    <w:rsid w:val="FFF82E75"/>
    <w:rsid w:val="FFFA2257"/>
    <w:rsid w:val="FFFB8F4B"/>
    <w:rsid w:val="FFFBD170"/>
    <w:rsid w:val="FFFCD46D"/>
    <w:rsid w:val="FFFECFC5"/>
    <w:rsid w:val="FFFF3798"/>
    <w:rsid w:val="FFFFA6B5"/>
    <w:rsid w:val="FFFFE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42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spacing w:before="0" w:beforeAutospacing="0" w:after="0" w:afterAutospacing="0"/>
      <w:jc w:val="both"/>
      <w:outlineLvl w:val="0"/>
    </w:pPr>
    <w:rPr>
      <w:rFonts w:hint="eastAsia" w:ascii="黑体" w:hAnsi="黑体" w:eastAsia="黑体" w:cs="黑体"/>
      <w:kern w:val="44"/>
      <w:sz w:val="32"/>
      <w:szCs w:val="32"/>
      <w:lang w:bidi="ar"/>
    </w:rPr>
  </w:style>
  <w:style w:type="paragraph" w:styleId="3">
    <w:name w:val="heading 2"/>
    <w:basedOn w:val="1"/>
    <w:next w:val="1"/>
    <w:link w:val="17"/>
    <w:unhideWhenUsed/>
    <w:qFormat/>
    <w:uiPriority w:val="0"/>
    <w:pPr>
      <w:keepNext/>
      <w:keepLines/>
      <w:spacing w:beforeLines="0" w:beforeAutospacing="0" w:afterLines="0" w:afterAutospacing="0" w:line="560" w:lineRule="exact"/>
      <w:outlineLvl w:val="1"/>
    </w:pPr>
    <w:rPr>
      <w:rFonts w:ascii="楷体_GB2312" w:hAnsi="楷体_GB2312" w:eastAsia="楷体_GB2312" w:cs="楷体_GB2312"/>
      <w:szCs w:val="32"/>
    </w:rPr>
  </w:style>
  <w:style w:type="paragraph" w:styleId="4">
    <w:name w:val="heading 3"/>
    <w:basedOn w:val="1"/>
    <w:next w:val="1"/>
    <w:unhideWhenUsed/>
    <w:qFormat/>
    <w:uiPriority w:val="0"/>
    <w:pPr>
      <w:keepNext/>
      <w:keepLines/>
      <w:spacing w:beforeLines="0" w:beforeAutospacing="0" w:afterLines="0" w:afterAutospacing="0" w:line="560" w:lineRule="exact"/>
      <w:outlineLvl w:val="2"/>
    </w:pPr>
    <w:rPr>
      <w:rFonts w:ascii="仿宋_GB2312" w:hAnsi="仿宋_GB2312" w:cs="仿宋_GB2312"/>
      <w:b/>
      <w:bCs/>
      <w:szCs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99"/>
    <w:pPr>
      <w:ind w:firstLine="420" w:firstLineChars="200"/>
    </w:pPr>
  </w:style>
  <w:style w:type="paragraph" w:styleId="7">
    <w:name w:val="annotation text"/>
    <w:basedOn w:val="1"/>
    <w:qFormat/>
    <w:uiPriority w:val="0"/>
    <w:pPr>
      <w:jc w:val="left"/>
    </w:pPr>
  </w:style>
  <w:style w:type="paragraph" w:styleId="8">
    <w:name w:val="Body Text"/>
    <w:basedOn w:val="1"/>
    <w:next w:val="1"/>
    <w:qFormat/>
    <w:uiPriority w:val="0"/>
    <w:pPr>
      <w:spacing w:after="120"/>
    </w:pPr>
    <w:rPr>
      <w:rFonts w:ascii="Times New Roman" w:hAnsi="Times New Roman" w:eastAsia="方正仿宋_GBK"/>
      <w:sz w:val="3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next w:val="1"/>
    <w:qFormat/>
    <w:uiPriority w:val="0"/>
    <w:pPr>
      <w:widowControl w:val="0"/>
      <w:spacing w:line="560" w:lineRule="exact"/>
      <w:ind w:firstLine="720" w:firstLineChars="200"/>
      <w:jc w:val="center"/>
      <w:outlineLvl w:val="0"/>
    </w:pPr>
    <w:rPr>
      <w:rFonts w:ascii="方正小标宋_GBK" w:hAnsi="方正小标宋_GBK" w:eastAsia="方正小标宋_GBK" w:cs="方正小标宋_GBK"/>
      <w:kern w:val="2"/>
      <w:sz w:val="44"/>
      <w:szCs w:val="44"/>
      <w:lang w:val="en-US" w:eastAsia="zh-CN" w:bidi="ar-SA"/>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2 Char"/>
    <w:link w:val="3"/>
    <w:qFormat/>
    <w:uiPriority w:val="0"/>
    <w:rPr>
      <w:rFonts w:ascii="楷体_GB2312" w:hAnsi="楷体_GB2312" w:eastAsia="楷体_GB2312" w:cs="楷体_GB2312"/>
      <w:szCs w:val="32"/>
    </w:rPr>
  </w:style>
  <w:style w:type="character" w:customStyle="1" w:styleId="18">
    <w:name w:val="font01"/>
    <w:basedOn w:val="14"/>
    <w:qFormat/>
    <w:uiPriority w:val="0"/>
    <w:rPr>
      <w:rFonts w:hint="eastAsia" w:ascii="仿宋_GB2312" w:eastAsia="仿宋_GB2312" w:cs="仿宋_GB2312"/>
      <w:color w:val="212121"/>
      <w:sz w:val="22"/>
      <w:szCs w:val="22"/>
      <w:u w:val="none"/>
    </w:rPr>
  </w:style>
  <w:style w:type="paragraph" w:customStyle="1" w:styleId="19">
    <w:name w:val="_Style 2"/>
    <w:qFormat/>
    <w:uiPriority w:val="99"/>
    <w:pPr>
      <w:widowControl w:val="0"/>
      <w:spacing w:line="351" w:lineRule="atLeast"/>
      <w:ind w:firstLine="623"/>
      <w:jc w:val="both"/>
      <w:textAlignment w:val="baseline"/>
    </w:pPr>
    <w:rPr>
      <w:rFonts w:ascii="Times New Roman" w:hAnsi="Times New Roman" w:eastAsia="仿宋_GB2312" w:cs="Times New Roman"/>
      <w:color w:val="000000"/>
      <w:kern w:val="2"/>
      <w:sz w:val="3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1265</Words>
  <Characters>1275</Characters>
  <Lines>0</Lines>
  <Paragraphs>0</Paragraphs>
  <TotalTime>1</TotalTime>
  <ScaleCrop>false</ScaleCrop>
  <LinksUpToDate>false</LinksUpToDate>
  <CharactersWithSpaces>1287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2025-04-17T00:05:00Z</dcterms:created>
  <dc:creator>:D</dc:creator>
  <cp:lastModifiedBy>user</cp:lastModifiedBy>
  <cp:lastPrinted>2026-05-17T02:37:00Z</cp:lastPrinted>
  <dcterms:modified xsi:type="dcterms:W3CDTF">2026-07-30T18:06:14Z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893B2263E3A14A08A9A48D49CE67763B_13</vt:lpwstr>
  </property>
  <property fmtid="{D5CDD505-2E9C-101B-9397-08002B2CF9AE}" pid="4" name="KSOTemplateDocerSaveRecord">
    <vt:lpwstr>eyJoZGlkIjoiMDcwOTFlMDRiMGNhZTMzMDI0NGI0NGUzOWFkMjkyMGQiLCJ1c2VySWQiOiI3MjI1OTE1NDgifQ==</vt:lpwstr>
  </property>
</Properties>
</file>