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9DAC87">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outlineLvl w:val="0"/>
        <w:rPr>
          <w:rFonts w:hint="eastAsia" w:ascii="方正小标宋简体" w:hAnsi="方正小标宋简体" w:eastAsia="方正小标宋简体" w:cs="方正小标宋简体"/>
          <w:b w:val="0"/>
          <w:bCs w:val="0"/>
          <w:color w:val="auto"/>
          <w:kern w:val="2"/>
          <w:sz w:val="44"/>
          <w:szCs w:val="44"/>
          <w:highlight w:val="none"/>
          <w:lang w:val="en-US" w:eastAsia="zh-CN" w:bidi="ar-SA"/>
        </w:rPr>
        <w:sectPr>
          <w:pgSz w:w="11906" w:h="16838"/>
          <w:pgMar w:top="2098" w:right="1474" w:bottom="1984" w:left="1587" w:header="851" w:footer="992" w:gutter="0"/>
          <w:pgNumType w:fmt="decimal"/>
          <w:cols w:space="0" w:num="1"/>
          <w:rtlGutter w:val="0"/>
          <w:docGrid w:type="lines" w:linePitch="312" w:charSpace="0"/>
        </w:sectPr>
      </w:pPr>
      <w:r>
        <w:rPr>
          <w:rFonts w:hint="eastAsia" w:ascii="方正小标宋简体" w:hAnsi="方正小标宋简体" w:eastAsia="方正小标宋简体" w:cs="方正小标宋简体"/>
          <w:b w:val="0"/>
          <w:bCs w:val="0"/>
          <w:color w:val="auto"/>
          <w:kern w:val="2"/>
          <w:sz w:val="44"/>
          <w:szCs w:val="44"/>
          <w:highlight w:val="none"/>
          <w:lang w:val="en-US" w:eastAsia="zh-CN" w:bidi="ar-SA"/>
        </w:rPr>
        <w:drawing>
          <wp:anchor distT="0" distB="0" distL="114300" distR="114300" simplePos="0" relativeHeight="251659264" behindDoc="0" locked="0" layoutInCell="1" allowOverlap="1">
            <wp:simplePos x="0" y="0"/>
            <wp:positionH relativeFrom="column">
              <wp:posOffset>-928370</wp:posOffset>
            </wp:positionH>
            <wp:positionV relativeFrom="paragraph">
              <wp:posOffset>-1246505</wp:posOffset>
            </wp:positionV>
            <wp:extent cx="7392670" cy="10450195"/>
            <wp:effectExtent l="0" t="0" r="17780" b="8255"/>
            <wp:wrapTopAndBottom/>
            <wp:docPr id="9" name="图片 9" descr="OPC印发通知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OPC印发通知_01"/>
                    <pic:cNvPicPr>
                      <a:picLocks noChangeAspect="1"/>
                    </pic:cNvPicPr>
                  </pic:nvPicPr>
                  <pic:blipFill>
                    <a:blip r:embed="rId6"/>
                    <a:stretch>
                      <a:fillRect/>
                    </a:stretch>
                  </pic:blipFill>
                  <pic:spPr>
                    <a:xfrm>
                      <a:off x="0" y="0"/>
                      <a:ext cx="7392670" cy="10450195"/>
                    </a:xfrm>
                    <a:prstGeom prst="rect">
                      <a:avLst/>
                    </a:prstGeom>
                  </pic:spPr>
                </pic:pic>
              </a:graphicData>
            </a:graphic>
          </wp:anchor>
        </w:drawing>
      </w:r>
    </w:p>
    <w:p w14:paraId="47816EAB">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outlineLvl w:val="0"/>
        <w:rPr>
          <w:rFonts w:hint="eastAsia" w:ascii="方正小标宋简体" w:hAnsi="方正小标宋简体" w:eastAsia="方正小标宋简体" w:cs="方正小标宋简体"/>
          <w:b w:val="0"/>
          <w:bCs w:val="0"/>
          <w:color w:val="auto"/>
          <w:kern w:val="2"/>
          <w:sz w:val="44"/>
          <w:szCs w:val="44"/>
          <w:highlight w:val="none"/>
          <w:lang w:val="en-US" w:eastAsia="zh-CN" w:bidi="ar-SA"/>
        </w:rPr>
      </w:pPr>
      <w:r>
        <w:rPr>
          <w:rFonts w:hint="eastAsia" w:ascii="方正小标宋简体" w:hAnsi="方正小标宋简体" w:eastAsia="方正小标宋简体" w:cs="方正小标宋简体"/>
          <w:b w:val="0"/>
          <w:bCs w:val="0"/>
          <w:color w:val="auto"/>
          <w:kern w:val="2"/>
          <w:sz w:val="44"/>
          <w:szCs w:val="44"/>
          <w:highlight w:val="none"/>
          <w:lang w:val="en-US" w:eastAsia="zh-CN" w:bidi="ar-SA"/>
        </w:rPr>
        <w:drawing>
          <wp:anchor distT="0" distB="0" distL="114300" distR="114300" simplePos="0" relativeHeight="251660288" behindDoc="0" locked="0" layoutInCell="1" allowOverlap="1">
            <wp:simplePos x="0" y="0"/>
            <wp:positionH relativeFrom="column">
              <wp:posOffset>-905510</wp:posOffset>
            </wp:positionH>
            <wp:positionV relativeFrom="paragraph">
              <wp:posOffset>-1231900</wp:posOffset>
            </wp:positionV>
            <wp:extent cx="7349490" cy="10413365"/>
            <wp:effectExtent l="0" t="0" r="3810" b="6985"/>
            <wp:wrapTopAndBottom/>
            <wp:docPr id="8" name="图片 8" descr="OPC印发通知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OPC印发通知_02"/>
                    <pic:cNvPicPr>
                      <a:picLocks noChangeAspect="1"/>
                    </pic:cNvPicPr>
                  </pic:nvPicPr>
                  <pic:blipFill>
                    <a:blip r:embed="rId7"/>
                    <a:srcRect l="1279" b="1051"/>
                    <a:stretch>
                      <a:fillRect/>
                    </a:stretch>
                  </pic:blipFill>
                  <pic:spPr>
                    <a:xfrm>
                      <a:off x="0" y="0"/>
                      <a:ext cx="7349490" cy="10413365"/>
                    </a:xfrm>
                    <a:prstGeom prst="rect">
                      <a:avLst/>
                    </a:prstGeom>
                  </pic:spPr>
                </pic:pic>
              </a:graphicData>
            </a:graphic>
          </wp:anchor>
        </w:drawing>
      </w:r>
    </w:p>
    <w:p w14:paraId="4436BBB3">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outlineLvl w:val="0"/>
        <w:rPr>
          <w:rFonts w:hint="eastAsia" w:ascii="方正小标宋简体" w:hAnsi="方正小标宋简体" w:eastAsia="方正小标宋简体" w:cs="方正小标宋简体"/>
          <w:b w:val="0"/>
          <w:bCs w:val="0"/>
          <w:color w:val="auto"/>
          <w:kern w:val="2"/>
          <w:sz w:val="44"/>
          <w:szCs w:val="44"/>
          <w:highlight w:val="none"/>
          <w:lang w:val="en-US" w:eastAsia="zh-CN" w:bidi="ar-SA"/>
        </w:rPr>
        <w:sectPr>
          <w:footerReference r:id="rId3" w:type="default"/>
          <w:pgSz w:w="11906" w:h="16838"/>
          <w:pgMar w:top="2098" w:right="1474" w:bottom="1984" w:left="1587" w:header="851" w:footer="992" w:gutter="0"/>
          <w:pgNumType w:fmt="decimal" w:start="1"/>
          <w:cols w:space="0" w:num="1"/>
          <w:rtlGutter w:val="0"/>
          <w:docGrid w:type="lines" w:linePitch="312" w:charSpace="0"/>
        </w:sectPr>
      </w:pPr>
    </w:p>
    <w:p w14:paraId="79960A23">
      <w:pPr>
        <w:keepNext w:val="0"/>
        <w:keepLines w:val="0"/>
        <w:pageBreakBefore w:val="0"/>
        <w:widowControl w:val="0"/>
        <w:kinsoku/>
        <w:wordWrap/>
        <w:overflowPunct/>
        <w:topLinePunct w:val="0"/>
        <w:autoSpaceDE/>
        <w:autoSpaceDN/>
        <w:bidi w:val="0"/>
        <w:adjustRightInd/>
        <w:snapToGrid/>
        <w:spacing w:before="0" w:after="0" w:line="560" w:lineRule="exact"/>
        <w:jc w:val="left"/>
        <w:textAlignment w:val="auto"/>
        <w:outlineLvl w:val="0"/>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附件</w:t>
      </w:r>
    </w:p>
    <w:p w14:paraId="730FDFCC">
      <w:pPr>
        <w:keepNext w:val="0"/>
        <w:keepLines w:val="0"/>
        <w:pageBreakBefore w:val="0"/>
        <w:widowControl w:val="0"/>
        <w:kinsoku/>
        <w:wordWrap/>
        <w:overflowPunct/>
        <w:topLinePunct w:val="0"/>
        <w:autoSpaceDE/>
        <w:autoSpaceDN/>
        <w:bidi w:val="0"/>
        <w:adjustRightInd/>
        <w:snapToGrid/>
        <w:spacing w:before="0" w:after="0" w:line="560" w:lineRule="exact"/>
        <w:jc w:val="left"/>
        <w:textAlignment w:val="auto"/>
        <w:outlineLvl w:val="0"/>
        <w:rPr>
          <w:rFonts w:hint="eastAsia" w:ascii="黑体" w:hAnsi="黑体" w:eastAsia="黑体" w:cs="黑体"/>
          <w:b w:val="0"/>
          <w:bCs w:val="0"/>
          <w:color w:val="auto"/>
          <w:kern w:val="2"/>
          <w:sz w:val="32"/>
          <w:szCs w:val="32"/>
          <w:highlight w:val="none"/>
          <w:lang w:val="en-US" w:eastAsia="zh-CN" w:bidi="ar-SA"/>
        </w:rPr>
      </w:pPr>
    </w:p>
    <w:p w14:paraId="4FC90C6F">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outlineLvl w:val="0"/>
        <w:rPr>
          <w:rFonts w:hint="eastAsia" w:ascii="方正小标宋简体" w:hAnsi="方正小标宋简体" w:eastAsia="方正小标宋简体" w:cs="方正小标宋简体"/>
          <w:b w:val="0"/>
          <w:bCs w:val="0"/>
          <w:color w:val="auto"/>
          <w:kern w:val="2"/>
          <w:sz w:val="44"/>
          <w:szCs w:val="44"/>
          <w:highlight w:val="none"/>
          <w:lang w:val="en-US" w:eastAsia="zh-CN" w:bidi="ar-SA"/>
        </w:rPr>
      </w:pPr>
      <w:r>
        <w:rPr>
          <w:rFonts w:hint="eastAsia" w:ascii="方正小标宋简体" w:hAnsi="方正小标宋简体" w:eastAsia="方正小标宋简体" w:cs="方正小标宋简体"/>
          <w:b w:val="0"/>
          <w:bCs w:val="0"/>
          <w:color w:val="auto"/>
          <w:kern w:val="2"/>
          <w:sz w:val="44"/>
          <w:szCs w:val="44"/>
          <w:highlight w:val="none"/>
          <w:lang w:val="en-US" w:eastAsia="zh-CN" w:bidi="ar-SA"/>
        </w:rPr>
        <w:t>中关村科技园区延庆园管理委员会</w:t>
      </w:r>
    </w:p>
    <w:p w14:paraId="18A3EDD8">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outlineLvl w:val="0"/>
        <w:rPr>
          <w:rFonts w:hint="eastAsia" w:ascii="方正小标宋简体" w:hAnsi="方正小标宋简体" w:eastAsia="方正小标宋简体" w:cs="方正小标宋简体"/>
          <w:b w:val="0"/>
          <w:bCs w:val="0"/>
          <w:color w:val="auto"/>
          <w:kern w:val="2"/>
          <w:sz w:val="44"/>
          <w:szCs w:val="44"/>
          <w:highlight w:val="none"/>
          <w:lang w:val="en-US" w:eastAsia="zh-CN" w:bidi="ar-SA"/>
        </w:rPr>
      </w:pPr>
      <w:r>
        <w:rPr>
          <w:rFonts w:hint="eastAsia" w:ascii="方正小标宋简体" w:hAnsi="方正小标宋简体" w:eastAsia="方正小标宋简体" w:cs="方正小标宋简体"/>
          <w:b w:val="0"/>
          <w:bCs w:val="0"/>
          <w:color w:val="auto"/>
          <w:kern w:val="2"/>
          <w:sz w:val="44"/>
          <w:szCs w:val="44"/>
          <w:highlight w:val="none"/>
          <w:lang w:val="en-US" w:eastAsia="zh-CN" w:bidi="ar-SA"/>
        </w:rPr>
        <w:t>支持延庆Y-Hub·OPC创新社区建设</w:t>
      </w:r>
    </w:p>
    <w:p w14:paraId="304DE93C">
      <w:pPr>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outlineLvl w:val="0"/>
        <w:rPr>
          <w:rFonts w:hint="eastAsia" w:ascii="方正小标宋简体" w:hAnsi="方正小标宋简体" w:eastAsia="方正小标宋简体" w:cs="方正小标宋简体"/>
          <w:b w:val="0"/>
          <w:bCs w:val="0"/>
          <w:color w:val="auto"/>
          <w:spacing w:val="0"/>
          <w:kern w:val="2"/>
          <w:sz w:val="32"/>
          <w:szCs w:val="32"/>
          <w:highlight w:val="none"/>
          <w:lang w:val="en-US" w:eastAsia="zh-CN" w:bidi="ar-SA"/>
        </w:rPr>
      </w:pPr>
      <w:r>
        <w:rPr>
          <w:rFonts w:hint="eastAsia" w:ascii="方正小标宋简体" w:hAnsi="方正小标宋简体" w:eastAsia="方正小标宋简体" w:cs="方正小标宋简体"/>
          <w:b w:val="0"/>
          <w:bCs w:val="0"/>
          <w:color w:val="auto"/>
          <w:kern w:val="2"/>
          <w:sz w:val="44"/>
          <w:szCs w:val="44"/>
          <w:highlight w:val="none"/>
          <w:lang w:val="en-US" w:eastAsia="zh-CN" w:bidi="ar-SA"/>
        </w:rPr>
        <w:t>的若干措施（试行）</w:t>
      </w:r>
    </w:p>
    <w:p w14:paraId="3274125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spacing w:val="0"/>
          <w:kern w:val="0"/>
          <w:sz w:val="32"/>
          <w:szCs w:val="32"/>
          <w:highlight w:val="none"/>
        </w:rPr>
      </w:pPr>
    </w:p>
    <w:p w14:paraId="3041566F">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b w:val="0"/>
          <w:bCs w:val="0"/>
          <w:i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为深入贯彻国家“人工智能＋”行动战略，因地制宜培育超级经济个体（OPC），建设延庆Y-Hub·OPC创新社区，助力延庆区“141”现代化产业体系建设，制定本措施。</w:t>
      </w:r>
    </w:p>
    <w:p w14:paraId="33BEFC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第一条  支持科技人才创办OPC。鼓励各类科技人才围绕以文旅体商农林融合驱动的现代服务业、低空安全技术、绿色能源、科技体育、医药健康、都市型现代农业、数字视听等延庆区特色</w:t>
      </w:r>
      <w:r>
        <w:rPr>
          <w:rFonts w:hint="default" w:ascii="仿宋_GB2312" w:hAnsi="仿宋_GB2312" w:eastAsia="仿宋_GB2312" w:cs="仿宋_GB2312"/>
          <w:b w:val="0"/>
          <w:bCs w:val="0"/>
          <w:color w:val="auto"/>
          <w:spacing w:val="0"/>
          <w:kern w:val="2"/>
          <w:sz w:val="32"/>
          <w:szCs w:val="32"/>
          <w:highlight w:val="none"/>
          <w:lang w:val="en-US" w:eastAsia="zh-CN" w:bidi="ar-SA"/>
        </w:rPr>
        <w:t>产业</w:t>
      </w:r>
      <w:r>
        <w:rPr>
          <w:rFonts w:hint="eastAsia" w:ascii="仿宋_GB2312" w:hAnsi="仿宋_GB2312" w:eastAsia="仿宋_GB2312" w:cs="仿宋_GB2312"/>
          <w:b w:val="0"/>
          <w:bCs w:val="0"/>
          <w:color w:val="auto"/>
          <w:spacing w:val="0"/>
          <w:kern w:val="2"/>
          <w:sz w:val="32"/>
          <w:szCs w:val="32"/>
          <w:highlight w:val="none"/>
          <w:lang w:val="en-US" w:eastAsia="zh-CN" w:bidi="ar-SA"/>
        </w:rPr>
        <w:t>在创新社区创办OPC企业</w:t>
      </w:r>
      <w:r>
        <w:rPr>
          <w:rFonts w:hint="default" w:ascii="仿宋_GB2312" w:hAnsi="仿宋_GB2312" w:eastAsia="仿宋_GB2312" w:cs="仿宋_GB2312"/>
          <w:b w:val="0"/>
          <w:bCs w:val="0"/>
          <w:color w:val="auto"/>
          <w:spacing w:val="0"/>
          <w:kern w:val="2"/>
          <w:sz w:val="32"/>
          <w:szCs w:val="32"/>
          <w:highlight w:val="none"/>
          <w:lang w:val="en-US" w:eastAsia="zh-CN" w:bidi="ar-SA"/>
        </w:rPr>
        <w:t>。</w:t>
      </w:r>
      <w:r>
        <w:rPr>
          <w:rFonts w:hint="eastAsia" w:ascii="仿宋_GB2312" w:hAnsi="仿宋_GB2312" w:eastAsia="仿宋_GB2312" w:cs="仿宋_GB2312"/>
          <w:b w:val="0"/>
          <w:bCs w:val="0"/>
          <w:color w:val="auto"/>
          <w:spacing w:val="0"/>
          <w:kern w:val="2"/>
          <w:sz w:val="32"/>
          <w:szCs w:val="32"/>
          <w:highlight w:val="none"/>
          <w:lang w:val="en-US" w:eastAsia="zh-CN" w:bidi="ar-SA"/>
        </w:rPr>
        <w:t>对技术含量高、成</w:t>
      </w:r>
      <w:r>
        <w:rPr>
          <w:rFonts w:hint="eastAsia" w:ascii="仿宋_GB2312" w:hAnsi="仿宋_GB2312" w:eastAsia="仿宋_GB2312" w:cs="仿宋_GB2312"/>
          <w:b w:val="0"/>
          <w:bCs w:val="0"/>
          <w:color w:val="auto"/>
          <w:spacing w:val="-6"/>
          <w:kern w:val="2"/>
          <w:sz w:val="32"/>
          <w:szCs w:val="32"/>
          <w:highlight w:val="none"/>
          <w:lang w:val="en-US" w:eastAsia="zh-CN" w:bidi="ar-SA"/>
        </w:rPr>
        <w:t>长性强、示范带动作用突出的，且经认定符合条件的</w:t>
      </w:r>
      <w:r>
        <w:rPr>
          <w:rFonts w:hint="eastAsia" w:ascii="仿宋_GB2312" w:hAnsi="仿宋_GB2312" w:eastAsia="仿宋_GB2312" w:cs="仿宋_GB2312"/>
          <w:b w:val="0"/>
          <w:bCs w:val="0"/>
          <w:color w:val="auto"/>
          <w:spacing w:val="0"/>
          <w:kern w:val="2"/>
          <w:sz w:val="32"/>
          <w:szCs w:val="32"/>
          <w:highlight w:val="none"/>
          <w:lang w:val="en-US" w:eastAsia="zh-CN" w:bidi="ar-SA"/>
        </w:rPr>
        <w:t>OPC</w:t>
      </w:r>
      <w:r>
        <w:rPr>
          <w:rFonts w:hint="eastAsia" w:ascii="仿宋_GB2312" w:hAnsi="仿宋_GB2312" w:eastAsia="仿宋_GB2312" w:cs="仿宋_GB2312"/>
          <w:b w:val="0"/>
          <w:bCs w:val="0"/>
          <w:color w:val="auto"/>
          <w:spacing w:val="-6"/>
          <w:kern w:val="2"/>
          <w:sz w:val="32"/>
          <w:szCs w:val="32"/>
          <w:highlight w:val="none"/>
          <w:lang w:val="en-US" w:eastAsia="zh-CN" w:bidi="ar-SA"/>
        </w:rPr>
        <w:t>企业给予</w:t>
      </w:r>
      <w:r>
        <w:rPr>
          <w:rFonts w:hint="eastAsia" w:ascii="仿宋_GB2312" w:hAnsi="仿宋_GB2312" w:eastAsia="仿宋_GB2312" w:cs="仿宋_GB2312"/>
          <w:b w:val="0"/>
          <w:bCs w:val="0"/>
          <w:color w:val="auto"/>
          <w:spacing w:val="0"/>
          <w:kern w:val="2"/>
          <w:sz w:val="32"/>
          <w:szCs w:val="32"/>
          <w:highlight w:val="none"/>
          <w:lang w:val="en-US" w:eastAsia="zh-CN" w:bidi="ar-SA"/>
        </w:rPr>
        <w:t>最高</w:t>
      </w:r>
      <w:r>
        <w:rPr>
          <w:rFonts w:hint="eastAsia" w:ascii="仿宋_GB2312" w:hAnsi="仿宋_GB2312" w:eastAsia="仿宋_GB2312" w:cs="仿宋_GB2312"/>
          <w:b w:val="0"/>
          <w:bCs w:val="0"/>
          <w:color w:val="auto"/>
          <w:spacing w:val="-6"/>
          <w:kern w:val="2"/>
          <w:sz w:val="32"/>
          <w:szCs w:val="32"/>
          <w:highlight w:val="none"/>
          <w:lang w:val="en-US" w:eastAsia="zh-CN" w:bidi="ar-SA"/>
        </w:rPr>
        <w:t>5万元创业</w:t>
      </w:r>
      <w:r>
        <w:rPr>
          <w:rFonts w:hint="eastAsia" w:ascii="仿宋_GB2312" w:hAnsi="仿宋_GB2312" w:eastAsia="仿宋_GB2312" w:cs="仿宋_GB2312"/>
          <w:b w:val="0"/>
          <w:bCs w:val="0"/>
          <w:color w:val="auto"/>
          <w:spacing w:val="0"/>
          <w:kern w:val="2"/>
          <w:sz w:val="32"/>
          <w:szCs w:val="32"/>
          <w:highlight w:val="none"/>
          <w:lang w:val="en-US" w:eastAsia="zh-CN" w:bidi="ar-SA"/>
        </w:rPr>
        <w:t>支持。</w:t>
      </w:r>
    </w:p>
    <w:p w14:paraId="1257088D">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第二条  支持优质创新创业赛事项目转化。对在中国创新</w:t>
      </w:r>
      <w:bookmarkStart w:id="0" w:name="_GoBack"/>
      <w:bookmarkEnd w:id="0"/>
      <w:r>
        <w:rPr>
          <w:rFonts w:hint="eastAsia" w:ascii="仿宋_GB2312" w:hAnsi="仿宋_GB2312" w:eastAsia="仿宋_GB2312" w:cs="仿宋_GB2312"/>
          <w:b w:val="0"/>
          <w:bCs w:val="0"/>
          <w:color w:val="auto"/>
          <w:spacing w:val="0"/>
          <w:kern w:val="2"/>
          <w:sz w:val="32"/>
          <w:szCs w:val="32"/>
          <w:highlight w:val="none"/>
          <w:lang w:val="en-US" w:eastAsia="zh-CN" w:bidi="ar-SA"/>
        </w:rPr>
        <w:t>创业大赛、“创客中国”中小企业创新创业大赛、中国国际大学生创新大赛、HICOOL全球创业大赛、中关村国际前沿科技创新大赛、“挑战杯”全国大学生系列科技学术竞赛等省部级及以上创新创业赛事中获奖，并在延庆Y-Hub·OPC创新社区依法依规、实际经营的，且经认定符合条件的OPC企业给予最高10万元支持。</w:t>
      </w:r>
    </w:p>
    <w:p w14:paraId="13DE064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第三条  提供空间载体服务。鼓励创新社区为新入驻的OPC企业配套标准化共享工位，按需开放独立办公空间申请通道。对高校、科研院所成果转化类OPC项目，优先保障独立办公场地服务。</w:t>
      </w:r>
    </w:p>
    <w:p w14:paraId="6899C7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第四条  提供AI要素券补贴支持。鼓励OPC企业使用大模型等AI工具提升运营效率与智能化水平。对经认定符合条件的优质OPC企业，按不超过实际投入50%的标准，给予模型券、算力券专项补贴，两项补贴合计不超过15万元。联动延庆绿色算力资源，提供直连低时延专属算力服务。</w:t>
      </w:r>
    </w:p>
    <w:p w14:paraId="77B414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eastAsia" w:ascii="仿宋_GB2312" w:hAnsi="仿宋_GB2312" w:eastAsia="仿宋_GB2312" w:cs="仿宋_GB2312"/>
          <w:b w:val="0"/>
          <w:bCs w:val="0"/>
          <w:strike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第五条  提供OPC人才引进与安居服务。支持OPC企业核心人才落户，45周岁以内且具有硕士学位或高级职称的成熟人才，以及应届硕士、博士毕业生，对经认定符合条件的即可申办落户手续。优化北京市工作居住证申办流程，对经认定符合条件的OPC创业者可快速办理北京市工作居住证。强化人才住房保障，对经认定符合条件的OPC企业青年创始人及核心人才，按照《延庆区支持青年人才创新创业创未来的若干措施（试行）》予以保障。</w:t>
      </w:r>
    </w:p>
    <w:p w14:paraId="0AEC38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en-US" w:eastAsia="zh-CN" w:bidi="ar-SA"/>
        </w:rPr>
        <w:t>第六条  加强OPC企业金融服务供给。支持OPC企业申请相关金融服务，按企业贷款实际贷款利率给予最高1%利息补贴，每家企业每年贴息最高10万元。开展OPC企业专场项目路演，对接天使投资、种子基金、政府引导基金，坚持投早、投小、投硬科技，助力OPC企业快速成长。</w:t>
      </w:r>
    </w:p>
    <w:p w14:paraId="5B18E1E9">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pacing w:val="0"/>
          <w:sz w:val="32"/>
          <w:szCs w:val="32"/>
          <w:highlight w:val="none"/>
          <w:lang w:val="en-US" w:eastAsia="zh-CN"/>
        </w:rPr>
      </w:pPr>
      <w:r>
        <w:rPr>
          <w:rFonts w:hint="eastAsia" w:ascii="仿宋_GB2312" w:hAnsi="仿宋_GB2312" w:eastAsia="仿宋_GB2312" w:cs="仿宋_GB2312"/>
          <w:b w:val="0"/>
          <w:bCs w:val="0"/>
          <w:color w:val="auto"/>
          <w:spacing w:val="0"/>
          <w:sz w:val="32"/>
          <w:szCs w:val="32"/>
          <w:highlight w:val="none"/>
          <w:lang w:val="en-US" w:eastAsia="zh-CN"/>
        </w:rPr>
        <w:t>第七条  本措施适用于依法依规、实际经营在中关村延庆园范围内，主营业务符合延庆区产业发展方向且生产经营活动合法合规的市场主体</w:t>
      </w:r>
      <w:r>
        <w:rPr>
          <w:rFonts w:hint="eastAsia" w:ascii="仿宋_GB2312" w:hAnsi="仿宋_GB2312" w:eastAsia="仿宋_GB2312" w:cs="仿宋_GB2312"/>
          <w:b w:val="0"/>
          <w:bCs w:val="0"/>
          <w:color w:val="auto"/>
          <w:spacing w:val="0"/>
          <w:sz w:val="32"/>
          <w:szCs w:val="32"/>
          <w:highlight w:val="none"/>
        </w:rPr>
        <w:t>。</w:t>
      </w:r>
      <w:r>
        <w:rPr>
          <w:rFonts w:hint="eastAsia" w:ascii="仿宋_GB2312" w:hAnsi="仿宋_GB2312" w:eastAsia="仿宋_GB2312" w:cs="仿宋_GB2312"/>
          <w:b w:val="0"/>
          <w:bCs w:val="0"/>
          <w:i w:val="0"/>
          <w:color w:val="auto"/>
          <w:spacing w:val="0"/>
          <w:sz w:val="32"/>
          <w:szCs w:val="32"/>
          <w:highlight w:val="none"/>
        </w:rPr>
        <w:t>本措施与区内其他政策有重复、交叉的，按照“从优、不重复</w:t>
      </w:r>
      <w:r>
        <w:rPr>
          <w:rFonts w:hint="eastAsia" w:ascii="仿宋_GB2312" w:hAnsi="仿宋_GB2312" w:eastAsia="仿宋_GB2312" w:cs="仿宋_GB2312"/>
          <w:b w:val="0"/>
          <w:bCs w:val="0"/>
          <w:i w:val="0"/>
          <w:color w:val="auto"/>
          <w:spacing w:val="0"/>
          <w:sz w:val="32"/>
          <w:szCs w:val="32"/>
          <w:highlight w:val="none"/>
          <w:lang w:val="en-US" w:eastAsia="zh-CN"/>
        </w:rPr>
        <w:t>享受</w:t>
      </w:r>
      <w:r>
        <w:rPr>
          <w:rFonts w:hint="eastAsia" w:ascii="仿宋_GB2312" w:hAnsi="仿宋_GB2312" w:eastAsia="仿宋_GB2312" w:cs="仿宋_GB2312"/>
          <w:b w:val="0"/>
          <w:bCs w:val="0"/>
          <w:i w:val="0"/>
          <w:color w:val="auto"/>
          <w:spacing w:val="0"/>
          <w:sz w:val="32"/>
          <w:szCs w:val="32"/>
          <w:highlight w:val="none"/>
        </w:rPr>
        <w:t>”原则执行</w:t>
      </w:r>
      <w:r>
        <w:rPr>
          <w:rFonts w:hint="eastAsia" w:ascii="仿宋_GB2312" w:hAnsi="仿宋_GB2312" w:eastAsia="仿宋_GB2312" w:cs="仿宋_GB2312"/>
          <w:b w:val="0"/>
          <w:bCs w:val="0"/>
          <w:i w:val="0"/>
          <w:color w:val="auto"/>
          <w:spacing w:val="0"/>
          <w:sz w:val="32"/>
          <w:szCs w:val="32"/>
          <w:highlight w:val="none"/>
          <w:lang w:eastAsia="zh-CN"/>
        </w:rPr>
        <w:t>，</w:t>
      </w:r>
      <w:r>
        <w:rPr>
          <w:rFonts w:hint="eastAsia" w:ascii="仿宋_GB2312" w:hAnsi="仿宋_GB2312" w:eastAsia="仿宋_GB2312" w:cs="仿宋_GB2312"/>
          <w:sz w:val="32"/>
          <w:szCs w:val="32"/>
          <w:highlight w:val="none"/>
          <w:lang w:val="en-US" w:eastAsia="zh-CN"/>
        </w:rPr>
        <w:t>若遇国家、市级、区级相关政策调整，按最新政策规定执行。</w:t>
      </w:r>
      <w:r>
        <w:rPr>
          <w:rFonts w:hint="eastAsia" w:ascii="仿宋_GB2312" w:hAnsi="仿宋_GB2312" w:eastAsia="仿宋_GB2312" w:cs="仿宋_GB2312"/>
          <w:b w:val="0"/>
          <w:bCs w:val="0"/>
          <w:i w:val="0"/>
          <w:color w:val="auto"/>
          <w:spacing w:val="0"/>
          <w:sz w:val="32"/>
          <w:szCs w:val="32"/>
          <w:highlight w:val="none"/>
        </w:rPr>
        <w:t>本措施</w:t>
      </w:r>
      <w:r>
        <w:rPr>
          <w:rFonts w:hint="eastAsia" w:ascii="仿宋_GB2312" w:hAnsi="仿宋_GB2312" w:eastAsia="仿宋_GB2312" w:cs="仿宋_GB2312"/>
          <w:b w:val="0"/>
          <w:bCs w:val="0"/>
          <w:i w:val="0"/>
          <w:color w:val="auto"/>
          <w:spacing w:val="0"/>
          <w:sz w:val="32"/>
          <w:szCs w:val="32"/>
          <w:highlight w:val="none"/>
          <w:lang w:val="en-US" w:eastAsia="zh-CN"/>
        </w:rPr>
        <w:t>于</w:t>
      </w:r>
      <w:r>
        <w:rPr>
          <w:rFonts w:hint="eastAsia" w:ascii="仿宋_GB2312" w:hAnsi="仿宋_GB2312" w:eastAsia="仿宋_GB2312" w:cs="仿宋_GB2312"/>
          <w:b w:val="0"/>
          <w:bCs w:val="0"/>
          <w:i w:val="0"/>
          <w:color w:val="auto"/>
          <w:spacing w:val="0"/>
          <w:sz w:val="32"/>
          <w:szCs w:val="32"/>
          <w:highlight w:val="none"/>
        </w:rPr>
        <w:t>2026年</w:t>
      </w:r>
      <w:r>
        <w:rPr>
          <w:rFonts w:hint="eastAsia" w:ascii="仿宋_GB2312" w:hAnsi="仿宋_GB2312" w:eastAsia="仿宋_GB2312" w:cs="仿宋_GB2312"/>
          <w:b w:val="0"/>
          <w:bCs w:val="0"/>
          <w:i w:val="0"/>
          <w:color w:val="auto"/>
          <w:spacing w:val="0"/>
          <w:sz w:val="32"/>
          <w:szCs w:val="32"/>
          <w:highlight w:val="none"/>
          <w:lang w:val="en-US" w:eastAsia="zh-CN"/>
        </w:rPr>
        <w:t>8</w:t>
      </w:r>
      <w:r>
        <w:rPr>
          <w:rFonts w:hint="eastAsia" w:ascii="仿宋_GB2312" w:hAnsi="仿宋_GB2312" w:eastAsia="仿宋_GB2312" w:cs="仿宋_GB2312"/>
          <w:b w:val="0"/>
          <w:bCs w:val="0"/>
          <w:i w:val="0"/>
          <w:color w:val="auto"/>
          <w:spacing w:val="0"/>
          <w:sz w:val="32"/>
          <w:szCs w:val="32"/>
          <w:highlight w:val="none"/>
        </w:rPr>
        <w:t>月</w:t>
      </w:r>
      <w:r>
        <w:rPr>
          <w:rFonts w:hint="eastAsia" w:ascii="仿宋_GB2312" w:hAnsi="仿宋_GB2312" w:eastAsia="仿宋_GB2312" w:cs="仿宋_GB2312"/>
          <w:b w:val="0"/>
          <w:bCs w:val="0"/>
          <w:i w:val="0"/>
          <w:color w:val="auto"/>
          <w:spacing w:val="0"/>
          <w:sz w:val="32"/>
          <w:szCs w:val="32"/>
          <w:highlight w:val="none"/>
          <w:lang w:val="en-US" w:eastAsia="zh-CN"/>
        </w:rPr>
        <w:t>1</w:t>
      </w:r>
      <w:r>
        <w:rPr>
          <w:rFonts w:hint="eastAsia" w:ascii="仿宋_GB2312" w:hAnsi="仿宋_GB2312" w:eastAsia="仿宋_GB2312" w:cs="仿宋_GB2312"/>
          <w:b w:val="0"/>
          <w:bCs w:val="0"/>
          <w:i w:val="0"/>
          <w:color w:val="auto"/>
          <w:spacing w:val="0"/>
          <w:sz w:val="32"/>
          <w:szCs w:val="32"/>
          <w:highlight w:val="none"/>
        </w:rPr>
        <w:t>日起施行，有效期两年</w:t>
      </w:r>
      <w:r>
        <w:rPr>
          <w:rFonts w:hint="eastAsia" w:ascii="仿宋_GB2312" w:hAnsi="仿宋_GB2312" w:eastAsia="仿宋_GB2312" w:cs="仿宋_GB2312"/>
          <w:b w:val="0"/>
          <w:bCs w:val="0"/>
          <w:i w:val="0"/>
          <w:color w:val="auto"/>
          <w:spacing w:val="0"/>
          <w:sz w:val="32"/>
          <w:szCs w:val="32"/>
          <w:highlight w:val="none"/>
          <w:lang w:eastAsia="zh-CN"/>
        </w:rPr>
        <w:t>，</w:t>
      </w:r>
      <w:r>
        <w:rPr>
          <w:rFonts w:hint="eastAsia" w:ascii="仿宋_GB2312" w:hAnsi="仿宋_GB2312" w:eastAsia="仿宋_GB2312" w:cs="仿宋_GB2312"/>
          <w:b w:val="0"/>
          <w:bCs w:val="0"/>
          <w:i w:val="0"/>
          <w:color w:val="auto"/>
          <w:spacing w:val="0"/>
          <w:sz w:val="32"/>
          <w:szCs w:val="32"/>
          <w:highlight w:val="none"/>
        </w:rPr>
        <w:t>由中关村科技园区延庆园管理委员会负责解释。</w:t>
      </w:r>
    </w:p>
    <w:p w14:paraId="10B198E8">
      <w:pPr>
        <w:pStyle w:val="5"/>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rPr>
          <w:rFonts w:hint="eastAsia" w:ascii="黑体" w:hAnsi="黑体" w:eastAsia="黑体" w:cs="黑体"/>
          <w:b w:val="0"/>
          <w:bCs w:val="0"/>
          <w:color w:val="auto"/>
          <w:sz w:val="32"/>
          <w:szCs w:val="32"/>
          <w:highlight w:val="none"/>
          <w:lang w:val="en-US" w:eastAsia="zh-CN"/>
        </w:rPr>
      </w:pPr>
    </w:p>
    <w:p w14:paraId="4D125609">
      <w:pPr>
        <w:keepNext w:val="0"/>
        <w:keepLines w:val="0"/>
        <w:pageBreakBefore w:val="0"/>
        <w:widowControl w:val="0"/>
        <w:kinsoku/>
        <w:wordWrap/>
        <w:overflowPunct/>
        <w:topLinePunct w:val="0"/>
        <w:autoSpaceDE w:val="0"/>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spacing w:val="0"/>
          <w:sz w:val="32"/>
          <w:szCs w:val="32"/>
          <w:highlight w:val="none"/>
          <w:lang w:val="en-US" w:eastAsia="zh-CN"/>
        </w:rPr>
      </w:pPr>
    </w:p>
    <w:p w14:paraId="675A50C4">
      <w:pPr>
        <w:pStyle w:val="4"/>
        <w:keepNext w:val="0"/>
        <w:keepLines w:val="0"/>
        <w:pageBreakBefore w:val="0"/>
        <w:kinsoku/>
        <w:wordWrap/>
        <w:overflowPunct/>
        <w:topLinePunct w:val="0"/>
        <w:autoSpaceDE/>
        <w:autoSpaceDN/>
        <w:bidi w:val="0"/>
        <w:adjustRightInd/>
        <w:snapToGrid/>
        <w:spacing w:line="560" w:lineRule="exact"/>
        <w:ind w:left="0" w:leftChars="0" w:firstLine="420" w:firstLineChars="200"/>
        <w:jc w:val="both"/>
        <w:textAlignment w:val="auto"/>
        <w:rPr>
          <w:rFonts w:hint="eastAsia"/>
          <w:highlight w:val="none"/>
          <w:lang w:val="en-US" w:eastAsia="zh-CN"/>
        </w:rPr>
      </w:pPr>
    </w:p>
    <w:p w14:paraId="66E33E6D">
      <w:pPr>
        <w:rPr>
          <w:highlight w:val="none"/>
        </w:rPr>
      </w:pPr>
    </w:p>
    <w:sectPr>
      <w:footerReference r:id="rId4" w:type="default"/>
      <w:pgSz w:w="11906" w:h="16838"/>
      <w:pgMar w:top="2098" w:right="1474" w:bottom="1984"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16CE2">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7B2C3">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630B6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2630B6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6F0166"/>
    <w:rsid w:val="0D7912C0"/>
    <w:rsid w:val="29292E1B"/>
    <w:rsid w:val="2B1C1B62"/>
    <w:rsid w:val="350968D0"/>
    <w:rsid w:val="3C991653"/>
    <w:rsid w:val="4F9A1E0F"/>
    <w:rsid w:val="5C300EF4"/>
    <w:rsid w:val="70FA66EA"/>
    <w:rsid w:val="786F0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index 9"/>
    <w:basedOn w:val="1"/>
    <w:next w:val="1"/>
    <w:qFormat/>
    <w:uiPriority w:val="0"/>
    <w:pPr>
      <w:widowControl w:val="0"/>
      <w:ind w:left="1600" w:leftChars="1600"/>
      <w:jc w:val="both"/>
    </w:pPr>
    <w:rPr>
      <w:rFonts w:ascii="Times New Roman" w:hAnsi="Times New Roman" w:eastAsia="宋体" w:cs="Times New Roman"/>
      <w:kern w:val="2"/>
      <w:sz w:val="21"/>
      <w:lang w:val="en-US" w:eastAsia="zh-CN" w:bidi="ar-SA"/>
    </w:rPr>
  </w:style>
  <w:style w:type="paragraph" w:styleId="5">
    <w:name w:val="Title"/>
    <w:basedOn w:val="1"/>
    <w:qFormat/>
    <w:uiPriority w:val="0"/>
    <w:pPr>
      <w:spacing w:before="240" w:after="60"/>
      <w:jc w:val="center"/>
      <w:outlineLvl w:val="0"/>
    </w:pPr>
    <w:rPr>
      <w:rFonts w:ascii="Cambria" w:hAnsi="Cambria" w:eastAsia="宋体"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1081</Words>
  <Characters>1152</Characters>
  <Lines>0</Lines>
  <Paragraphs>0</Paragraphs>
  <TotalTime>7</TotalTime>
  <ScaleCrop>false</ScaleCrop>
  <LinksUpToDate>false</LinksUpToDate>
  <CharactersWithSpaces>1166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2026-07-23T00:47:00Z</dcterms:created>
  <dc:creator>周博</dc:creator>
  <cp:lastModifiedBy>周博</cp:lastModifiedBy>
  <dcterms:modified xsi:type="dcterms:W3CDTF">2026-07-31T09:37:21Z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74E05F29B180494095DB13EE2253263A_13</vt:lpwstr>
  </property>
  <property fmtid="{D5CDD505-2E9C-101B-9397-08002B2CF9AE}" pid="4" name="KSOTemplateDocerSaveRecord">
    <vt:lpwstr>eyJoZGlkIjoiZWIxOGRiMGE5NjMzNTgxYTlhZWI2OTk4MGJjODVmMDciLCJ1c2VySWQiOiIxNzc0OTkwNjg5In0=</vt:lpwstr>
  </property>
</Properties>
</file>