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318EF5">
      <w:pPr>
        <w:spacing w:line="560" w:lineRule="exact"/>
        <w:jc w:val="left"/>
        <w:outlineLvl w:val="0"/>
        <w:rPr>
          <w:rFonts w:ascii="黑体" w:hAnsi="黑体" w:eastAsia="黑体" w:cs="方正小标宋简体"/>
          <w:kern w:val="0"/>
          <w:sz w:val="32"/>
          <w:szCs w:val="32"/>
          <w:lang w:bidi="ar"/>
        </w:rPr>
      </w:pPr>
      <w:r>
        <w:rPr>
          <w:rFonts w:hint="eastAsia" w:ascii="黑体" w:hAnsi="黑体" w:eastAsia="黑体" w:cs="方正小标宋简体"/>
          <w:kern w:val="0"/>
          <w:sz w:val="32"/>
          <w:szCs w:val="32"/>
          <w:lang w:bidi="ar"/>
        </w:rPr>
        <w:t>附件</w:t>
      </w:r>
    </w:p>
    <w:p w14:paraId="105043EC">
      <w:pPr>
        <w:spacing w:line="56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2026年“5G-A典型应用案例”专项奖励</w:t>
      </w:r>
    </w:p>
    <w:p w14:paraId="3161E3C9">
      <w:pPr>
        <w:spacing w:line="56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办事指南</w:t>
      </w:r>
    </w:p>
    <w:p w14:paraId="07F2B506">
      <w:pPr>
        <w:spacing w:line="560" w:lineRule="exact"/>
        <w:rPr>
          <w:rFonts w:ascii="仿宋_GB2312" w:hAnsi="仿宋_GB2312" w:eastAsia="仿宋_GB2312" w:cs="仿宋_GB2312"/>
          <w:sz w:val="32"/>
          <w:szCs w:val="32"/>
        </w:rPr>
      </w:pPr>
    </w:p>
    <w:p w14:paraId="6BE84375">
      <w:pPr>
        <w:spacing w:line="560" w:lineRule="exact"/>
        <w:ind w:firstLine="640" w:firstLineChars="200"/>
        <w:outlineLvl w:val="0"/>
        <w:rPr>
          <w:rFonts w:ascii="黑体" w:hAnsi="黑体" w:eastAsia="黑体" w:cs="黑体"/>
          <w:color w:val="000000"/>
          <w:kern w:val="0"/>
          <w:sz w:val="32"/>
          <w:szCs w:val="32"/>
        </w:rPr>
      </w:pPr>
      <w:r>
        <w:rPr>
          <w:rFonts w:hint="eastAsia" w:ascii="黑体" w:hAnsi="黑体" w:eastAsia="黑体" w:cs="黑体"/>
          <w:sz w:val="32"/>
          <w:szCs w:val="32"/>
        </w:rPr>
        <w:t>一、政策依据</w:t>
      </w:r>
    </w:p>
    <w:p w14:paraId="391BD698">
      <w:pPr>
        <w:spacing w:line="560" w:lineRule="exact"/>
        <w:ind w:firstLine="640" w:firstLineChars="200"/>
        <w:rPr>
          <w:rFonts w:ascii="仿宋_GB2312" w:hAnsi="仿宋_GB2312" w:eastAsia="仿宋_GB2312" w:cs="仿宋_GB2312"/>
          <w:bCs/>
          <w:color w:val="000000"/>
          <w:kern w:val="0"/>
          <w:sz w:val="32"/>
          <w:szCs w:val="32"/>
        </w:rPr>
      </w:pPr>
      <w:r>
        <w:rPr>
          <w:rFonts w:hint="eastAsia" w:ascii="仿宋_GB2312" w:hAnsi="仿宋_GB2312" w:eastAsia="仿宋_GB2312" w:cs="仿宋_GB2312"/>
          <w:bCs/>
          <w:color w:val="000000"/>
          <w:kern w:val="0"/>
          <w:sz w:val="32"/>
          <w:szCs w:val="32"/>
          <w:lang w:val="en-US" w:eastAsia="zh-CN"/>
        </w:rPr>
        <w:t>根据</w:t>
      </w:r>
      <w:r>
        <w:rPr>
          <w:rFonts w:hint="eastAsia" w:ascii="仿宋_GB2312" w:hAnsi="仿宋_GB2312" w:eastAsia="仿宋_GB2312" w:cs="仿宋_GB2312"/>
          <w:bCs/>
          <w:color w:val="000000"/>
          <w:kern w:val="0"/>
          <w:sz w:val="32"/>
          <w:szCs w:val="32"/>
        </w:rPr>
        <w:t>《北京经济技术开发区关于加快推动6G技术和产业创新发展的若干措施》（京技管发〔202</w:t>
      </w:r>
      <w:r>
        <w:rPr>
          <w:rFonts w:ascii="仿宋_GB2312" w:hAnsi="仿宋_GB2312" w:eastAsia="仿宋_GB2312" w:cs="仿宋_GB2312"/>
          <w:bCs/>
          <w:color w:val="000000"/>
          <w:kern w:val="0"/>
          <w:sz w:val="32"/>
          <w:szCs w:val="32"/>
        </w:rPr>
        <w:t>5</w:t>
      </w:r>
      <w:r>
        <w:rPr>
          <w:rFonts w:hint="eastAsia" w:ascii="仿宋_GB2312" w:hAnsi="仿宋_GB2312" w:eastAsia="仿宋_GB2312" w:cs="仿宋_GB2312"/>
          <w:bCs/>
          <w:color w:val="000000"/>
          <w:kern w:val="0"/>
          <w:sz w:val="32"/>
          <w:szCs w:val="32"/>
        </w:rPr>
        <w:t>〕</w:t>
      </w:r>
      <w:r>
        <w:rPr>
          <w:rFonts w:ascii="仿宋_GB2312" w:hAnsi="仿宋_GB2312" w:eastAsia="仿宋_GB2312" w:cs="仿宋_GB2312"/>
          <w:bCs/>
          <w:color w:val="000000"/>
          <w:kern w:val="0"/>
          <w:sz w:val="32"/>
          <w:szCs w:val="32"/>
        </w:rPr>
        <w:t>14</w:t>
      </w:r>
      <w:r>
        <w:rPr>
          <w:rFonts w:hint="eastAsia" w:ascii="仿宋_GB2312" w:hAnsi="仿宋_GB2312" w:eastAsia="仿宋_GB2312" w:cs="仿宋_GB2312"/>
          <w:bCs/>
          <w:color w:val="000000"/>
          <w:kern w:val="0"/>
          <w:sz w:val="32"/>
          <w:szCs w:val="32"/>
        </w:rPr>
        <w:t>号）中第七条“支持行业用户联合科研机构、设备商开展5G-A/6G融合应用创新，挖掘创新应用场景，在智慧工业、智慧交通、智慧教育、智慧政务等领域打造一批示范标杆项目，经评审认定，给予最高500万元资金支持”。</w:t>
      </w:r>
    </w:p>
    <w:p w14:paraId="4CBCFBF8">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二、申报事项</w:t>
      </w:r>
    </w:p>
    <w:p w14:paraId="261D3D73">
      <w:pPr>
        <w:spacing w:line="560" w:lineRule="exact"/>
        <w:ind w:firstLine="640" w:firstLineChars="200"/>
        <w:rPr>
          <w:rFonts w:ascii="黑体" w:hAnsi="黑体" w:eastAsia="黑体" w:cs="黑体"/>
          <w:bCs/>
          <w:color w:val="000000"/>
          <w:kern w:val="0"/>
          <w:sz w:val="32"/>
          <w:szCs w:val="32"/>
        </w:rPr>
      </w:pPr>
      <w:r>
        <w:rPr>
          <w:rFonts w:hint="eastAsia" w:ascii="仿宋_GB2312" w:hAnsi="仿宋_GB2312" w:eastAsia="仿宋_GB2312" w:cs="仿宋_GB2312"/>
          <w:bCs/>
          <w:kern w:val="0"/>
          <w:sz w:val="32"/>
          <w:szCs w:val="32"/>
        </w:rPr>
        <w:t>2026年“5G</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A典型应用案例”专项奖励</w:t>
      </w:r>
    </w:p>
    <w:p w14:paraId="4834A39B">
      <w:pPr>
        <w:spacing w:line="560" w:lineRule="exact"/>
        <w:ind w:firstLine="640" w:firstLineChars="200"/>
        <w:outlineLvl w:val="0"/>
        <w:rPr>
          <w:rFonts w:ascii="黑体" w:hAnsi="黑体" w:eastAsia="黑体" w:cs="黑体"/>
          <w:bCs/>
          <w:color w:val="000000"/>
          <w:kern w:val="0"/>
          <w:sz w:val="32"/>
          <w:szCs w:val="32"/>
        </w:rPr>
      </w:pPr>
      <w:r>
        <w:rPr>
          <w:rFonts w:hint="eastAsia" w:ascii="黑体" w:hAnsi="黑体" w:eastAsia="黑体" w:cs="黑体"/>
          <w:bCs/>
          <w:color w:val="000000"/>
          <w:kern w:val="0"/>
          <w:sz w:val="32"/>
          <w:szCs w:val="32"/>
        </w:rPr>
        <w:t>三、申报条件</w:t>
      </w:r>
    </w:p>
    <w:p w14:paraId="12A48045">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（一）申报</w:t>
      </w:r>
      <w:r>
        <w:rPr>
          <w:rFonts w:hint="eastAsia" w:ascii="仿宋_GB2312" w:hAnsi="仿宋_GB2312" w:eastAsia="仿宋_GB2312" w:cs="仿宋_GB2312"/>
          <w:kern w:val="0"/>
          <w:sz w:val="32"/>
          <w:szCs w:val="32"/>
          <w:lang w:eastAsia="zh-CN" w:bidi="ar"/>
        </w:rPr>
        <w:t>单位</w:t>
      </w:r>
      <w:r>
        <w:rPr>
          <w:rFonts w:hint="eastAsia" w:ascii="仿宋_GB2312" w:hAnsi="仿宋_GB2312" w:eastAsia="仿宋_GB2312" w:cs="仿宋_GB2312"/>
          <w:kern w:val="0"/>
          <w:sz w:val="32"/>
          <w:szCs w:val="32"/>
          <w:lang w:bidi="ar"/>
        </w:rPr>
        <w:t>为在亦庄新城225平方公里范围内</w:t>
      </w:r>
      <w:r>
        <w:rPr>
          <w:rFonts w:hint="eastAsia" w:ascii="仿宋_GB2312" w:hAnsi="仿宋_GB2312" w:eastAsia="仿宋_GB2312" w:cs="仿宋_GB2312"/>
          <w:kern w:val="0"/>
          <w:sz w:val="32"/>
          <w:szCs w:val="32"/>
          <w:lang w:eastAsia="zh-CN" w:bidi="ar"/>
        </w:rPr>
        <w:t>依法</w:t>
      </w:r>
      <w:r>
        <w:rPr>
          <w:rFonts w:hint="eastAsia" w:ascii="仿宋_GB2312" w:hAnsi="仿宋_GB2312" w:eastAsia="仿宋_GB2312" w:cs="仿宋_GB2312"/>
          <w:kern w:val="0"/>
          <w:sz w:val="32"/>
          <w:szCs w:val="32"/>
          <w:lang w:bidi="ar"/>
        </w:rPr>
        <w:t>实际经营，近3年无重大行政处罚记录和刑事犯罪记录，未列入严重违法失信主体名单的企事业单位及社会组织。</w:t>
      </w:r>
    </w:p>
    <w:p w14:paraId="079618BA">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（二）申报</w:t>
      </w:r>
      <w:r>
        <w:rPr>
          <w:rFonts w:hint="eastAsia" w:ascii="仿宋_GB2312" w:hAnsi="仿宋_GB2312" w:eastAsia="仿宋_GB2312" w:cs="仿宋_GB2312"/>
          <w:kern w:val="0"/>
          <w:sz w:val="32"/>
          <w:szCs w:val="32"/>
          <w:lang w:eastAsia="zh-CN" w:bidi="ar"/>
        </w:rPr>
        <w:t>单位</w:t>
      </w:r>
      <w:r>
        <w:rPr>
          <w:rFonts w:ascii="仿宋_GB2312" w:hAnsi="仿宋_GB2312" w:eastAsia="仿宋_GB2312" w:cs="仿宋_GB2312"/>
          <w:color w:val="000000"/>
          <w:sz w:val="32"/>
          <w:szCs w:val="32"/>
          <w14:textFill>
            <w14:solidFill>
              <w14:srgbClr w14:val="000000">
                <w14:lumMod w14:val="85000"/>
                <w14:lumOff w14:val="15000"/>
              </w14:srgbClr>
            </w14:solidFill>
          </w14:textFill>
        </w:rPr>
        <w:t>须为</w:t>
      </w:r>
      <w:r>
        <w:rPr>
          <w:rFonts w:hint="eastAsia" w:ascii="仿宋_GB2312" w:hAnsi="仿宋_GB2312" w:eastAsia="仿宋_GB2312" w:cs="仿宋_GB2312"/>
          <w:color w:val="000000"/>
          <w:sz w:val="32"/>
          <w:szCs w:val="32"/>
          <w14:textFill>
            <w14:solidFill>
              <w14:srgbClr w14:val="000000">
                <w14:lumMod w14:val="85000"/>
                <w14:lumOff w14:val="15000"/>
              </w14:srgbClr>
            </w14:solidFill>
          </w14:textFill>
        </w:rPr>
        <w:t>行业用户单位</w:t>
      </w:r>
      <w:r>
        <w:rPr>
          <w:rFonts w:ascii="仿宋_GB2312" w:hAnsi="仿宋_GB2312" w:eastAsia="仿宋_GB2312" w:cs="仿宋_GB2312"/>
          <w:color w:val="000000"/>
          <w:sz w:val="32"/>
          <w:szCs w:val="32"/>
          <w14:textFill>
            <w14:solidFill>
              <w14:srgbClr w14:val="000000">
                <w14:lumMod w14:val="85000"/>
                <w14:lumOff w14:val="15000"/>
              </w14:srgbClr>
            </w14:solidFill>
          </w14:textFill>
        </w:rPr>
        <w:t>，</w:t>
      </w:r>
      <w:r>
        <w:rPr>
          <w:rFonts w:hint="eastAsia" w:ascii="仿宋_GB2312" w:hAnsi="仿宋_GB2312" w:eastAsia="仿宋_GB2312" w:cs="仿宋_GB2312"/>
          <w:kern w:val="0"/>
          <w:sz w:val="32"/>
          <w:szCs w:val="32"/>
          <w:lang w:bidi="ar"/>
        </w:rPr>
        <w:t>在智慧工业、智慧交通、智慧教育、智慧政务等重点行业典型场景有实际落地并稳定运行的解决方案，且该方案在该应用场景产生一定经济效益或社会效益。</w:t>
      </w:r>
    </w:p>
    <w:p w14:paraId="4A765E8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（三）申报应用案例的创意、产品、技术及相关专利等知识产权应具有合法来源且无知识产权纠纷。</w:t>
      </w:r>
    </w:p>
    <w:p w14:paraId="4CDFC2A1">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（四）应用案例的验收时间应在2025年</w:t>
      </w:r>
      <w:r>
        <w:rPr>
          <w:rFonts w:hint="eastAsia" w:ascii="仿宋_GB2312" w:hAnsi="仿宋_GB2312" w:eastAsia="仿宋_GB2312" w:cs="仿宋_GB2312"/>
          <w:kern w:val="0"/>
          <w:sz w:val="32"/>
          <w:szCs w:val="32"/>
          <w:lang w:val="en-US" w:eastAsia="zh-CN" w:bidi="ar"/>
        </w:rPr>
        <w:t>9</w:t>
      </w:r>
      <w:r>
        <w:rPr>
          <w:rFonts w:hint="eastAsia" w:ascii="仿宋_GB2312" w:hAnsi="仿宋_GB2312" w:eastAsia="仿宋_GB2312" w:cs="仿宋_GB2312"/>
          <w:kern w:val="0"/>
          <w:sz w:val="32"/>
          <w:szCs w:val="32"/>
          <w:lang w:bidi="ar"/>
        </w:rPr>
        <w:t>月</w:t>
      </w:r>
      <w:r>
        <w:rPr>
          <w:rFonts w:hint="eastAsia" w:ascii="仿宋_GB2312" w:hAnsi="仿宋_GB2312" w:eastAsia="仿宋_GB2312" w:cs="仿宋_GB2312"/>
          <w:kern w:val="0"/>
          <w:sz w:val="32"/>
          <w:szCs w:val="32"/>
          <w:lang w:val="en-US" w:eastAsia="zh-CN" w:bidi="ar"/>
        </w:rPr>
        <w:t>15</w:t>
      </w:r>
      <w:r>
        <w:rPr>
          <w:rFonts w:hint="eastAsia" w:ascii="仿宋_GB2312" w:hAnsi="仿宋_GB2312" w:eastAsia="仿宋_GB2312" w:cs="仿宋_GB2312"/>
          <w:kern w:val="0"/>
          <w:sz w:val="32"/>
          <w:szCs w:val="32"/>
          <w:lang w:bidi="ar"/>
        </w:rPr>
        <w:t>日（含）之后，且在申报截止日期前完成。</w:t>
      </w:r>
    </w:p>
    <w:p w14:paraId="7E00671F">
      <w:pPr>
        <w:adjustRightInd w:val="0"/>
        <w:snapToGrid w:val="0"/>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（五）申报企业相关应用案例未获得北京经济技术开发区其他财政资金支持。</w:t>
      </w:r>
    </w:p>
    <w:p w14:paraId="2A510E29">
      <w:pPr>
        <w:spacing w:line="560" w:lineRule="exact"/>
        <w:ind w:firstLine="640" w:firstLineChars="200"/>
        <w:outlineLvl w:val="0"/>
        <w:rPr>
          <w:rFonts w:ascii="黑体" w:hAnsi="黑体" w:eastAsia="黑体" w:cs="黑体"/>
          <w:bCs/>
          <w:kern w:val="0"/>
          <w:sz w:val="32"/>
          <w:szCs w:val="32"/>
        </w:rPr>
      </w:pPr>
      <w:r>
        <w:rPr>
          <w:rFonts w:hint="eastAsia" w:ascii="黑体" w:hAnsi="黑体" w:eastAsia="黑体" w:cs="黑体"/>
          <w:bCs/>
          <w:kern w:val="0"/>
          <w:sz w:val="32"/>
          <w:szCs w:val="32"/>
        </w:rPr>
        <w:t>四、支持内容及标准</w:t>
      </w:r>
    </w:p>
    <w:p w14:paraId="783407F0">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（一）对于5G-A应用案例，给予申报企业实际完成合同金额30%、最高300万元支持。</w:t>
      </w:r>
    </w:p>
    <w:p w14:paraId="1B3A3F8B">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（二）同一申报企业申报多个5G</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A应用案例的，每个自然年奖励金额不超过</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00万元。</w:t>
      </w:r>
    </w:p>
    <w:p w14:paraId="28BAB03E">
      <w:pPr>
        <w:widowControl/>
        <w:spacing w:line="560" w:lineRule="exact"/>
        <w:ind w:firstLine="640" w:firstLineChars="200"/>
        <w:rPr>
          <w:rFonts w:eastAsia="仿宋_GB2312"/>
          <w:sz w:val="32"/>
          <w:szCs w:val="40"/>
          <w14:ligatures w14:val="standardContextual"/>
        </w:rPr>
      </w:pPr>
      <w:r>
        <w:rPr>
          <w:rFonts w:hint="eastAsia" w:ascii="仿宋_GB2312" w:hAnsi="仿宋_GB2312" w:eastAsia="仿宋_GB2312" w:cs="仿宋_GB2312"/>
          <w:sz w:val="32"/>
          <w:szCs w:val="32"/>
        </w:rPr>
        <w:t>（三）奖励金额以万元为单位，保留一位小数，不足千元部分舍去。奖励金额低于1万元不予兑现。</w:t>
      </w:r>
    </w:p>
    <w:p w14:paraId="6A9F23EC">
      <w:pPr>
        <w:spacing w:line="560" w:lineRule="exact"/>
        <w:ind w:firstLine="640" w:firstLineChars="200"/>
        <w:outlineLvl w:val="0"/>
        <w:rPr>
          <w:rFonts w:ascii="仿宋_GB2312" w:hAnsi="仿宋_GB2312" w:eastAsia="仿宋_GB2312" w:cs="仿宋_GB2312"/>
          <w:spacing w:val="6"/>
          <w:sz w:val="32"/>
          <w:szCs w:val="32"/>
        </w:rPr>
      </w:pPr>
      <w:r>
        <w:rPr>
          <w:rFonts w:hint="eastAsia" w:ascii="黑体" w:hAnsi="黑体" w:eastAsia="黑体" w:cs="黑体"/>
          <w:bCs/>
          <w:color w:val="000000"/>
          <w:kern w:val="0"/>
          <w:sz w:val="32"/>
          <w:szCs w:val="32"/>
          <w:lang w:val="en-US" w:eastAsia="zh-CN"/>
        </w:rPr>
        <w:t>五</w:t>
      </w:r>
      <w:r>
        <w:rPr>
          <w:rFonts w:hint="eastAsia" w:ascii="黑体" w:hAnsi="黑体" w:eastAsia="黑体" w:cs="黑体"/>
          <w:bCs/>
          <w:color w:val="000000"/>
          <w:kern w:val="0"/>
          <w:sz w:val="32"/>
          <w:szCs w:val="32"/>
        </w:rPr>
        <w:t>、申报材料及要求</w:t>
      </w:r>
    </w:p>
    <w:p w14:paraId="3234149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“5G</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A典型应用案例”专项奖励申报表，在线填写；</w:t>
      </w:r>
    </w:p>
    <w:p w14:paraId="53AC991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企业营业执照，选取电子证照；</w:t>
      </w:r>
    </w:p>
    <w:p w14:paraId="3CBB3E4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承诺书，下载模板填写，签字、加盖公章，</w:t>
      </w:r>
      <w:r>
        <w:rPr>
          <w:rFonts w:hint="eastAsia" w:ascii="仿宋_GB2312" w:hAnsi="仿宋_GB2312" w:eastAsia="仿宋_GB2312" w:cs="仿宋_GB2312"/>
          <w:spacing w:val="6"/>
          <w:sz w:val="32"/>
          <w:szCs w:val="32"/>
        </w:rPr>
        <w:t>原件</w:t>
      </w:r>
      <w:r>
        <w:rPr>
          <w:rFonts w:hint="eastAsia" w:ascii="仿宋_GB2312" w:hAnsi="仿宋_GB2312" w:eastAsia="仿宋_GB2312" w:cs="仿宋_GB2312"/>
          <w:sz w:val="32"/>
          <w:szCs w:val="32"/>
        </w:rPr>
        <w:t>扫描上传；</w:t>
      </w:r>
    </w:p>
    <w:p w14:paraId="05769C5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银行账户信息，下载模板填写，加盖公章，</w:t>
      </w:r>
      <w:r>
        <w:rPr>
          <w:rFonts w:hint="eastAsia" w:ascii="仿宋_GB2312" w:hAnsi="仿宋_GB2312" w:eastAsia="仿宋_GB2312" w:cs="仿宋_GB2312"/>
          <w:spacing w:val="6"/>
          <w:sz w:val="32"/>
          <w:szCs w:val="32"/>
        </w:rPr>
        <w:t>原件</w:t>
      </w:r>
      <w:r>
        <w:rPr>
          <w:rFonts w:hint="eastAsia" w:ascii="仿宋_GB2312" w:hAnsi="仿宋_GB2312" w:eastAsia="仿宋_GB2312" w:cs="仿宋_GB2312"/>
          <w:sz w:val="32"/>
          <w:szCs w:val="32"/>
        </w:rPr>
        <w:t>扫描上传；</w:t>
      </w:r>
    </w:p>
    <w:p w14:paraId="515E48C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4和2</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5年度审计报告，</w:t>
      </w:r>
      <w:r>
        <w:rPr>
          <w:rFonts w:hint="eastAsia" w:ascii="仿宋_GB2312" w:hAnsi="仿宋_GB2312" w:eastAsia="仿宋_GB2312" w:cs="仿宋_GB2312"/>
          <w:spacing w:val="6"/>
          <w:sz w:val="32"/>
          <w:szCs w:val="32"/>
        </w:rPr>
        <w:t>原件</w:t>
      </w:r>
      <w:r>
        <w:rPr>
          <w:rFonts w:hint="eastAsia" w:ascii="仿宋_GB2312" w:hAnsi="仿宋_GB2312" w:eastAsia="仿宋_GB2312" w:cs="仿宋_GB2312"/>
          <w:spacing w:val="6"/>
          <w:sz w:val="32"/>
          <w:szCs w:val="32"/>
          <w:lang w:eastAsia="zh-CN"/>
        </w:rPr>
        <w:t>彩色</w:t>
      </w:r>
      <w:r>
        <w:rPr>
          <w:rFonts w:hint="eastAsia" w:ascii="仿宋_GB2312" w:hAnsi="仿宋_GB2312" w:eastAsia="仿宋_GB2312" w:cs="仿宋_GB2312"/>
          <w:sz w:val="32"/>
          <w:szCs w:val="32"/>
        </w:rPr>
        <w:t>扫描上传；</w:t>
      </w:r>
    </w:p>
    <w:p w14:paraId="40BA712F">
      <w:pPr>
        <w:spacing w:line="560" w:lineRule="exact"/>
        <w:ind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pacing w:val="6"/>
          <w:sz w:val="32"/>
          <w:szCs w:val="32"/>
        </w:rPr>
        <w:t>费用支付</w:t>
      </w:r>
      <w:r>
        <w:rPr>
          <w:rFonts w:hint="eastAsia" w:ascii="仿宋_GB2312" w:hAnsi="仿宋_GB2312" w:eastAsia="仿宋_GB2312" w:cs="仿宋_GB2312"/>
          <w:spacing w:val="6"/>
          <w:sz w:val="32"/>
          <w:szCs w:val="32"/>
          <w:lang w:eastAsia="zh-CN"/>
        </w:rPr>
        <w:t>凭证或</w:t>
      </w:r>
      <w:r>
        <w:rPr>
          <w:rFonts w:hint="eastAsia" w:ascii="仿宋_GB2312" w:hAnsi="仿宋_GB2312" w:eastAsia="仿宋_GB2312" w:cs="仿宋_GB2312"/>
          <w:spacing w:val="6"/>
          <w:sz w:val="32"/>
          <w:szCs w:val="32"/>
        </w:rPr>
        <w:t>到账凭证、发票，原件</w:t>
      </w:r>
      <w:r>
        <w:rPr>
          <w:rFonts w:hint="eastAsia" w:ascii="仿宋_GB2312" w:hAnsi="仿宋_GB2312" w:eastAsia="仿宋_GB2312" w:cs="仿宋_GB2312"/>
          <w:spacing w:val="6"/>
          <w:sz w:val="32"/>
          <w:szCs w:val="32"/>
          <w:lang w:eastAsia="zh-CN"/>
        </w:rPr>
        <w:t>彩色</w:t>
      </w:r>
      <w:r>
        <w:rPr>
          <w:rFonts w:hint="eastAsia" w:ascii="仿宋_GB2312" w:hAnsi="仿宋_GB2312" w:eastAsia="仿宋_GB2312" w:cs="仿宋_GB2312"/>
          <w:spacing w:val="6"/>
          <w:sz w:val="32"/>
          <w:szCs w:val="32"/>
        </w:rPr>
        <w:t>扫描上传；</w:t>
      </w:r>
    </w:p>
    <w:p w14:paraId="3FDC7C95">
      <w:pPr>
        <w:spacing w:line="560" w:lineRule="exact"/>
        <w:ind w:firstLine="664"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7.</w:t>
      </w:r>
      <w:r>
        <w:rPr>
          <w:rFonts w:hint="eastAsia" w:ascii="仿宋_GB2312" w:hAnsi="仿宋_GB2312" w:eastAsia="仿宋_GB2312" w:cs="仿宋_GB2312"/>
          <w:spacing w:val="6"/>
          <w:sz w:val="32"/>
          <w:szCs w:val="32"/>
        </w:rPr>
        <w:t>场景解决方案实施合同，原件</w:t>
      </w:r>
      <w:r>
        <w:rPr>
          <w:rFonts w:hint="eastAsia" w:ascii="仿宋_GB2312" w:hAnsi="仿宋_GB2312" w:eastAsia="仿宋_GB2312" w:cs="仿宋_GB2312"/>
          <w:spacing w:val="6"/>
          <w:sz w:val="32"/>
          <w:szCs w:val="32"/>
          <w:lang w:eastAsia="zh-CN"/>
        </w:rPr>
        <w:t>彩色</w:t>
      </w:r>
      <w:r>
        <w:rPr>
          <w:rFonts w:hint="eastAsia" w:ascii="仿宋_GB2312" w:hAnsi="仿宋_GB2312" w:eastAsia="仿宋_GB2312" w:cs="仿宋_GB2312"/>
          <w:spacing w:val="6"/>
          <w:sz w:val="32"/>
          <w:szCs w:val="32"/>
        </w:rPr>
        <w:t>扫描上传；</w:t>
      </w:r>
    </w:p>
    <w:p w14:paraId="61F4C56A">
      <w:pPr>
        <w:spacing w:line="560" w:lineRule="exact"/>
        <w:ind w:firstLine="664"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val="en-US" w:eastAsia="zh-CN"/>
        </w:rPr>
        <w:t>8.</w:t>
      </w:r>
      <w:r>
        <w:rPr>
          <w:rFonts w:hint="eastAsia" w:ascii="仿宋_GB2312" w:hAnsi="仿宋_GB2312" w:eastAsia="仿宋_GB2312" w:cs="仿宋_GB2312"/>
          <w:spacing w:val="6"/>
          <w:sz w:val="32"/>
          <w:szCs w:val="32"/>
          <w:lang w:eastAsia="zh-CN"/>
        </w:rPr>
        <w:t>场景解决方案验收报告或验收证明，原件彩色扫描上传；</w:t>
      </w:r>
    </w:p>
    <w:p w14:paraId="17A4787E">
      <w:pPr>
        <w:spacing w:line="560" w:lineRule="exact"/>
        <w:ind w:firstLine="664"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val="en-US" w:eastAsia="zh-CN"/>
        </w:rPr>
        <w:t>9.</w:t>
      </w:r>
      <w:r>
        <w:rPr>
          <w:rFonts w:hint="eastAsia" w:ascii="仿宋_GB2312" w:hAnsi="仿宋_GB2312" w:eastAsia="仿宋_GB2312" w:cs="仿宋_GB2312"/>
          <w:spacing w:val="6"/>
          <w:sz w:val="32"/>
          <w:szCs w:val="32"/>
          <w:lang w:eastAsia="zh-CN"/>
        </w:rPr>
        <w:t>应用实例证明，包括但不限于投资项目备案证明、现场图片、演示视频，原件彩色扫描上传；</w:t>
      </w:r>
    </w:p>
    <w:p w14:paraId="7DF92100">
      <w:pPr>
        <w:spacing w:line="560" w:lineRule="exact"/>
        <w:ind w:firstLine="664" w:firstLineChars="200"/>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10.</w:t>
      </w:r>
      <w:r>
        <w:rPr>
          <w:rFonts w:hint="eastAsia" w:ascii="仿宋_GB2312" w:hAnsi="仿宋_GB2312" w:eastAsia="仿宋_GB2312" w:cs="仿宋_GB2312"/>
          <w:spacing w:val="6"/>
          <w:sz w:val="32"/>
          <w:szCs w:val="32"/>
        </w:rPr>
        <w:t>主导或参与标准证明材料，原件</w:t>
      </w:r>
      <w:r>
        <w:rPr>
          <w:rFonts w:hint="eastAsia" w:ascii="仿宋_GB2312" w:hAnsi="仿宋_GB2312" w:eastAsia="仿宋_GB2312" w:cs="仿宋_GB2312"/>
          <w:spacing w:val="6"/>
          <w:sz w:val="32"/>
          <w:szCs w:val="32"/>
          <w:lang w:eastAsia="zh-CN"/>
        </w:rPr>
        <w:t>彩色</w:t>
      </w:r>
      <w:r>
        <w:rPr>
          <w:rFonts w:hint="eastAsia" w:ascii="仿宋_GB2312" w:hAnsi="仿宋_GB2312" w:eastAsia="仿宋_GB2312" w:cs="仿宋_GB2312"/>
          <w:spacing w:val="6"/>
          <w:sz w:val="32"/>
          <w:szCs w:val="32"/>
        </w:rPr>
        <w:t>扫描上传；</w:t>
      </w:r>
    </w:p>
    <w:p w14:paraId="5144FCF9">
      <w:pPr>
        <w:spacing w:line="560" w:lineRule="exact"/>
        <w:ind w:firstLine="664" w:firstLineChars="200"/>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11.</w:t>
      </w:r>
      <w:r>
        <w:rPr>
          <w:rFonts w:hint="eastAsia" w:ascii="仿宋_GB2312" w:hAnsi="仿宋_GB2312" w:eastAsia="仿宋_GB2312" w:cs="仿宋_GB2312"/>
          <w:spacing w:val="6"/>
          <w:sz w:val="32"/>
          <w:szCs w:val="32"/>
        </w:rPr>
        <w:t>荣誉奖项证明材料，原件</w:t>
      </w:r>
      <w:r>
        <w:rPr>
          <w:rFonts w:hint="eastAsia" w:ascii="仿宋_GB2312" w:hAnsi="仿宋_GB2312" w:eastAsia="仿宋_GB2312" w:cs="仿宋_GB2312"/>
          <w:spacing w:val="6"/>
          <w:sz w:val="32"/>
          <w:szCs w:val="32"/>
          <w:lang w:eastAsia="zh-CN"/>
        </w:rPr>
        <w:t>彩色</w:t>
      </w:r>
      <w:r>
        <w:rPr>
          <w:rFonts w:hint="eastAsia" w:ascii="仿宋_GB2312" w:hAnsi="仿宋_GB2312" w:eastAsia="仿宋_GB2312" w:cs="仿宋_GB2312"/>
          <w:spacing w:val="6"/>
          <w:sz w:val="32"/>
          <w:szCs w:val="32"/>
        </w:rPr>
        <w:t>扫描上传；</w:t>
      </w:r>
    </w:p>
    <w:p w14:paraId="72305662">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、办理程序</w:t>
      </w:r>
    </w:p>
    <w:p w14:paraId="2F9063FA">
      <w:pPr>
        <w:pStyle w:val="6"/>
        <w:widowControl/>
        <w:numPr>
          <w:ilvl w:val="255"/>
          <w:numId w:val="0"/>
        </w:numPr>
        <w:shd w:val="clear" w:color="auto"/>
        <w:spacing w:before="0" w:beforeAutospacing="0" w:after="0" w:afterAutospacing="0" w:line="56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2"/>
          <w:sz w:val="32"/>
          <w:szCs w:val="32"/>
        </w:rPr>
        <w:t>（一）</w:t>
      </w:r>
      <w:r>
        <w:rPr>
          <w:rFonts w:hint="eastAsia" w:ascii="仿宋_GB2312" w:hAnsi="仿宋_GB2312" w:eastAsia="仿宋_GB2312" w:cs="仿宋_GB2312"/>
          <w:b/>
          <w:bCs/>
          <w:color w:val="000000"/>
          <w:kern w:val="2"/>
          <w:sz w:val="32"/>
          <w:szCs w:val="32"/>
        </w:rPr>
        <w:t>网上申报</w:t>
      </w:r>
      <w:r>
        <w:rPr>
          <w:rFonts w:hint="eastAsia" w:ascii="仿宋_GB2312" w:hAnsi="微软雅黑" w:cs="Segoe UI"/>
          <w:color w:val="000000"/>
          <w:sz w:val="32"/>
        </w:rPr>
        <w:t>：</w:t>
      </w:r>
      <w:r>
        <w:rPr>
          <w:rFonts w:hint="eastAsia" w:ascii="仿宋_GB2312" w:hAnsi="仿宋_GB2312" w:eastAsia="仿宋_GB2312" w:cs="仿宋_GB2312"/>
          <w:color w:val="000000"/>
          <w:sz w:val="32"/>
          <w:szCs w:val="32"/>
        </w:rPr>
        <w:t>申报主体通过北京市人民政府门户网站“政策兑现专区”(https://zhengce.beijing.gov.cn)或经开区官网“政策兑现”栏目(zcdx.kfqgw.beijing.gov.cn)进入政策兑现综合服务平台，注册登录后进行自主申报。如未在规定时间内提交申请的，视为自动放弃。</w:t>
      </w:r>
    </w:p>
    <w:p w14:paraId="4F78E1C9">
      <w:pPr>
        <w:pStyle w:val="6"/>
        <w:widowControl/>
        <w:numPr>
          <w:ilvl w:val="255"/>
          <w:numId w:val="0"/>
        </w:numPr>
        <w:shd w:val="clear" w:color="auto"/>
        <w:spacing w:before="0" w:beforeAutospacing="0" w:after="0" w:afterAutospacing="0" w:line="560" w:lineRule="exact"/>
        <w:ind w:firstLine="640" w:firstLineChars="200"/>
        <w:jc w:val="both"/>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（二）</w:t>
      </w:r>
      <w:r>
        <w:rPr>
          <w:rFonts w:hint="eastAsia" w:ascii="仿宋_GB2312" w:hAnsi="仿宋_GB2312" w:eastAsia="仿宋_GB2312" w:cs="仿宋_GB2312"/>
          <w:b/>
          <w:bCs/>
          <w:color w:val="000000"/>
          <w:kern w:val="2"/>
          <w:sz w:val="32"/>
          <w:szCs w:val="32"/>
        </w:rPr>
        <w:t>初审</w:t>
      </w:r>
      <w:r>
        <w:rPr>
          <w:rFonts w:hint="eastAsia" w:ascii="仿宋_GB2312" w:hAnsi="仿宋_GB2312" w:eastAsia="仿宋_GB2312" w:cs="仿宋_GB2312"/>
          <w:color w:val="000000"/>
          <w:kern w:val="2"/>
          <w:sz w:val="32"/>
          <w:szCs w:val="32"/>
        </w:rPr>
        <w:t>：经开区营商环境建设局对申报</w:t>
      </w:r>
      <w:r>
        <w:rPr>
          <w:rFonts w:hint="eastAsia" w:ascii="仿宋_GB2312" w:hAnsi="仿宋_GB2312" w:eastAsia="仿宋_GB2312" w:cs="仿宋_GB2312"/>
          <w:color w:val="000000"/>
          <w:kern w:val="2"/>
          <w:sz w:val="32"/>
          <w:szCs w:val="32"/>
          <w:lang w:val="en-US" w:eastAsia="zh-CN"/>
        </w:rPr>
        <w:t>主体</w:t>
      </w:r>
      <w:r>
        <w:rPr>
          <w:rFonts w:hint="eastAsia" w:ascii="仿宋_GB2312" w:hAnsi="仿宋_GB2312" w:eastAsia="仿宋_GB2312" w:cs="仿宋_GB2312"/>
          <w:color w:val="000000"/>
          <w:kern w:val="2"/>
          <w:sz w:val="32"/>
          <w:szCs w:val="32"/>
        </w:rPr>
        <w:t>提交的材料进行完整性审查，材料不齐全或不符合要求的，告知申报</w:t>
      </w:r>
      <w:r>
        <w:rPr>
          <w:rFonts w:hint="eastAsia" w:ascii="仿宋_GB2312" w:hAnsi="仿宋_GB2312" w:eastAsia="仿宋_GB2312" w:cs="仿宋_GB2312"/>
          <w:color w:val="000000"/>
          <w:kern w:val="2"/>
          <w:sz w:val="32"/>
          <w:szCs w:val="32"/>
          <w:lang w:val="en-US" w:eastAsia="zh-CN"/>
        </w:rPr>
        <w:t>主体</w:t>
      </w:r>
      <w:r>
        <w:rPr>
          <w:rFonts w:hint="eastAsia" w:ascii="仿宋_GB2312" w:hAnsi="仿宋_GB2312" w:eastAsia="仿宋_GB2312" w:cs="仿宋_GB2312"/>
          <w:color w:val="000000"/>
          <w:kern w:val="2"/>
          <w:sz w:val="32"/>
          <w:szCs w:val="32"/>
        </w:rPr>
        <w:t>补齐补正。</w:t>
      </w:r>
    </w:p>
    <w:p w14:paraId="6BFD3CC3">
      <w:pPr>
        <w:pStyle w:val="6"/>
        <w:widowControl/>
        <w:shd w:val="clear" w:color="auto"/>
        <w:spacing w:before="0" w:beforeAutospacing="0" w:after="0" w:afterAutospacing="0" w:line="560" w:lineRule="exact"/>
        <w:ind w:firstLine="640" w:firstLineChars="200"/>
        <w:jc w:val="both"/>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（三）</w:t>
      </w:r>
      <w:r>
        <w:rPr>
          <w:rFonts w:hint="eastAsia" w:ascii="仿宋_GB2312" w:hAnsi="仿宋_GB2312" w:eastAsia="仿宋_GB2312" w:cs="仿宋_GB2312"/>
          <w:b/>
          <w:bCs/>
          <w:color w:val="000000"/>
          <w:kern w:val="2"/>
          <w:sz w:val="32"/>
          <w:szCs w:val="32"/>
        </w:rPr>
        <w:t>审核</w:t>
      </w:r>
      <w:r>
        <w:rPr>
          <w:rFonts w:hint="eastAsia" w:ascii="仿宋_GB2312" w:hAnsi="仿宋_GB2312" w:eastAsia="仿宋_GB2312" w:cs="仿宋_GB2312"/>
          <w:color w:val="000000"/>
          <w:kern w:val="2"/>
          <w:sz w:val="32"/>
          <w:szCs w:val="32"/>
        </w:rPr>
        <w:t>：经开区</w:t>
      </w:r>
      <w:r>
        <w:rPr>
          <w:rFonts w:hint="eastAsia" w:ascii="仿宋_GB2312" w:hAnsi="仿宋_GB2312" w:eastAsia="仿宋_GB2312" w:cs="仿宋_GB2312"/>
          <w:color w:val="000000"/>
          <w:sz w:val="32"/>
          <w:szCs w:val="32"/>
        </w:rPr>
        <w:t>信息技术产业局</w:t>
      </w:r>
      <w:r>
        <w:rPr>
          <w:rFonts w:hint="eastAsia" w:ascii="仿宋_GB2312" w:hAnsi="仿宋_GB2312" w:eastAsia="仿宋_GB2312" w:cs="仿宋_GB2312"/>
          <w:color w:val="000000"/>
          <w:kern w:val="2"/>
          <w:sz w:val="32"/>
          <w:szCs w:val="32"/>
        </w:rPr>
        <w:t>对申报材料进行实质审核。</w:t>
      </w:r>
    </w:p>
    <w:p w14:paraId="55B860D9">
      <w:pPr>
        <w:pStyle w:val="6"/>
        <w:widowControl/>
        <w:shd w:val="clear" w:color="auto"/>
        <w:spacing w:before="0" w:beforeAutospacing="0" w:after="0" w:afterAutospacing="0" w:line="560" w:lineRule="exact"/>
        <w:ind w:firstLine="640" w:firstLineChars="200"/>
        <w:jc w:val="both"/>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（四）</w:t>
      </w:r>
      <w:r>
        <w:rPr>
          <w:rFonts w:hint="eastAsia" w:ascii="仿宋_GB2312" w:hAnsi="仿宋_GB2312" w:eastAsia="仿宋_GB2312" w:cs="仿宋_GB2312"/>
          <w:b/>
          <w:bCs/>
          <w:color w:val="000000"/>
          <w:kern w:val="2"/>
          <w:sz w:val="32"/>
          <w:szCs w:val="32"/>
        </w:rPr>
        <w:t>专家评审</w:t>
      </w:r>
      <w:r>
        <w:rPr>
          <w:rFonts w:hint="eastAsia" w:ascii="仿宋_GB2312" w:hAnsi="仿宋_GB2312" w:eastAsia="仿宋_GB2312" w:cs="仿宋_GB2312"/>
          <w:color w:val="000000"/>
          <w:kern w:val="2"/>
          <w:sz w:val="32"/>
          <w:szCs w:val="32"/>
        </w:rPr>
        <w:t>：经开区信息技术产业局组织专家线下对申报材料进行评审，评审后将结果上传到系统。</w:t>
      </w:r>
    </w:p>
    <w:p w14:paraId="193ED4BD">
      <w:pPr>
        <w:pStyle w:val="6"/>
        <w:widowControl/>
        <w:shd w:val="clear" w:color="auto"/>
        <w:spacing w:before="0" w:beforeAutospacing="0" w:after="0" w:afterAutospacing="0" w:line="560" w:lineRule="exact"/>
        <w:ind w:firstLine="640" w:firstLineChars="200"/>
        <w:jc w:val="both"/>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（五）</w:t>
      </w:r>
      <w:r>
        <w:rPr>
          <w:rFonts w:hint="eastAsia" w:ascii="仿宋_GB2312" w:hAnsi="仿宋_GB2312" w:eastAsia="仿宋_GB2312" w:cs="仿宋_GB2312"/>
          <w:b/>
          <w:bCs/>
          <w:color w:val="000000"/>
          <w:kern w:val="2"/>
          <w:sz w:val="32"/>
          <w:szCs w:val="32"/>
        </w:rPr>
        <w:t>确定</w:t>
      </w:r>
      <w:r>
        <w:rPr>
          <w:rFonts w:hint="eastAsia" w:ascii="仿宋_GB2312" w:hAnsi="仿宋_GB2312" w:eastAsia="仿宋_GB2312" w:cs="仿宋_GB2312"/>
          <w:b/>
          <w:bCs/>
          <w:color w:val="000000"/>
          <w:kern w:val="2"/>
          <w:sz w:val="32"/>
          <w:szCs w:val="32"/>
          <w:lang w:val="en-US" w:eastAsia="zh-CN"/>
        </w:rPr>
        <w:t>支持</w:t>
      </w:r>
      <w:r>
        <w:rPr>
          <w:rFonts w:hint="eastAsia" w:ascii="仿宋_GB2312" w:hAnsi="仿宋_GB2312" w:eastAsia="仿宋_GB2312" w:cs="仿宋_GB2312"/>
          <w:b/>
          <w:bCs/>
          <w:color w:val="000000"/>
          <w:kern w:val="2"/>
          <w:sz w:val="32"/>
          <w:szCs w:val="32"/>
        </w:rPr>
        <w:t>结果</w:t>
      </w:r>
      <w:r>
        <w:rPr>
          <w:rFonts w:hint="eastAsia" w:ascii="仿宋_GB2312" w:hAnsi="仿宋_GB2312" w:eastAsia="仿宋_GB2312" w:cs="仿宋_GB2312"/>
          <w:color w:val="000000"/>
          <w:kern w:val="2"/>
          <w:sz w:val="32"/>
          <w:szCs w:val="32"/>
        </w:rPr>
        <w:t>：经开区信息技术产业局对审核通过的申报</w:t>
      </w:r>
      <w:r>
        <w:rPr>
          <w:rFonts w:hint="eastAsia" w:ascii="仿宋_GB2312" w:hAnsi="仿宋_GB2312" w:eastAsia="仿宋_GB2312" w:cs="仿宋_GB2312"/>
          <w:color w:val="000000"/>
          <w:kern w:val="2"/>
          <w:sz w:val="32"/>
          <w:szCs w:val="32"/>
          <w:lang w:val="en-US" w:eastAsia="zh-CN"/>
        </w:rPr>
        <w:t>主体</w:t>
      </w:r>
      <w:r>
        <w:rPr>
          <w:rFonts w:hint="eastAsia" w:ascii="仿宋_GB2312" w:hAnsi="仿宋_GB2312" w:eastAsia="仿宋_GB2312" w:cs="仿宋_GB2312"/>
          <w:color w:val="000000"/>
          <w:kern w:val="2"/>
          <w:sz w:val="32"/>
          <w:szCs w:val="32"/>
        </w:rPr>
        <w:t>拟定兑现奖励金额。</w:t>
      </w:r>
    </w:p>
    <w:p w14:paraId="1C9A9344">
      <w:pPr>
        <w:pStyle w:val="6"/>
        <w:widowControl/>
        <w:shd w:val="clear" w:color="auto"/>
        <w:spacing w:before="0" w:beforeAutospacing="0" w:after="0" w:afterAutospacing="0" w:line="560" w:lineRule="exact"/>
        <w:ind w:firstLine="640" w:firstLineChars="200"/>
        <w:jc w:val="both"/>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（六）</w:t>
      </w:r>
      <w:r>
        <w:rPr>
          <w:rFonts w:hint="eastAsia" w:ascii="仿宋_GB2312" w:hAnsi="仿宋_GB2312" w:eastAsia="仿宋_GB2312" w:cs="仿宋_GB2312"/>
          <w:b/>
          <w:bCs/>
          <w:color w:val="000000"/>
          <w:kern w:val="2"/>
          <w:sz w:val="32"/>
          <w:szCs w:val="32"/>
        </w:rPr>
        <w:t>公示</w:t>
      </w:r>
      <w:r>
        <w:rPr>
          <w:rFonts w:hint="eastAsia" w:ascii="仿宋_GB2312" w:hAnsi="仿宋_GB2312" w:eastAsia="仿宋_GB2312" w:cs="仿宋_GB2312"/>
          <w:color w:val="000000"/>
          <w:kern w:val="2"/>
          <w:sz w:val="32"/>
          <w:szCs w:val="32"/>
        </w:rPr>
        <w:t>：经开区信息技术产业局通过政策兑现综合服务平台对审核通过的申报</w:t>
      </w:r>
      <w:r>
        <w:rPr>
          <w:rFonts w:hint="eastAsia" w:ascii="仿宋_GB2312" w:hAnsi="仿宋_GB2312" w:eastAsia="仿宋_GB2312" w:cs="仿宋_GB2312"/>
          <w:color w:val="000000"/>
          <w:kern w:val="2"/>
          <w:sz w:val="32"/>
          <w:szCs w:val="32"/>
          <w:lang w:val="en-US" w:eastAsia="zh-CN"/>
        </w:rPr>
        <w:t>主体</w:t>
      </w:r>
      <w:r>
        <w:rPr>
          <w:rFonts w:hint="eastAsia" w:ascii="仿宋_GB2312" w:hAnsi="仿宋_GB2312" w:eastAsia="仿宋_GB2312" w:cs="仿宋_GB2312"/>
          <w:color w:val="000000"/>
          <w:kern w:val="2"/>
          <w:sz w:val="32"/>
          <w:szCs w:val="32"/>
        </w:rPr>
        <w:t>进行公示。</w:t>
      </w:r>
    </w:p>
    <w:p w14:paraId="6F716AD0">
      <w:pPr>
        <w:pStyle w:val="6"/>
        <w:widowControl/>
        <w:shd w:val="clear" w:color="auto"/>
        <w:spacing w:before="0" w:beforeAutospacing="0" w:after="0" w:afterAutospacing="0" w:line="56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2"/>
          <w:sz w:val="32"/>
          <w:szCs w:val="32"/>
        </w:rPr>
        <w:t>（七）</w:t>
      </w:r>
      <w:r>
        <w:rPr>
          <w:rFonts w:hint="eastAsia" w:ascii="仿宋_GB2312" w:hAnsi="仿宋_GB2312" w:eastAsia="仿宋_GB2312" w:cs="仿宋_GB2312"/>
          <w:b/>
          <w:bCs/>
          <w:color w:val="000000"/>
          <w:kern w:val="2"/>
          <w:sz w:val="32"/>
          <w:szCs w:val="32"/>
          <w:lang w:eastAsia="zh-CN"/>
        </w:rPr>
        <w:t>资金拨</w:t>
      </w:r>
      <w:r>
        <w:rPr>
          <w:rFonts w:hint="eastAsia" w:ascii="仿宋_GB2312" w:hAnsi="仿宋_GB2312" w:eastAsia="仿宋_GB2312" w:cs="仿宋_GB2312"/>
          <w:b/>
          <w:bCs/>
          <w:color w:val="000000"/>
          <w:kern w:val="2"/>
          <w:sz w:val="32"/>
          <w:szCs w:val="32"/>
        </w:rPr>
        <w:t>付</w:t>
      </w:r>
      <w:r>
        <w:rPr>
          <w:rFonts w:hint="eastAsia" w:ascii="仿宋_GB2312" w:hAnsi="仿宋_GB2312" w:eastAsia="仿宋_GB2312" w:cs="仿宋_GB2312"/>
          <w:color w:val="000000"/>
          <w:kern w:val="2"/>
          <w:sz w:val="32"/>
          <w:szCs w:val="32"/>
        </w:rPr>
        <w:t>：经公示无异议的，完成</w:t>
      </w:r>
      <w:r>
        <w:rPr>
          <w:rFonts w:hint="eastAsia" w:ascii="仿宋_GB2312" w:hAnsi="仿宋_GB2312" w:eastAsia="仿宋_GB2312" w:cs="仿宋_GB2312"/>
          <w:color w:val="000000"/>
          <w:kern w:val="2"/>
          <w:sz w:val="32"/>
          <w:szCs w:val="32"/>
          <w:lang w:eastAsia="zh-CN"/>
        </w:rPr>
        <w:t>资金拨</w:t>
      </w:r>
      <w:r>
        <w:rPr>
          <w:rFonts w:hint="eastAsia" w:ascii="仿宋_GB2312" w:hAnsi="仿宋_GB2312" w:eastAsia="仿宋_GB2312" w:cs="仿宋_GB2312"/>
          <w:color w:val="000000"/>
          <w:kern w:val="2"/>
          <w:sz w:val="32"/>
          <w:szCs w:val="32"/>
        </w:rPr>
        <w:t>付。</w:t>
      </w:r>
    </w:p>
    <w:p w14:paraId="4E7085D4">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、主责部门</w:t>
      </w:r>
    </w:p>
    <w:p w14:paraId="79F6959B">
      <w:pPr>
        <w:spacing w:line="560" w:lineRule="exact"/>
        <w:ind w:firstLine="640" w:firstLineChars="200"/>
        <w:rPr>
          <w:rFonts w:hint="eastAsia" w:eastAsia="仿宋_GB2312" w:cs="仿宋_GB2312"/>
          <w:sz w:val="32"/>
          <w:szCs w:val="32"/>
        </w:rPr>
      </w:pPr>
      <w:r>
        <w:rPr>
          <w:rFonts w:hint="eastAsia" w:eastAsia="仿宋_GB2312" w:cs="仿宋_GB2312"/>
          <w:sz w:val="32"/>
          <w:szCs w:val="32"/>
        </w:rPr>
        <w:t>经开区信息技术产业局</w:t>
      </w:r>
    </w:p>
    <w:p w14:paraId="3356E62F">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、受理窗口</w:t>
      </w:r>
    </w:p>
    <w:p w14:paraId="0CCCAEF0">
      <w:pPr>
        <w:spacing w:line="560" w:lineRule="exact"/>
        <w:ind w:firstLine="640" w:firstLineChars="200"/>
        <w:outlineLvl w:val="0"/>
        <w:rPr>
          <w:rFonts w:hint="eastAsia" w:eastAsia="仿宋_GB2312" w:cs="仿宋_GB2312"/>
          <w:sz w:val="32"/>
          <w:szCs w:val="32"/>
        </w:rPr>
      </w:pPr>
      <w:r>
        <w:rPr>
          <w:rFonts w:hint="eastAsia" w:ascii="仿宋_GB2312" w:hAnsi="仿宋_GB2312" w:eastAsia="仿宋_GB2312" w:cs="仿宋_GB2312"/>
          <w:sz w:val="32"/>
          <w:szCs w:val="32"/>
        </w:rPr>
        <w:t>北京经济技术开发区万源街4号政务服务大厅“政策申报”窗口</w:t>
      </w:r>
    </w:p>
    <w:p w14:paraId="2F69CF16">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九、申报时间</w:t>
      </w:r>
    </w:p>
    <w:p w14:paraId="408291C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2026年7月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日至2026年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w:t>
      </w:r>
    </w:p>
    <w:p w14:paraId="14242263">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十、联系方式</w:t>
      </w:r>
    </w:p>
    <w:p w14:paraId="6B2D7DC4">
      <w:pPr>
        <w:spacing w:line="560" w:lineRule="exact"/>
        <w:ind w:firstLine="640" w:firstLineChars="200"/>
        <w:rPr>
          <w:rFonts w:ascii="仿宋_GB2312" w:hAnsi="Segoe UI" w:eastAsia="仿宋_GB2312" w:cs="Segoe UI"/>
          <w:sz w:val="32"/>
          <w:szCs w:val="32"/>
        </w:rPr>
      </w:pPr>
      <w:r>
        <w:rPr>
          <w:rFonts w:hint="eastAsia" w:ascii="仿宋_GB2312" w:hAnsi="Segoe UI" w:eastAsia="仿宋_GB2312" w:cs="仿宋_GB2312"/>
          <w:sz w:val="32"/>
          <w:szCs w:val="32"/>
          <w:lang w:bidi="ar"/>
        </w:rPr>
        <w:t>政策咨询：</w:t>
      </w:r>
    </w:p>
    <w:p w14:paraId="1384AD9B">
      <w:pPr>
        <w:spacing w:line="560" w:lineRule="exact"/>
        <w:ind w:firstLine="640" w:firstLineChars="200"/>
        <w:rPr>
          <w:rFonts w:hint="eastAsia" w:ascii="仿宋_GB2312" w:eastAsia="仿宋_GB2312" w:cs="仿宋_GB2312"/>
          <w:sz w:val="32"/>
          <w:szCs w:val="32"/>
          <w:lang w:bidi="ar"/>
        </w:rPr>
      </w:pPr>
      <w:r>
        <w:rPr>
          <w:rFonts w:hint="eastAsia" w:ascii="仿宋_GB2312" w:hAnsi="Segoe UI" w:eastAsia="仿宋_GB2312" w:cs="仿宋_GB2312"/>
          <w:sz w:val="32"/>
          <w:szCs w:val="32"/>
          <w:lang w:bidi="ar"/>
        </w:rPr>
        <w:t>经开区政务服务大厅“政策申报”窗口，联系电话：010-67857878转4</w:t>
      </w:r>
      <w:r>
        <w:rPr>
          <w:rFonts w:hint="eastAsia" w:ascii="仿宋_GB2312" w:hAnsi="Segoe UI" w:eastAsia="仿宋_GB2312" w:cs="仿宋_GB2312"/>
          <w:sz w:val="32"/>
          <w:szCs w:val="32"/>
          <w:lang w:eastAsia="zh-CN" w:bidi="ar"/>
        </w:rPr>
        <w:t>、</w:t>
      </w:r>
      <w:r>
        <w:rPr>
          <w:rFonts w:hint="eastAsia" w:ascii="仿宋_GB2312" w:hAnsi="Segoe UI" w:eastAsia="仿宋_GB2312" w:cs="仿宋_GB2312"/>
          <w:sz w:val="32"/>
          <w:szCs w:val="32"/>
          <w:lang w:bidi="ar"/>
        </w:rPr>
        <w:t>010-67857687，工作日上午9:00—12:00，下午1:30—5:00。</w:t>
      </w:r>
    </w:p>
    <w:p w14:paraId="3FA12713">
      <w:pPr>
        <w:spacing w:line="560" w:lineRule="exact"/>
        <w:ind w:firstLine="640" w:firstLineChars="200"/>
        <w:rPr>
          <w:rFonts w:hint="eastAsia" w:ascii="仿宋_GB2312" w:eastAsia="仿宋_GB2312" w:cs="仿宋_GB2312"/>
          <w:sz w:val="32"/>
          <w:szCs w:val="32"/>
          <w:lang w:bidi="ar"/>
        </w:rPr>
      </w:pPr>
      <w:r>
        <w:rPr>
          <w:rFonts w:hint="eastAsia" w:ascii="仿宋_GB2312" w:eastAsia="仿宋_GB2312" w:cs="仿宋_GB2312"/>
          <w:sz w:val="32"/>
          <w:szCs w:val="32"/>
          <w:lang w:bidi="ar"/>
        </w:rPr>
        <w:t>经开区信息技术产业局，</w:t>
      </w:r>
      <w:r>
        <w:rPr>
          <w:rFonts w:hint="eastAsia" w:ascii="仿宋_GB2312" w:eastAsia="仿宋_GB2312" w:cs="仿宋_GB2312"/>
          <w:sz w:val="32"/>
          <w:szCs w:val="32"/>
          <w:highlight w:val="none"/>
          <w:lang w:bidi="ar"/>
        </w:rPr>
        <w:t>联系人：</w:t>
      </w:r>
      <w:r>
        <w:rPr>
          <w:rFonts w:hint="eastAsia" w:ascii="仿宋_GB2312" w:eastAsia="仿宋_GB2312" w:cs="仿宋_GB2312"/>
          <w:sz w:val="32"/>
          <w:szCs w:val="32"/>
          <w:highlight w:val="none"/>
          <w:lang w:val="en-US" w:eastAsia="zh-CN" w:bidi="ar"/>
        </w:rPr>
        <w:t>王昕</w:t>
      </w:r>
      <w:r>
        <w:rPr>
          <w:rFonts w:hint="eastAsia" w:ascii="仿宋_GB2312" w:eastAsia="仿宋_GB2312" w:cs="仿宋_GB2312"/>
          <w:sz w:val="32"/>
          <w:szCs w:val="32"/>
          <w:highlight w:val="none"/>
          <w:lang w:bidi="ar"/>
        </w:rPr>
        <w:t>，联系电话：</w:t>
      </w:r>
      <w:r>
        <w:rPr>
          <w:rFonts w:hint="eastAsia" w:ascii="仿宋_GB2312" w:eastAsia="仿宋_GB2312" w:cs="仿宋_GB2312"/>
          <w:sz w:val="32"/>
          <w:szCs w:val="32"/>
          <w:highlight w:val="none"/>
          <w:lang w:val="en-US" w:eastAsia="zh-CN" w:bidi="ar"/>
        </w:rPr>
        <w:t>010-</w:t>
      </w:r>
      <w:r>
        <w:rPr>
          <w:rFonts w:hint="eastAsia" w:ascii="仿宋_GB2312" w:eastAsia="仿宋_GB2312" w:cs="仿宋_GB2312"/>
          <w:sz w:val="32"/>
          <w:szCs w:val="32"/>
          <w:highlight w:val="none"/>
          <w:lang w:bidi="ar"/>
        </w:rPr>
        <w:t>67883162</w:t>
      </w:r>
      <w:r>
        <w:rPr>
          <w:rFonts w:hint="eastAsia" w:ascii="仿宋_GB2312" w:eastAsia="仿宋_GB2312" w:cs="仿宋_GB2312"/>
          <w:sz w:val="32"/>
          <w:szCs w:val="32"/>
          <w:lang w:bidi="ar"/>
        </w:rPr>
        <w:t>，工作日上午9:00—12:00，下午2:00—6:00。</w:t>
      </w:r>
    </w:p>
    <w:p w14:paraId="6E085D62">
      <w:pPr>
        <w:spacing w:line="560" w:lineRule="exact"/>
        <w:ind w:firstLine="640" w:firstLineChars="200"/>
        <w:rPr>
          <w:rFonts w:hint="eastAsia" w:ascii="仿宋_GB2312" w:eastAsia="仿宋_GB2312" w:cs="仿宋_GB2312"/>
          <w:sz w:val="32"/>
          <w:szCs w:val="32"/>
          <w:lang w:bidi="ar"/>
        </w:rPr>
      </w:pPr>
      <w:r>
        <w:rPr>
          <w:rFonts w:hint="eastAsia" w:ascii="仿宋_GB2312" w:eastAsia="仿宋_GB2312" w:cs="仿宋_GB2312"/>
          <w:sz w:val="32"/>
          <w:szCs w:val="32"/>
          <w:lang w:bidi="ar"/>
        </w:rPr>
        <w:t>技术支持：</w:t>
      </w:r>
    </w:p>
    <w:p w14:paraId="18ECAD6C">
      <w:pPr>
        <w:spacing w:line="560" w:lineRule="exact"/>
        <w:ind w:firstLine="640" w:firstLineChars="200"/>
        <w:outlineLvl w:val="0"/>
        <w:rPr>
          <w:rFonts w:hint="eastAsia" w:ascii="黑体" w:hAnsi="黑体" w:eastAsia="黑体" w:cs="黑体"/>
          <w:sz w:val="32"/>
          <w:szCs w:val="32"/>
        </w:rPr>
      </w:pPr>
      <w:r>
        <w:rPr>
          <w:rFonts w:hint="eastAsia" w:ascii="仿宋_GB2312" w:eastAsia="仿宋_GB2312" w:cs="仿宋_GB2312"/>
          <w:sz w:val="32"/>
          <w:szCs w:val="32"/>
          <w:lang w:bidi="ar"/>
        </w:rPr>
        <w:t>联系电话：010-</w:t>
      </w:r>
      <w:r>
        <w:rPr>
          <w:rFonts w:hint="eastAsia" w:ascii="仿宋_GB2312" w:eastAsia="仿宋_GB2312" w:cs="仿宋_GB2312"/>
          <w:sz w:val="32"/>
          <w:szCs w:val="32"/>
          <w:lang w:val="en-US" w:eastAsia="zh-CN" w:bidi="ar"/>
        </w:rPr>
        <w:t>83509</w:t>
      </w:r>
      <w:r>
        <w:rPr>
          <w:rFonts w:hint="eastAsia" w:ascii="仿宋_GB2312" w:eastAsia="仿宋_GB2312" w:cs="仿宋_GB2312"/>
          <w:sz w:val="32"/>
          <w:szCs w:val="32"/>
          <w:lang w:bidi="ar"/>
        </w:rPr>
        <w:t>638，工作日上午9:</w:t>
      </w:r>
      <w:r>
        <w:rPr>
          <w:rFonts w:hint="eastAsia" w:ascii="仿宋_GB2312" w:eastAsia="仿宋_GB2312" w:cs="仿宋_GB2312"/>
          <w:sz w:val="32"/>
          <w:szCs w:val="32"/>
          <w:lang w:val="en-US" w:eastAsia="zh-CN" w:bidi="ar"/>
        </w:rPr>
        <w:t>0</w:t>
      </w:r>
      <w:r>
        <w:rPr>
          <w:rFonts w:hint="eastAsia" w:ascii="仿宋_GB2312" w:eastAsia="仿宋_GB2312" w:cs="仿宋_GB2312"/>
          <w:sz w:val="32"/>
          <w:szCs w:val="32"/>
          <w:lang w:bidi="ar"/>
        </w:rPr>
        <w:t>0—1</w:t>
      </w:r>
      <w:r>
        <w:rPr>
          <w:rFonts w:hint="eastAsia" w:ascii="仿宋_GB2312" w:eastAsia="仿宋_GB2312" w:cs="仿宋_GB2312"/>
          <w:sz w:val="32"/>
          <w:szCs w:val="32"/>
          <w:lang w:val="en-US" w:eastAsia="zh-CN" w:bidi="ar"/>
        </w:rPr>
        <w:t>2</w:t>
      </w:r>
      <w:r>
        <w:rPr>
          <w:rFonts w:hint="eastAsia" w:ascii="仿宋_GB2312" w:eastAsia="仿宋_GB2312" w:cs="仿宋_GB2312"/>
          <w:sz w:val="32"/>
          <w:szCs w:val="32"/>
          <w:lang w:bidi="ar"/>
        </w:rPr>
        <w:t>:</w:t>
      </w:r>
      <w:r>
        <w:rPr>
          <w:rFonts w:hint="eastAsia" w:ascii="仿宋_GB2312" w:eastAsia="仿宋_GB2312" w:cs="仿宋_GB2312"/>
          <w:sz w:val="32"/>
          <w:szCs w:val="32"/>
          <w:lang w:val="en-US" w:eastAsia="zh-CN" w:bidi="ar"/>
        </w:rPr>
        <w:t>0</w:t>
      </w:r>
      <w:r>
        <w:rPr>
          <w:rFonts w:hint="eastAsia" w:ascii="仿宋_GB2312" w:eastAsia="仿宋_GB2312" w:cs="仿宋_GB2312"/>
          <w:sz w:val="32"/>
          <w:szCs w:val="32"/>
          <w:lang w:bidi="ar"/>
        </w:rPr>
        <w:t>0，下午2:</w:t>
      </w:r>
      <w:r>
        <w:rPr>
          <w:rFonts w:hint="eastAsia" w:ascii="仿宋_GB2312" w:eastAsia="仿宋_GB2312" w:cs="仿宋_GB2312"/>
          <w:sz w:val="32"/>
          <w:szCs w:val="32"/>
          <w:lang w:val="en-US" w:eastAsia="zh-CN" w:bidi="ar"/>
        </w:rPr>
        <w:t>0</w:t>
      </w:r>
      <w:r>
        <w:rPr>
          <w:rFonts w:hint="eastAsia" w:ascii="仿宋_GB2312" w:eastAsia="仿宋_GB2312" w:cs="仿宋_GB2312"/>
          <w:sz w:val="32"/>
          <w:szCs w:val="32"/>
          <w:lang w:bidi="ar"/>
        </w:rPr>
        <w:t>0—</w:t>
      </w:r>
      <w:r>
        <w:rPr>
          <w:rFonts w:hint="eastAsia" w:ascii="仿宋_GB2312" w:eastAsia="仿宋_GB2312" w:cs="仿宋_GB2312"/>
          <w:sz w:val="32"/>
          <w:szCs w:val="32"/>
          <w:lang w:val="en-US" w:eastAsia="zh-CN" w:bidi="ar"/>
        </w:rPr>
        <w:t>6</w:t>
      </w:r>
      <w:r>
        <w:rPr>
          <w:rFonts w:hint="eastAsia" w:ascii="仿宋_GB2312" w:eastAsia="仿宋_GB2312" w:cs="仿宋_GB2312"/>
          <w:sz w:val="32"/>
          <w:szCs w:val="32"/>
          <w:lang w:bidi="ar"/>
        </w:rPr>
        <w:t>:00。</w:t>
      </w:r>
    </w:p>
    <w:p w14:paraId="1F6FA418">
      <w:pPr>
        <w:spacing w:line="560" w:lineRule="exact"/>
        <w:ind w:firstLine="640" w:firstLineChars="200"/>
        <w:outlineLvl w:val="0"/>
        <w:rPr>
          <w:rFonts w:ascii="仿宋_GB2312" w:hAnsi="仿宋_GB2312" w:eastAsia="仿宋_GB2312" w:cs="仿宋_GB2312"/>
          <w:sz w:val="32"/>
          <w:szCs w:val="32"/>
        </w:rPr>
      </w:pPr>
      <w:r>
        <w:rPr>
          <w:rFonts w:hint="eastAsia" w:ascii="黑体" w:hAnsi="黑体" w:eastAsia="黑体" w:cs="黑体"/>
          <w:sz w:val="32"/>
          <w:szCs w:val="32"/>
        </w:rPr>
        <w:t>十一、收费标准</w:t>
      </w:r>
      <w:bookmarkStart w:id="0" w:name="_GoBack"/>
      <w:bookmarkEnd w:id="0"/>
    </w:p>
    <w:p w14:paraId="7F98156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15D67F8D">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十二、特别说明</w:t>
      </w:r>
    </w:p>
    <w:p w14:paraId="5BC9AD0D">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行业应用场景指引</w:t>
      </w:r>
      <w:r>
        <w:rPr>
          <w:rFonts w:hint="eastAsia" w:ascii="楷体_GB2312" w:hAnsi="楷体_GB2312" w:eastAsia="楷体_GB2312" w:cs="楷体_GB2312"/>
          <w:sz w:val="32"/>
          <w:szCs w:val="32"/>
          <w:lang w:eastAsia="zh-CN"/>
        </w:rPr>
        <w:t>：</w:t>
      </w:r>
    </w:p>
    <w:p w14:paraId="66EFCFAF">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（一）民生服务场景</w:t>
      </w:r>
    </w:p>
    <w:p w14:paraId="7A4C0CE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5G-A超低时延通信、万兆级大带宽、大规模并发连接、通感一体、边缘智能与端云协同渲染及RedCap低成本物联等技术能力，构建消费及民生领域的数字化服务底座，系统性满足民生服务领域对高带宽、低时延、大规模连接及智能感知的差异化需求。</w:t>
      </w:r>
    </w:p>
    <w:p w14:paraId="4F005D8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场景包括但不限于：具身智能、沉浸式应用、元宇宙社交、智慧医疗、智慧教育、智慧城市</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w:t>
      </w:r>
    </w:p>
    <w:p w14:paraId="1FF17AE4">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（二）垂直行业场景</w:t>
      </w:r>
    </w:p>
    <w:p w14:paraId="46965F90">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围绕5G-A通感一体、确定性网络、无源物联、广域大上行、5G专网/5G LAN及高精度定位授时等技术能力，赋能垂直行业生产与运营全流程的数字化、智能化转型，系统性满足行业对精准感知、确定性传输、大规模数据采集与低时延控制的差异化需</w:t>
      </w:r>
      <w:r>
        <w:rPr>
          <w:rFonts w:hint="eastAsia" w:ascii="仿宋_GB2312" w:hAnsi="仿宋_GB2312" w:eastAsia="仿宋_GB2312" w:cs="仿宋_GB2312"/>
          <w:sz w:val="32"/>
          <w:szCs w:val="32"/>
          <w:lang w:val="en-US" w:eastAsia="zh-CN"/>
        </w:rPr>
        <w:t>求。</w:t>
      </w:r>
    </w:p>
    <w:p w14:paraId="535D210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场景包括但不限于：智能制造、智能交通、智慧能源、低空经济、智慧农业等。</w:t>
      </w:r>
    </w:p>
    <w:p w14:paraId="6BF1532D">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（三）空天地海场景</w:t>
      </w:r>
    </w:p>
    <w:p w14:paraId="69A5E1B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通过5G-A非地面网络、卫星直连终端、星地融合组网及广域覆盖增强等技术</w:t>
      </w:r>
      <w:r>
        <w:rPr>
          <w:rFonts w:hint="eastAsia" w:ascii="仿宋_GB2312" w:hAnsi="仿宋_GB2312" w:eastAsia="仿宋_GB2312" w:cs="仿宋_GB2312"/>
          <w:sz w:val="32"/>
          <w:szCs w:val="32"/>
          <w:lang w:val="en-US" w:eastAsia="zh-CN"/>
        </w:rPr>
        <w:t>能力</w:t>
      </w:r>
      <w:r>
        <w:rPr>
          <w:rFonts w:hint="eastAsia" w:ascii="仿宋_GB2312" w:hAnsi="仿宋_GB2312" w:eastAsia="仿宋_GB2312" w:cs="仿宋_GB2312"/>
          <w:sz w:val="32"/>
          <w:szCs w:val="32"/>
        </w:rPr>
        <w:t>，推动卫星通信与地面移动通信的产业链融合，实现规模效应与终端成本降低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为地面网络覆盖盲区提供可靠通信与数据回传通道。</w:t>
      </w:r>
    </w:p>
    <w:p w14:paraId="5A4100E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场景包括但不限于：偏远地区及海上作业通信保障、航空互联、导航定位增强、遥感数据回传、矿产勘探数据传输等。</w:t>
      </w:r>
    </w:p>
    <w:p w14:paraId="4563E8B1">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w:t>
      </w:r>
      <w:r>
        <w:rPr>
          <w:rFonts w:hint="eastAsia" w:ascii="楷体_GB2312" w:hAnsi="楷体_GB2312" w:eastAsia="楷体_GB2312" w:cs="楷体_GB2312"/>
          <w:sz w:val="32"/>
          <w:szCs w:val="32"/>
          <w:lang w:val="en-US" w:eastAsia="zh-CN"/>
        </w:rPr>
        <w:t>特种与应急场景</w:t>
      </w:r>
    </w:p>
    <w:p w14:paraId="465CB7C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围绕5G-A广域大上行、通感一体、确定性网络、快速部署专网及高可靠传输等技术能力，构建特种作业与应急保障场景的通信感知底座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驱动应急保障与特种作业领域从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事后响应”转向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事前预判”，实现从被动处置到主动预警的能力跃升。</w:t>
      </w:r>
    </w:p>
    <w:p w14:paraId="68ECBFF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场景包括但不限于：应急保障、环境监测、特种作业等。</w:t>
      </w:r>
    </w:p>
    <w:p w14:paraId="17203E83">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（五）其他场景</w:t>
      </w:r>
    </w:p>
    <w:p w14:paraId="62A2A85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其他各类面向</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G</w:t>
      </w:r>
      <w:r>
        <w:rPr>
          <w:rFonts w:hint="eastAsia" w:ascii="仿宋_GB2312" w:hAnsi="仿宋_GB2312" w:eastAsia="仿宋_GB2312" w:cs="仿宋_GB2312"/>
          <w:sz w:val="32"/>
          <w:szCs w:val="32"/>
          <w:lang w:val="en-US" w:eastAsia="zh-CN"/>
        </w:rPr>
        <w:t>-A</w:t>
      </w:r>
      <w:r>
        <w:rPr>
          <w:rFonts w:hint="eastAsia" w:ascii="仿宋_GB2312" w:hAnsi="仿宋_GB2312" w:eastAsia="仿宋_GB2312" w:cs="仿宋_GB2312"/>
          <w:sz w:val="32"/>
          <w:szCs w:val="32"/>
        </w:rPr>
        <w:t>的新型业态、新型场景、新型模式的应用</w:t>
      </w:r>
      <w:r>
        <w:rPr>
          <w:rFonts w:hint="eastAsia" w:ascii="仿宋_GB2312" w:hAnsi="仿宋_GB2312" w:eastAsia="仿宋_GB2312" w:cs="仿宋_GB2312"/>
          <w:sz w:val="32"/>
          <w:szCs w:val="32"/>
          <w:lang w:val="en-US" w:eastAsia="zh-CN"/>
        </w:rPr>
        <w:t>场景，包括但不限于5G-A与人工智能、数字孪生、区块链等新一代信息技术融合催生的创新应用</w:t>
      </w:r>
      <w:r>
        <w:rPr>
          <w:rFonts w:hint="eastAsia" w:ascii="仿宋_GB2312" w:hAnsi="仿宋_GB2312" w:eastAsia="仿宋_GB2312" w:cs="仿宋_GB2312"/>
          <w:sz w:val="32"/>
          <w:szCs w:val="32"/>
        </w:rPr>
        <w:t>。</w:t>
      </w:r>
    </w:p>
    <w:p w14:paraId="44F0EBE8">
      <w:pPr>
        <w:spacing w:line="560" w:lineRule="exact"/>
        <w:ind w:firstLine="420" w:firstLineChars="200"/>
      </w:pPr>
    </w:p>
    <w:sectPr>
      <w:footerReference r:id="rId3" w:type="default"/>
      <w:pgSz w:w="11906" w:h="16838"/>
      <w:pgMar w:top="2098" w:right="1699"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Segoe UI">
    <w:panose1 w:val="020B0502040204020203"/>
    <w:charset w:val="00"/>
    <w:family w:val="swiss"/>
    <w:pitch w:val="default"/>
    <w:sig w:usb0="E10022FF" w:usb1="C000E47F" w:usb2="00000029" w:usb3="00000000" w:csb0="200001DF" w:csb1="2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2BC5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2C8C9D">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2C8C9D">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xMTEyMzlhM2ZkMjU2YzAyOTFjZDEwODIzNDE3Y2YifQ=="/>
  </w:docVars>
  <w:rsids>
    <w:rsidRoot w:val="001E651D"/>
    <w:rsid w:val="00000B00"/>
    <w:rsid w:val="00160E60"/>
    <w:rsid w:val="001E651D"/>
    <w:rsid w:val="00282341"/>
    <w:rsid w:val="003916A1"/>
    <w:rsid w:val="0040168E"/>
    <w:rsid w:val="00DC6BF7"/>
    <w:rsid w:val="023D0B8F"/>
    <w:rsid w:val="06A07DC0"/>
    <w:rsid w:val="0B901D30"/>
    <w:rsid w:val="0D4728C2"/>
    <w:rsid w:val="0E4F5CAB"/>
    <w:rsid w:val="0EE52393"/>
    <w:rsid w:val="1DD12460"/>
    <w:rsid w:val="24BB5C18"/>
    <w:rsid w:val="26D64782"/>
    <w:rsid w:val="29FD45DD"/>
    <w:rsid w:val="2F0204AF"/>
    <w:rsid w:val="2FD9B50B"/>
    <w:rsid w:val="30D86EB6"/>
    <w:rsid w:val="32476D3D"/>
    <w:rsid w:val="34F142C4"/>
    <w:rsid w:val="3A75600D"/>
    <w:rsid w:val="3FA550A3"/>
    <w:rsid w:val="439F080E"/>
    <w:rsid w:val="47D917C9"/>
    <w:rsid w:val="4DE33966"/>
    <w:rsid w:val="5114157C"/>
    <w:rsid w:val="51905BB3"/>
    <w:rsid w:val="5C171B1F"/>
    <w:rsid w:val="5CDF4BE1"/>
    <w:rsid w:val="652D7D41"/>
    <w:rsid w:val="68D402FA"/>
    <w:rsid w:val="6A090F70"/>
    <w:rsid w:val="6F213E96"/>
    <w:rsid w:val="6FC45176"/>
    <w:rsid w:val="71676669"/>
    <w:rsid w:val="7C66113B"/>
    <w:rsid w:val="7CD13A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9">
    <w:name w:val="annotation reference"/>
    <w:basedOn w:val="8"/>
    <w:uiPriority w:val="0"/>
    <w:rPr>
      <w:sz w:val="21"/>
      <w:szCs w:val="21"/>
    </w:rPr>
  </w:style>
  <w:style w:type="character" w:customStyle="1" w:styleId="10">
    <w:name w:val="页眉 字符"/>
    <w:basedOn w:val="8"/>
    <w:link w:val="5"/>
    <w:uiPriority w:val="0"/>
    <w:rPr>
      <w:kern w:val="2"/>
      <w:sz w:val="18"/>
      <w:szCs w:val="18"/>
    </w:rPr>
  </w:style>
  <w:style w:type="character" w:customStyle="1" w:styleId="11">
    <w:name w:val="页脚 字符"/>
    <w:basedOn w:val="8"/>
    <w:link w:val="4"/>
    <w:uiPriority w:val="0"/>
    <w:rPr>
      <w:kern w:val="2"/>
      <w:sz w:val="18"/>
      <w:szCs w:val="18"/>
    </w:rPr>
  </w:style>
  <w:style w:type="character" w:customStyle="1" w:styleId="12">
    <w:name w:val="批注框文本 字符"/>
    <w:basedOn w:val="8"/>
    <w:link w:val="3"/>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2100</Words>
  <Characters>2342</Characters>
  <Lines>22</Lines>
  <Paragraphs>6</Paragraphs>
  <TotalTime>0</TotalTime>
  <ScaleCrop>false</ScaleCrop>
  <LinksUpToDate>false</LinksUpToDate>
  <CharactersWithSpaces>2343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2025-08-11T14:30:00Z</dcterms:created>
  <dc:creator>张九峰</dc:creator>
  <cp:lastModifiedBy>张九峰</cp:lastModifiedBy>
  <dcterms:modified xsi:type="dcterms:W3CDTF">2026-07-30T10:15:14Z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F6EF3C73BC714DC9878070C7D67B8A89_12</vt:lpwstr>
  </property>
  <property fmtid="{D5CDD505-2E9C-101B-9397-08002B2CF9AE}" pid="4" name="KSOTemplateDocerSaveRecord">
    <vt:lpwstr>eyJoZGlkIjoiMmMwYmNjZmFlYmZkNDhhN2I5MzI1MmE3Nzk4ZGZiMDMiLCJ1c2VySWQiOiIzNTgxMjQ0NTQifQ==</vt:lpwstr>
  </property>
</Properties>
</file>