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3D6A7">
      <w:pPr>
        <w:pageBreakBefore w:val="0"/>
        <w:kinsoku/>
        <w:wordWrap/>
        <w:overflowPunct/>
        <w:topLinePunct w:val="0"/>
        <w:bidi w:val="0"/>
        <w:spacing w:line="560" w:lineRule="exact"/>
        <w:ind w:left="0" w:leftChars="0" w:right="0" w:rightChars="0" w:firstLine="0" w:firstLineChars="0"/>
        <w:jc w:val="both"/>
        <w:rPr>
          <w:rFonts w:ascii="楷体" w:hAnsi="楷体" w:eastAsia="楷体" w:cs="楷体"/>
          <w:b/>
          <w:bCs/>
          <w:sz w:val="32"/>
          <w:szCs w:val="32"/>
          <w:highlight w:val="none"/>
        </w:rPr>
      </w:pPr>
      <w:bookmarkStart w:id="0" w:name="_Toc873995801"/>
      <w:bookmarkStart w:id="1" w:name="_Toc1774993698"/>
      <w:bookmarkStart w:id="2" w:name="_Toc8511"/>
      <w:bookmarkStart w:id="3" w:name="_Toc10899"/>
      <w:bookmarkStart w:id="4" w:name="_Toc1186885332"/>
      <w:bookmarkStart w:id="5" w:name="_Toc1310996406"/>
      <w:r>
        <w:rPr>
          <w:rFonts w:hint="eastAsia" w:ascii="楷体" w:hAnsi="楷体" w:eastAsia="楷体" w:cs="楷体"/>
          <w:sz w:val="32"/>
          <w:szCs w:val="32"/>
          <w:highlight w:val="none"/>
        </w:rPr>
        <w:t>北京市石景山区“十</w:t>
      </w:r>
      <w:r>
        <w:rPr>
          <w:rFonts w:hint="eastAsia" w:ascii="楷体" w:hAnsi="楷体" w:eastAsia="楷体" w:cs="楷体"/>
          <w:sz w:val="32"/>
          <w:szCs w:val="32"/>
          <w:highlight w:val="none"/>
          <w:lang w:val="en-US" w:eastAsia="zh-CN"/>
        </w:rPr>
        <w:t>五</w:t>
      </w:r>
      <w:r>
        <w:rPr>
          <w:rFonts w:hint="eastAsia" w:ascii="楷体" w:hAnsi="楷体" w:eastAsia="楷体" w:cs="楷体"/>
          <w:sz w:val="32"/>
          <w:szCs w:val="32"/>
          <w:highlight w:val="none"/>
        </w:rPr>
        <w:t>五”区级一般专项规划</w:t>
      </w:r>
    </w:p>
    <w:p w14:paraId="0BD6A3D9">
      <w:pPr>
        <w:pStyle w:val="3"/>
        <w:pageBreakBefore w:val="0"/>
        <w:kinsoku/>
        <w:wordWrap/>
        <w:overflowPunct/>
        <w:topLinePunct w:val="0"/>
        <w:autoSpaceDE/>
        <w:autoSpaceDN/>
        <w:bidi w:val="0"/>
        <w:spacing w:beforeLines="0" w:afterLines="0" w:line="560" w:lineRule="exact"/>
        <w:ind w:left="0" w:leftChars="0"/>
        <w:jc w:val="center"/>
        <w:textAlignment w:val="auto"/>
        <w:rPr>
          <w:rFonts w:hint="eastAsia" w:ascii="仿宋_GB2312" w:hAnsi="仿宋_GB2312" w:eastAsia="仿宋_GB2312" w:cs="仿宋_GB2312"/>
          <w:color w:val="auto"/>
          <w:sz w:val="32"/>
          <w:szCs w:val="32"/>
          <w:highlight w:val="none"/>
          <w:lang w:val="en-US" w:eastAsia="zh-CN"/>
        </w:rPr>
      </w:pPr>
    </w:p>
    <w:p w14:paraId="5953D114">
      <w:pPr>
        <w:pStyle w:val="3"/>
        <w:pageBreakBefore w:val="0"/>
        <w:kinsoku/>
        <w:wordWrap/>
        <w:overflowPunct/>
        <w:topLinePunct w:val="0"/>
        <w:autoSpaceDE/>
        <w:autoSpaceDN/>
        <w:bidi w:val="0"/>
        <w:spacing w:beforeLines="0" w:afterLines="0" w:line="560" w:lineRule="exact"/>
        <w:ind w:left="0" w:leftChars="0"/>
        <w:jc w:val="center"/>
        <w:textAlignment w:val="auto"/>
        <w:rPr>
          <w:rFonts w:hint="eastAsia" w:ascii="Times New Roman" w:hAnsi="Times New Roman"/>
          <w:color w:val="auto"/>
          <w:sz w:val="32"/>
          <w:szCs w:val="32"/>
          <w:highlight w:val="none"/>
          <w:lang w:val="en-US" w:eastAsia="zh-CN"/>
        </w:rPr>
      </w:pPr>
    </w:p>
    <w:p w14:paraId="0188052B">
      <w:pPr>
        <w:rPr>
          <w:rFonts w:hint="eastAsia" w:ascii="Times New Roman" w:hAnsi="Times New Roman"/>
          <w:color w:val="auto"/>
          <w:sz w:val="32"/>
          <w:szCs w:val="32"/>
          <w:highlight w:val="none"/>
          <w:lang w:val="en-US" w:eastAsia="zh-CN"/>
        </w:rPr>
      </w:pPr>
    </w:p>
    <w:p w14:paraId="15CAA894">
      <w:pPr>
        <w:pStyle w:val="9"/>
        <w:rPr>
          <w:rFonts w:hint="eastAsia"/>
          <w:highlight w:val="none"/>
          <w:lang w:val="en-US" w:eastAsia="zh-CN"/>
        </w:rPr>
      </w:pPr>
    </w:p>
    <w:bookmarkEnd w:id="0"/>
    <w:bookmarkEnd w:id="1"/>
    <w:bookmarkEnd w:id="2"/>
    <w:bookmarkEnd w:id="3"/>
    <w:bookmarkEnd w:id="4"/>
    <w:bookmarkEnd w:id="5"/>
    <w:p w14:paraId="0666B6C0">
      <w:pPr>
        <w:pageBreakBefore w:val="0"/>
        <w:kinsoku/>
        <w:wordWrap/>
        <w:overflowPunct/>
        <w:topLinePunct w:val="0"/>
        <w:bidi w:val="0"/>
        <w:spacing w:line="560" w:lineRule="exact"/>
        <w:ind w:left="0" w:leftChars="0" w:right="0" w:rightChars="0" w:firstLine="0" w:firstLineChars="0"/>
        <w:jc w:val="center"/>
        <w:rPr>
          <w:rFonts w:hint="eastAsia" w:ascii="方正小标宋简体" w:hAnsi="方正小标宋简体" w:eastAsia="方正小标宋简体" w:cs="方正小标宋简体"/>
          <w:sz w:val="52"/>
          <w:szCs w:val="52"/>
          <w:highlight w:val="none"/>
        </w:rPr>
      </w:pPr>
      <w:r>
        <w:rPr>
          <w:rFonts w:hint="eastAsia" w:ascii="方正小标宋简体" w:hAnsi="方正小标宋简体" w:eastAsia="方正小标宋简体" w:cs="方正小标宋简体"/>
          <w:sz w:val="52"/>
          <w:szCs w:val="52"/>
          <w:highlight w:val="none"/>
        </w:rPr>
        <w:fldChar w:fldCharType="begin"/>
      </w:r>
      <w:r>
        <w:rPr>
          <w:rFonts w:hint="eastAsia" w:ascii="方正小标宋简体" w:hAnsi="方正小标宋简体" w:eastAsia="方正小标宋简体" w:cs="方正小标宋简体"/>
          <w:sz w:val="52"/>
          <w:szCs w:val="52"/>
          <w:highlight w:val="none"/>
        </w:rPr>
        <w:instrText xml:space="preserve">ADDIN CNKISM.UserStyle</w:instrText>
      </w:r>
      <w:r>
        <w:rPr>
          <w:rFonts w:hint="eastAsia" w:ascii="方正小标宋简体" w:hAnsi="方正小标宋简体" w:eastAsia="方正小标宋简体" w:cs="方正小标宋简体"/>
          <w:sz w:val="52"/>
          <w:szCs w:val="52"/>
          <w:highlight w:val="none"/>
        </w:rPr>
        <w:fldChar w:fldCharType="end"/>
      </w:r>
      <w:r>
        <w:rPr>
          <w:rFonts w:hint="eastAsia" w:ascii="方正小标宋简体" w:hAnsi="方正小标宋简体" w:eastAsia="方正小标宋简体" w:cs="方正小标宋简体"/>
          <w:sz w:val="52"/>
          <w:szCs w:val="52"/>
          <w:highlight w:val="none"/>
        </w:rPr>
        <w:t>石景山区“十</w:t>
      </w:r>
      <w:r>
        <w:rPr>
          <w:rFonts w:hint="eastAsia" w:ascii="方正小标宋简体" w:hAnsi="方正小标宋简体" w:eastAsia="方正小标宋简体" w:cs="方正小标宋简体"/>
          <w:sz w:val="52"/>
          <w:szCs w:val="52"/>
          <w:highlight w:val="none"/>
          <w:lang w:val="en-US" w:eastAsia="zh-CN"/>
        </w:rPr>
        <w:t>五</w:t>
      </w:r>
      <w:r>
        <w:rPr>
          <w:rFonts w:hint="eastAsia" w:ascii="方正小标宋简体" w:hAnsi="方正小标宋简体" w:eastAsia="方正小标宋简体" w:cs="方正小标宋简体"/>
          <w:sz w:val="52"/>
          <w:szCs w:val="52"/>
          <w:highlight w:val="none"/>
        </w:rPr>
        <w:t>五”时期卫生健康</w:t>
      </w:r>
    </w:p>
    <w:p w14:paraId="2BA290B7">
      <w:pPr>
        <w:pageBreakBefore w:val="0"/>
        <w:kinsoku/>
        <w:wordWrap/>
        <w:overflowPunct/>
        <w:topLinePunct w:val="0"/>
        <w:bidi w:val="0"/>
        <w:spacing w:line="560" w:lineRule="exact"/>
        <w:ind w:left="0" w:leftChars="0" w:right="0" w:rightChars="0" w:firstLine="0" w:firstLineChars="0"/>
        <w:jc w:val="center"/>
        <w:rPr>
          <w:rFonts w:hint="eastAsia" w:ascii="方正小标宋简体" w:hAnsi="方正小标宋简体" w:eastAsia="方正小标宋简体" w:cs="方正小标宋简体"/>
          <w:sz w:val="52"/>
          <w:szCs w:val="52"/>
          <w:highlight w:val="none"/>
          <w:lang w:eastAsia="zh-CN"/>
        </w:rPr>
      </w:pPr>
      <w:r>
        <w:rPr>
          <w:rFonts w:hint="eastAsia" w:ascii="方正小标宋简体" w:hAnsi="方正小标宋简体" w:eastAsia="方正小标宋简体" w:cs="方正小标宋简体"/>
          <w:sz w:val="52"/>
          <w:szCs w:val="52"/>
          <w:highlight w:val="none"/>
        </w:rPr>
        <w:t>事业发展规划</w:t>
      </w:r>
      <w:r>
        <w:rPr>
          <w:rFonts w:hint="eastAsia" w:ascii="方正小标宋简体" w:hAnsi="方正小标宋简体" w:eastAsia="方正小标宋简体" w:cs="方正小标宋简体"/>
          <w:sz w:val="52"/>
          <w:szCs w:val="52"/>
          <w:highlight w:val="none"/>
          <w:lang w:eastAsia="zh-CN"/>
        </w:rPr>
        <w:t>（征求意见稿）</w:t>
      </w:r>
    </w:p>
    <w:p w14:paraId="4DC0051B">
      <w:pPr>
        <w:rPr>
          <w:rFonts w:hint="eastAsia" w:ascii="Times New Roman" w:hAnsi="Times New Roman"/>
          <w:color w:val="auto"/>
          <w:highlight w:val="none"/>
          <w:lang w:val="en-US" w:eastAsia="zh-CN"/>
        </w:rPr>
      </w:pPr>
    </w:p>
    <w:p w14:paraId="6656A479">
      <w:pPr>
        <w:rPr>
          <w:rFonts w:hint="eastAsia" w:ascii="Times New Roman" w:hAnsi="Times New Roman"/>
          <w:color w:val="auto"/>
          <w:highlight w:val="none"/>
          <w:lang w:val="en-US" w:eastAsia="zh-CN"/>
        </w:rPr>
      </w:pPr>
    </w:p>
    <w:p w14:paraId="6EF4E59B">
      <w:pPr>
        <w:rPr>
          <w:rFonts w:hint="eastAsia" w:ascii="Times New Roman" w:hAnsi="Times New Roman"/>
          <w:color w:val="auto"/>
          <w:highlight w:val="none"/>
          <w:lang w:val="en-US" w:eastAsia="zh-CN"/>
        </w:rPr>
      </w:pPr>
    </w:p>
    <w:p w14:paraId="7B9E3869">
      <w:pPr>
        <w:rPr>
          <w:rFonts w:hint="eastAsia" w:ascii="Times New Roman" w:hAnsi="Times New Roman"/>
          <w:color w:val="auto"/>
          <w:highlight w:val="none"/>
          <w:lang w:val="en-US" w:eastAsia="zh-CN"/>
        </w:rPr>
      </w:pPr>
    </w:p>
    <w:p w14:paraId="43BAD638">
      <w:pPr>
        <w:rPr>
          <w:rFonts w:hint="eastAsia" w:ascii="Times New Roman" w:hAnsi="Times New Roman"/>
          <w:color w:val="auto"/>
          <w:highlight w:val="none"/>
          <w:lang w:val="en-US" w:eastAsia="zh-CN"/>
        </w:rPr>
      </w:pPr>
    </w:p>
    <w:p w14:paraId="546C81A7">
      <w:pPr>
        <w:rPr>
          <w:rFonts w:hint="eastAsia" w:ascii="Times New Roman" w:hAnsi="Times New Roman"/>
          <w:color w:val="auto"/>
          <w:highlight w:val="none"/>
          <w:lang w:val="en-US" w:eastAsia="zh-CN"/>
        </w:rPr>
      </w:pPr>
    </w:p>
    <w:p w14:paraId="05E94CB7">
      <w:pPr>
        <w:rPr>
          <w:rFonts w:hint="eastAsia" w:ascii="Times New Roman" w:hAnsi="Times New Roman"/>
          <w:color w:val="auto"/>
          <w:highlight w:val="none"/>
          <w:lang w:val="en-US" w:eastAsia="zh-CN"/>
        </w:rPr>
      </w:pPr>
    </w:p>
    <w:p w14:paraId="219B82BB">
      <w:pPr>
        <w:rPr>
          <w:rFonts w:hint="eastAsia" w:ascii="Times New Roman" w:hAnsi="Times New Roman"/>
          <w:color w:val="auto"/>
          <w:highlight w:val="none"/>
          <w:lang w:val="en-US" w:eastAsia="zh-CN"/>
        </w:rPr>
      </w:pPr>
    </w:p>
    <w:p w14:paraId="1F0B07FB">
      <w:pPr>
        <w:rPr>
          <w:rFonts w:hint="eastAsia" w:ascii="Times New Roman" w:hAnsi="Times New Roman"/>
          <w:color w:val="auto"/>
          <w:highlight w:val="none"/>
          <w:lang w:val="en-US" w:eastAsia="zh-CN"/>
        </w:rPr>
      </w:pPr>
    </w:p>
    <w:p w14:paraId="0B049AFA">
      <w:pPr>
        <w:rPr>
          <w:rFonts w:hint="eastAsia" w:ascii="Times New Roman" w:hAnsi="Times New Roman"/>
          <w:color w:val="auto"/>
          <w:highlight w:val="none"/>
          <w:lang w:val="en-US" w:eastAsia="zh-CN"/>
        </w:rPr>
      </w:pPr>
    </w:p>
    <w:p w14:paraId="135BA843">
      <w:pPr>
        <w:rPr>
          <w:rFonts w:hint="eastAsia" w:ascii="Times New Roman" w:hAnsi="Times New Roman"/>
          <w:color w:val="auto"/>
          <w:highlight w:val="none"/>
          <w:lang w:val="en-US" w:eastAsia="zh-CN"/>
        </w:rPr>
      </w:pPr>
    </w:p>
    <w:p w14:paraId="2D63B3F1">
      <w:pPr>
        <w:rPr>
          <w:rFonts w:hint="eastAsia" w:ascii="Times New Roman" w:hAnsi="Times New Roman"/>
          <w:color w:val="auto"/>
          <w:highlight w:val="none"/>
          <w:lang w:val="en-US" w:eastAsia="zh-CN"/>
        </w:rPr>
      </w:pPr>
    </w:p>
    <w:p w14:paraId="2E365FC2">
      <w:pPr>
        <w:pageBreakBefore w:val="0"/>
        <w:kinsoku/>
        <w:wordWrap/>
        <w:overflowPunct/>
        <w:topLinePunct w:val="0"/>
        <w:bidi w:val="0"/>
        <w:spacing w:line="560" w:lineRule="exact"/>
        <w:ind w:left="0" w:leftChars="0" w:right="0" w:rightChars="0" w:firstLine="0" w:firstLineChars="0"/>
        <w:jc w:val="center"/>
        <w:rPr>
          <w:rFonts w:ascii="黑体" w:hAnsi="黑体" w:eastAsia="黑体" w:cs="黑体"/>
          <w:color w:val="000000"/>
          <w:sz w:val="32"/>
          <w:szCs w:val="32"/>
          <w:highlight w:val="none"/>
        </w:rPr>
      </w:pPr>
      <w:r>
        <w:rPr>
          <w:rFonts w:hint="eastAsia" w:ascii="黑体" w:hAnsi="黑体" w:eastAsia="黑体" w:cs="黑体"/>
          <w:color w:val="000000"/>
          <w:sz w:val="32"/>
          <w:szCs w:val="32"/>
          <w:highlight w:val="none"/>
        </w:rPr>
        <w:t>北京市石景山区卫生健康委员会</w:t>
      </w:r>
    </w:p>
    <w:p w14:paraId="4A4D3C06">
      <w:pPr>
        <w:pageBreakBefore w:val="0"/>
        <w:kinsoku/>
        <w:wordWrap/>
        <w:overflowPunct/>
        <w:topLinePunct w:val="0"/>
        <w:bidi w:val="0"/>
        <w:spacing w:line="560" w:lineRule="exact"/>
        <w:ind w:left="0" w:leftChars="0" w:right="0" w:rightChars="0" w:firstLine="0" w:firstLineChars="0"/>
        <w:jc w:val="center"/>
        <w:rPr>
          <w:rFonts w:hint="eastAsia" w:ascii="黑体" w:hAnsi="黑体" w:eastAsia="黑体" w:cs="黑体"/>
          <w:color w:val="000000"/>
          <w:sz w:val="32"/>
          <w:szCs w:val="32"/>
          <w:highlight w:val="none"/>
        </w:rPr>
      </w:pPr>
      <w:r>
        <w:rPr>
          <w:rFonts w:hint="eastAsia" w:ascii="黑体" w:hAnsi="黑体" w:eastAsia="黑体" w:cs="黑体"/>
          <w:color w:val="000000"/>
          <w:sz w:val="32"/>
          <w:szCs w:val="32"/>
          <w:highlight w:val="none"/>
        </w:rPr>
        <w:t>202</w:t>
      </w:r>
      <w:r>
        <w:rPr>
          <w:rFonts w:hint="eastAsia" w:ascii="黑体" w:hAnsi="黑体" w:eastAsia="黑体" w:cs="黑体"/>
          <w:color w:val="000000"/>
          <w:sz w:val="32"/>
          <w:szCs w:val="32"/>
          <w:highlight w:val="none"/>
          <w:lang w:val="en-US" w:eastAsia="zh-CN"/>
        </w:rPr>
        <w:t>6</w:t>
      </w:r>
      <w:r>
        <w:rPr>
          <w:rFonts w:hint="eastAsia" w:ascii="黑体" w:hAnsi="黑体" w:eastAsia="黑体" w:cs="黑体"/>
          <w:color w:val="000000"/>
          <w:sz w:val="32"/>
          <w:szCs w:val="32"/>
          <w:highlight w:val="none"/>
        </w:rPr>
        <w:t>年</w:t>
      </w:r>
      <w:r>
        <w:rPr>
          <w:rFonts w:hint="eastAsia" w:ascii="黑体" w:hAnsi="黑体" w:eastAsia="黑体" w:cs="黑体"/>
          <w:color w:val="000000"/>
          <w:sz w:val="32"/>
          <w:szCs w:val="32"/>
          <w:highlight w:val="none"/>
          <w:lang w:val="en-US" w:eastAsia="zh-CN"/>
        </w:rPr>
        <w:t>7</w:t>
      </w:r>
      <w:bookmarkStart w:id="300" w:name="_GoBack"/>
      <w:bookmarkEnd w:id="300"/>
      <w:r>
        <w:rPr>
          <w:rFonts w:hint="eastAsia" w:ascii="黑体" w:hAnsi="黑体" w:eastAsia="黑体" w:cs="黑体"/>
          <w:color w:val="000000"/>
          <w:sz w:val="32"/>
          <w:szCs w:val="32"/>
          <w:highlight w:val="none"/>
        </w:rPr>
        <w:t>月</w:t>
      </w:r>
    </w:p>
    <w:sdt>
      <w:sdtPr>
        <w:rPr>
          <w:rFonts w:ascii="Times New Roman" w:hAnsi="Times New Roman" w:eastAsia="方正小标宋简体" w:cs="Times New Roman"/>
          <w:bCs/>
          <w:color w:val="auto"/>
          <w:sz w:val="44"/>
          <w:szCs w:val="44"/>
          <w:highlight w:val="none"/>
          <w:lang w:val="en-US" w:eastAsia="zh-CN"/>
        </w:rPr>
        <w:id w:val="753501491"/>
        <w15:color w:val="DBDBDB"/>
        <w:docPartObj>
          <w:docPartGallery w:val="Table of Contents"/>
          <w:docPartUnique/>
        </w:docPartObj>
      </w:sdtPr>
      <w:sdtEndPr>
        <w:rPr>
          <w:rFonts w:hint="eastAsia" w:ascii="仿宋_GB2312" w:hAnsi="仿宋_GB2312" w:eastAsia="仿宋_GB2312" w:cs="仿宋_GB2312"/>
          <w:bCs/>
          <w:color w:val="auto"/>
          <w:kern w:val="2"/>
          <w:sz w:val="20"/>
          <w:szCs w:val="28"/>
          <w:highlight w:val="none"/>
          <w:lang w:val="en-US" w:eastAsia="zh-CN" w:bidi="ar-SA"/>
        </w:rPr>
      </w:sdtEndPr>
      <w:sdtContent>
        <w:p w14:paraId="096EC449">
          <w:pPr>
            <w:pStyle w:val="12"/>
            <w:keepNext w:val="0"/>
            <w:keepLines w:val="0"/>
            <w:pageBreakBefore w:val="0"/>
            <w:widowControl w:val="0"/>
            <w:tabs>
              <w:tab w:val="right" w:leader="dot" w:pos="8296"/>
            </w:tabs>
            <w:kinsoku/>
            <w:wordWrap/>
            <w:overflowPunct/>
            <w:topLinePunct w:val="0"/>
            <w:autoSpaceDE/>
            <w:autoSpaceDN/>
            <w:bidi w:val="0"/>
            <w:adjustRightInd/>
            <w:snapToGrid/>
            <w:spacing w:line="560" w:lineRule="exact"/>
            <w:ind w:left="0" w:leftChars="0" w:firstLine="0" w:firstLineChars="0"/>
            <w:jc w:val="center"/>
            <w:textAlignment w:val="auto"/>
            <w:rPr>
              <w:rFonts w:ascii="Times New Roman" w:hAnsi="Times New Roman" w:eastAsia="方正小标宋简体" w:cs="Times New Roman"/>
              <w:bCs/>
              <w:color w:val="auto"/>
              <w:sz w:val="44"/>
              <w:szCs w:val="44"/>
              <w:highlight w:val="none"/>
            </w:rPr>
          </w:pPr>
          <w:r>
            <w:rPr>
              <w:rFonts w:ascii="Times New Roman" w:hAnsi="Times New Roman" w:eastAsia="方正小标宋简体" w:cs="Times New Roman"/>
              <w:bCs/>
              <w:color w:val="auto"/>
              <w:sz w:val="44"/>
              <w:szCs w:val="44"/>
              <w:highlight w:val="none"/>
            </w:rPr>
            <w:t>目</w:t>
          </w:r>
          <w:r>
            <w:rPr>
              <w:rFonts w:hint="eastAsia" w:ascii="Times New Roman" w:hAnsi="Times New Roman" w:eastAsia="方正小标宋简体" w:cs="Times New Roman"/>
              <w:bCs/>
              <w:color w:val="auto"/>
              <w:sz w:val="44"/>
              <w:szCs w:val="44"/>
              <w:highlight w:val="none"/>
              <w:lang w:val="en-US" w:eastAsia="zh-CN"/>
            </w:rPr>
            <w:t xml:space="preserve">  </w:t>
          </w:r>
          <w:r>
            <w:rPr>
              <w:rFonts w:ascii="Times New Roman" w:hAnsi="Times New Roman" w:eastAsia="方正小标宋简体" w:cs="Times New Roman"/>
              <w:bCs/>
              <w:color w:val="auto"/>
              <w:sz w:val="44"/>
              <w:szCs w:val="44"/>
              <w:highlight w:val="none"/>
            </w:rPr>
            <w:t>录</w:t>
          </w:r>
        </w:p>
        <w:p w14:paraId="2D8B0C99">
          <w:pPr>
            <w:pStyle w:val="12"/>
            <w:tabs>
              <w:tab w:val="right" w:leader="dot" w:pos="8845"/>
            </w:tabs>
            <w:rPr>
              <w:rFonts w:ascii="Times New Roman" w:hAnsi="Times New Roman" w:eastAsia="黑体" w:cs="Times New Roman"/>
              <w:bCs w:val="0"/>
              <w:szCs w:val="32"/>
            </w:rPr>
          </w:pPr>
          <w:r>
            <w:rPr>
              <w:rFonts w:hint="eastAsia" w:ascii="仿宋_GB2312" w:hAnsi="仿宋_GB2312" w:eastAsia="仿宋_GB2312" w:cs="仿宋_GB2312"/>
              <w:color w:val="auto"/>
              <w:kern w:val="2"/>
              <w:sz w:val="28"/>
              <w:szCs w:val="28"/>
              <w:highlight w:val="none"/>
              <w:lang w:val="en-US" w:eastAsia="zh-CN" w:bidi="ar-SA"/>
            </w:rPr>
            <w:fldChar w:fldCharType="begin"/>
          </w:r>
          <w:r>
            <w:rPr>
              <w:rFonts w:hint="eastAsia" w:ascii="仿宋_GB2312" w:hAnsi="仿宋_GB2312" w:eastAsia="仿宋_GB2312" w:cs="仿宋_GB2312"/>
              <w:color w:val="auto"/>
              <w:kern w:val="2"/>
              <w:sz w:val="28"/>
              <w:szCs w:val="28"/>
              <w:highlight w:val="none"/>
              <w:lang w:val="en-US" w:eastAsia="zh-CN" w:bidi="ar-SA"/>
            </w:rPr>
            <w:instrText xml:space="preserve">TOC \o "1-3" \h \u </w:instrText>
          </w:r>
          <w:r>
            <w:rPr>
              <w:rFonts w:hint="eastAsia" w:ascii="仿宋_GB2312" w:hAnsi="仿宋_GB2312" w:eastAsia="仿宋_GB2312" w:cs="仿宋_GB2312"/>
              <w:color w:val="auto"/>
              <w:kern w:val="2"/>
              <w:sz w:val="28"/>
              <w:szCs w:val="28"/>
              <w:highlight w:val="none"/>
              <w:lang w:val="en-US" w:eastAsia="zh-CN" w:bidi="ar-SA"/>
            </w:rPr>
            <w:fldChar w:fldCharType="separate"/>
          </w:r>
          <w:r>
            <w:rPr>
              <w:rFonts w:hint="eastAsia" w:ascii="Times New Roman" w:hAnsi="Times New Roman" w:eastAsia="黑体" w:cs="Times New Roman"/>
              <w:bCs w:val="0"/>
              <w:szCs w:val="32"/>
              <w:lang w:val="en-US" w:eastAsia="zh-CN"/>
            </w:rPr>
            <w:fldChar w:fldCharType="begin"/>
          </w:r>
          <w:r>
            <w:rPr>
              <w:rFonts w:hint="eastAsia" w:ascii="Times New Roman" w:hAnsi="Times New Roman" w:eastAsia="黑体" w:cs="Times New Roman"/>
              <w:bCs w:val="0"/>
              <w:szCs w:val="32"/>
              <w:lang w:val="en-US" w:eastAsia="zh-CN"/>
            </w:rPr>
            <w:instrText xml:space="preserve"> HYPERLINK \l _Toc1227331705 </w:instrText>
          </w:r>
          <w:r>
            <w:rPr>
              <w:rFonts w:hint="eastAsia" w:ascii="Times New Roman" w:hAnsi="Times New Roman" w:eastAsia="黑体" w:cs="Times New Roman"/>
              <w:bCs w:val="0"/>
              <w:szCs w:val="32"/>
              <w:lang w:val="en-US" w:eastAsia="zh-CN"/>
            </w:rPr>
            <w:fldChar w:fldCharType="separate"/>
          </w:r>
          <w:r>
            <w:rPr>
              <w:rFonts w:hint="eastAsia" w:ascii="Times New Roman" w:hAnsi="Times New Roman" w:eastAsia="黑体" w:cs="Times New Roman"/>
              <w:bCs w:val="0"/>
              <w:szCs w:val="32"/>
              <w:lang w:val="en-US" w:eastAsia="zh-CN"/>
            </w:rPr>
            <w:t>一、总体要求</w:t>
          </w:r>
          <w:r>
            <w:rPr>
              <w:rFonts w:ascii="Times New Roman" w:hAnsi="Times New Roman" w:eastAsia="黑体" w:cs="Times New Roman"/>
              <w:bCs w:val="0"/>
              <w:szCs w:val="32"/>
            </w:rPr>
            <w:tab/>
          </w:r>
          <w:r>
            <w:rPr>
              <w:rFonts w:ascii="Times New Roman" w:hAnsi="Times New Roman" w:eastAsia="黑体" w:cs="Times New Roman"/>
              <w:bCs w:val="0"/>
              <w:szCs w:val="32"/>
            </w:rPr>
            <w:fldChar w:fldCharType="begin"/>
          </w:r>
          <w:r>
            <w:rPr>
              <w:rFonts w:ascii="Times New Roman" w:hAnsi="Times New Roman" w:eastAsia="黑体" w:cs="Times New Roman"/>
              <w:bCs w:val="0"/>
              <w:szCs w:val="32"/>
            </w:rPr>
            <w:instrText xml:space="preserve"> PAGEREF _Toc1227331705 \h </w:instrText>
          </w:r>
          <w:r>
            <w:rPr>
              <w:rFonts w:ascii="Times New Roman" w:hAnsi="Times New Roman" w:eastAsia="黑体" w:cs="Times New Roman"/>
              <w:bCs w:val="0"/>
              <w:szCs w:val="32"/>
            </w:rPr>
            <w:fldChar w:fldCharType="separate"/>
          </w:r>
          <w:r>
            <w:rPr>
              <w:rFonts w:ascii="Times New Roman" w:hAnsi="Times New Roman" w:eastAsia="黑体" w:cs="Times New Roman"/>
              <w:bCs w:val="0"/>
              <w:szCs w:val="32"/>
            </w:rPr>
            <w:t>1</w:t>
          </w:r>
          <w:r>
            <w:rPr>
              <w:rFonts w:ascii="Times New Roman" w:hAnsi="Times New Roman" w:eastAsia="黑体" w:cs="Times New Roman"/>
              <w:bCs w:val="0"/>
              <w:szCs w:val="32"/>
            </w:rPr>
            <w:fldChar w:fldCharType="end"/>
          </w:r>
          <w:r>
            <w:rPr>
              <w:rFonts w:hint="eastAsia" w:ascii="Times New Roman" w:hAnsi="Times New Roman" w:eastAsia="黑体" w:cs="Times New Roman"/>
              <w:bCs w:val="0"/>
              <w:szCs w:val="32"/>
              <w:lang w:val="en-US" w:eastAsia="zh-CN"/>
            </w:rPr>
            <w:fldChar w:fldCharType="end"/>
          </w:r>
        </w:p>
        <w:p w14:paraId="12FA83D5">
          <w:pPr>
            <w:pStyle w:val="15"/>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bCs/>
              <w:szCs w:val="22"/>
            </w:rPr>
          </w:pPr>
          <w:r>
            <w:rPr>
              <w:rFonts w:hint="eastAsia" w:ascii="Times New Roman" w:hAnsi="Times New Roman" w:eastAsia="楷体_GB2312" w:cs="Times New Roman"/>
              <w:bCs/>
              <w:szCs w:val="22"/>
              <w:lang w:val="en-US" w:eastAsia="zh-CN"/>
            </w:rPr>
            <w:fldChar w:fldCharType="begin"/>
          </w:r>
          <w:r>
            <w:rPr>
              <w:rFonts w:hint="eastAsia" w:ascii="Times New Roman" w:hAnsi="Times New Roman" w:eastAsia="楷体_GB2312" w:cs="Times New Roman"/>
              <w:bCs/>
              <w:szCs w:val="22"/>
              <w:lang w:val="en-US" w:eastAsia="zh-CN"/>
            </w:rPr>
            <w:instrText xml:space="preserve"> HYPERLINK \l _Toc1353948436 </w:instrText>
          </w:r>
          <w:r>
            <w:rPr>
              <w:rFonts w:hint="eastAsia" w:ascii="Times New Roman" w:hAnsi="Times New Roman" w:eastAsia="楷体_GB2312" w:cs="Times New Roman"/>
              <w:bCs/>
              <w:szCs w:val="22"/>
              <w:lang w:val="en-US" w:eastAsia="zh-CN"/>
            </w:rPr>
            <w:fldChar w:fldCharType="separate"/>
          </w:r>
          <w:r>
            <w:rPr>
              <w:rFonts w:hint="eastAsia" w:ascii="Times New Roman" w:hAnsi="Times New Roman" w:eastAsia="楷体_GB2312" w:cs="Times New Roman"/>
              <w:bCs/>
              <w:szCs w:val="22"/>
              <w:lang w:val="en-US" w:eastAsia="zh-CN"/>
            </w:rPr>
            <w:t>（一）指导思想</w:t>
          </w:r>
          <w:r>
            <w:rPr>
              <w:rFonts w:ascii="Times New Roman" w:hAnsi="Times New Roman" w:eastAsia="楷体_GB2312" w:cs="Times New Roman"/>
              <w:bCs/>
              <w:szCs w:val="22"/>
            </w:rPr>
            <w:tab/>
          </w:r>
          <w:r>
            <w:rPr>
              <w:rFonts w:ascii="Times New Roman" w:hAnsi="Times New Roman" w:eastAsia="楷体_GB2312" w:cs="Times New Roman"/>
              <w:bCs/>
              <w:szCs w:val="22"/>
            </w:rPr>
            <w:fldChar w:fldCharType="begin"/>
          </w:r>
          <w:r>
            <w:rPr>
              <w:rFonts w:ascii="Times New Roman" w:hAnsi="Times New Roman" w:eastAsia="楷体_GB2312" w:cs="Times New Roman"/>
              <w:bCs/>
              <w:szCs w:val="22"/>
            </w:rPr>
            <w:instrText xml:space="preserve"> PAGEREF _Toc1353948436 \h </w:instrText>
          </w:r>
          <w:r>
            <w:rPr>
              <w:rFonts w:ascii="Times New Roman" w:hAnsi="Times New Roman" w:eastAsia="楷体_GB2312" w:cs="Times New Roman"/>
              <w:bCs/>
              <w:szCs w:val="22"/>
            </w:rPr>
            <w:fldChar w:fldCharType="separate"/>
          </w:r>
          <w:r>
            <w:rPr>
              <w:rFonts w:ascii="Times New Roman" w:hAnsi="Times New Roman" w:eastAsia="楷体_GB2312" w:cs="Times New Roman"/>
              <w:bCs/>
              <w:szCs w:val="22"/>
            </w:rPr>
            <w:t>1</w:t>
          </w:r>
          <w:r>
            <w:rPr>
              <w:rFonts w:ascii="Times New Roman" w:hAnsi="Times New Roman" w:eastAsia="楷体_GB2312" w:cs="Times New Roman"/>
              <w:bCs/>
              <w:szCs w:val="22"/>
            </w:rPr>
            <w:fldChar w:fldCharType="end"/>
          </w:r>
          <w:r>
            <w:rPr>
              <w:rFonts w:hint="eastAsia" w:ascii="Times New Roman" w:hAnsi="Times New Roman" w:eastAsia="楷体_GB2312" w:cs="Times New Roman"/>
              <w:bCs/>
              <w:szCs w:val="22"/>
              <w:lang w:val="en-US" w:eastAsia="zh-CN"/>
            </w:rPr>
            <w:fldChar w:fldCharType="end"/>
          </w:r>
        </w:p>
        <w:p w14:paraId="199CE6AF">
          <w:pPr>
            <w:pStyle w:val="15"/>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bCs/>
              <w:szCs w:val="22"/>
            </w:rPr>
          </w:pPr>
          <w:r>
            <w:rPr>
              <w:rFonts w:hint="eastAsia" w:ascii="Times New Roman" w:hAnsi="Times New Roman" w:eastAsia="楷体_GB2312" w:cs="Times New Roman"/>
              <w:bCs/>
              <w:szCs w:val="22"/>
              <w:lang w:val="en-US" w:eastAsia="zh-CN"/>
            </w:rPr>
            <w:fldChar w:fldCharType="begin"/>
          </w:r>
          <w:r>
            <w:rPr>
              <w:rFonts w:hint="eastAsia" w:ascii="Times New Roman" w:hAnsi="Times New Roman" w:eastAsia="楷体_GB2312" w:cs="Times New Roman"/>
              <w:bCs/>
              <w:szCs w:val="22"/>
              <w:lang w:val="en-US" w:eastAsia="zh-CN"/>
            </w:rPr>
            <w:instrText xml:space="preserve"> HYPERLINK \l _Toc1254785083 </w:instrText>
          </w:r>
          <w:r>
            <w:rPr>
              <w:rFonts w:hint="eastAsia" w:ascii="Times New Roman" w:hAnsi="Times New Roman" w:eastAsia="楷体_GB2312" w:cs="Times New Roman"/>
              <w:bCs/>
              <w:szCs w:val="22"/>
              <w:lang w:val="en-US" w:eastAsia="zh-CN"/>
            </w:rPr>
            <w:fldChar w:fldCharType="separate"/>
          </w:r>
          <w:r>
            <w:rPr>
              <w:rFonts w:hint="eastAsia" w:ascii="Times New Roman" w:hAnsi="Times New Roman" w:eastAsia="楷体_GB2312" w:cs="Times New Roman"/>
              <w:bCs/>
              <w:szCs w:val="22"/>
              <w:lang w:val="en-US" w:eastAsia="zh-CN"/>
            </w:rPr>
            <w:t>（二）总体目标</w:t>
          </w:r>
          <w:r>
            <w:rPr>
              <w:rFonts w:ascii="Times New Roman" w:hAnsi="Times New Roman" w:eastAsia="楷体_GB2312" w:cs="Times New Roman"/>
              <w:bCs/>
              <w:szCs w:val="22"/>
            </w:rPr>
            <w:tab/>
          </w:r>
          <w:r>
            <w:rPr>
              <w:rFonts w:ascii="Times New Roman" w:hAnsi="Times New Roman" w:eastAsia="楷体_GB2312" w:cs="Times New Roman"/>
              <w:bCs/>
              <w:szCs w:val="22"/>
            </w:rPr>
            <w:fldChar w:fldCharType="begin"/>
          </w:r>
          <w:r>
            <w:rPr>
              <w:rFonts w:ascii="Times New Roman" w:hAnsi="Times New Roman" w:eastAsia="楷体_GB2312" w:cs="Times New Roman"/>
              <w:bCs/>
              <w:szCs w:val="22"/>
            </w:rPr>
            <w:instrText xml:space="preserve"> PAGEREF _Toc1254785083 \h </w:instrText>
          </w:r>
          <w:r>
            <w:rPr>
              <w:rFonts w:ascii="Times New Roman" w:hAnsi="Times New Roman" w:eastAsia="楷体_GB2312" w:cs="Times New Roman"/>
              <w:bCs/>
              <w:szCs w:val="22"/>
            </w:rPr>
            <w:fldChar w:fldCharType="separate"/>
          </w:r>
          <w:r>
            <w:rPr>
              <w:rFonts w:ascii="Times New Roman" w:hAnsi="Times New Roman" w:eastAsia="楷体_GB2312" w:cs="Times New Roman"/>
              <w:bCs/>
              <w:szCs w:val="22"/>
            </w:rPr>
            <w:t>1</w:t>
          </w:r>
          <w:r>
            <w:rPr>
              <w:rFonts w:ascii="Times New Roman" w:hAnsi="Times New Roman" w:eastAsia="楷体_GB2312" w:cs="Times New Roman"/>
              <w:bCs/>
              <w:szCs w:val="22"/>
            </w:rPr>
            <w:fldChar w:fldCharType="end"/>
          </w:r>
          <w:r>
            <w:rPr>
              <w:rFonts w:hint="eastAsia" w:ascii="Times New Roman" w:hAnsi="Times New Roman" w:eastAsia="楷体_GB2312" w:cs="Times New Roman"/>
              <w:bCs/>
              <w:szCs w:val="22"/>
              <w:lang w:val="en-US" w:eastAsia="zh-CN"/>
            </w:rPr>
            <w:fldChar w:fldCharType="end"/>
          </w:r>
        </w:p>
        <w:p w14:paraId="6D94AC20">
          <w:pPr>
            <w:pStyle w:val="15"/>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bCs/>
              <w:szCs w:val="22"/>
            </w:rPr>
          </w:pPr>
          <w:r>
            <w:rPr>
              <w:rFonts w:hint="eastAsia" w:ascii="Times New Roman" w:hAnsi="Times New Roman" w:eastAsia="楷体_GB2312" w:cs="Times New Roman"/>
              <w:bCs/>
              <w:szCs w:val="22"/>
              <w:lang w:val="en-US" w:eastAsia="zh-CN"/>
            </w:rPr>
            <w:fldChar w:fldCharType="begin"/>
          </w:r>
          <w:r>
            <w:rPr>
              <w:rFonts w:hint="eastAsia" w:ascii="Times New Roman" w:hAnsi="Times New Roman" w:eastAsia="楷体_GB2312" w:cs="Times New Roman"/>
              <w:bCs/>
              <w:szCs w:val="22"/>
              <w:lang w:val="en-US" w:eastAsia="zh-CN"/>
            </w:rPr>
            <w:instrText xml:space="preserve"> HYPERLINK \l _Toc73102436 </w:instrText>
          </w:r>
          <w:r>
            <w:rPr>
              <w:rFonts w:hint="eastAsia" w:ascii="Times New Roman" w:hAnsi="Times New Roman" w:eastAsia="楷体_GB2312" w:cs="Times New Roman"/>
              <w:bCs/>
              <w:szCs w:val="22"/>
              <w:lang w:val="en-US" w:eastAsia="zh-CN"/>
            </w:rPr>
            <w:fldChar w:fldCharType="separate"/>
          </w:r>
          <w:r>
            <w:rPr>
              <w:rFonts w:hint="eastAsia" w:ascii="Times New Roman" w:hAnsi="Times New Roman" w:eastAsia="楷体_GB2312" w:cs="Times New Roman"/>
              <w:bCs/>
              <w:szCs w:val="22"/>
              <w:lang w:val="en-US" w:eastAsia="zh-CN"/>
            </w:rPr>
            <w:t>（三）主要指标</w:t>
          </w:r>
          <w:r>
            <w:rPr>
              <w:rFonts w:ascii="Times New Roman" w:hAnsi="Times New Roman" w:eastAsia="楷体_GB2312" w:cs="Times New Roman"/>
              <w:bCs/>
              <w:szCs w:val="22"/>
            </w:rPr>
            <w:tab/>
          </w:r>
          <w:r>
            <w:rPr>
              <w:rFonts w:ascii="Times New Roman" w:hAnsi="Times New Roman" w:eastAsia="楷体_GB2312" w:cs="Times New Roman"/>
              <w:bCs/>
              <w:szCs w:val="22"/>
            </w:rPr>
            <w:fldChar w:fldCharType="begin"/>
          </w:r>
          <w:r>
            <w:rPr>
              <w:rFonts w:ascii="Times New Roman" w:hAnsi="Times New Roman" w:eastAsia="楷体_GB2312" w:cs="Times New Roman"/>
              <w:bCs/>
              <w:szCs w:val="22"/>
            </w:rPr>
            <w:instrText xml:space="preserve"> PAGEREF _Toc73102436 \h </w:instrText>
          </w:r>
          <w:r>
            <w:rPr>
              <w:rFonts w:ascii="Times New Roman" w:hAnsi="Times New Roman" w:eastAsia="楷体_GB2312" w:cs="Times New Roman"/>
              <w:bCs/>
              <w:szCs w:val="22"/>
            </w:rPr>
            <w:fldChar w:fldCharType="separate"/>
          </w:r>
          <w:r>
            <w:rPr>
              <w:rFonts w:ascii="Times New Roman" w:hAnsi="Times New Roman" w:eastAsia="楷体_GB2312" w:cs="Times New Roman"/>
              <w:bCs/>
              <w:szCs w:val="22"/>
            </w:rPr>
            <w:t>2</w:t>
          </w:r>
          <w:r>
            <w:rPr>
              <w:rFonts w:ascii="Times New Roman" w:hAnsi="Times New Roman" w:eastAsia="楷体_GB2312" w:cs="Times New Roman"/>
              <w:bCs/>
              <w:szCs w:val="22"/>
            </w:rPr>
            <w:fldChar w:fldCharType="end"/>
          </w:r>
          <w:r>
            <w:rPr>
              <w:rFonts w:hint="eastAsia" w:ascii="Times New Roman" w:hAnsi="Times New Roman" w:eastAsia="楷体_GB2312" w:cs="Times New Roman"/>
              <w:bCs/>
              <w:szCs w:val="22"/>
              <w:lang w:val="en-US" w:eastAsia="zh-CN"/>
            </w:rPr>
            <w:fldChar w:fldCharType="end"/>
          </w:r>
        </w:p>
        <w:p w14:paraId="06E026BE">
          <w:pPr>
            <w:pStyle w:val="12"/>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黑体" w:cs="Times New Roman"/>
              <w:bCs w:val="0"/>
              <w:szCs w:val="32"/>
            </w:rPr>
          </w:pPr>
          <w:r>
            <w:rPr>
              <w:rFonts w:hint="eastAsia" w:ascii="Times New Roman" w:hAnsi="Times New Roman" w:eastAsia="黑体" w:cs="Times New Roman"/>
              <w:bCs w:val="0"/>
              <w:szCs w:val="32"/>
              <w:lang w:val="en-US" w:eastAsia="zh-CN"/>
            </w:rPr>
            <w:fldChar w:fldCharType="begin"/>
          </w:r>
          <w:r>
            <w:rPr>
              <w:rFonts w:hint="eastAsia" w:ascii="Times New Roman" w:hAnsi="Times New Roman" w:eastAsia="黑体" w:cs="Times New Roman"/>
              <w:bCs w:val="0"/>
              <w:szCs w:val="32"/>
              <w:lang w:val="en-US" w:eastAsia="zh-CN"/>
            </w:rPr>
            <w:instrText xml:space="preserve"> HYPERLINK \l _Toc1124313513 </w:instrText>
          </w:r>
          <w:r>
            <w:rPr>
              <w:rFonts w:hint="eastAsia" w:ascii="Times New Roman" w:hAnsi="Times New Roman" w:eastAsia="黑体" w:cs="Times New Roman"/>
              <w:bCs w:val="0"/>
              <w:szCs w:val="32"/>
              <w:lang w:val="en-US" w:eastAsia="zh-CN"/>
            </w:rPr>
            <w:fldChar w:fldCharType="separate"/>
          </w:r>
          <w:r>
            <w:rPr>
              <w:rFonts w:hint="eastAsia" w:ascii="Times New Roman" w:hAnsi="Times New Roman" w:eastAsia="黑体" w:cs="Times New Roman"/>
              <w:bCs w:val="0"/>
              <w:szCs w:val="32"/>
              <w:lang w:val="en-US" w:eastAsia="zh-CN"/>
            </w:rPr>
            <w:t>二、主要任务</w:t>
          </w:r>
          <w:r>
            <w:rPr>
              <w:rFonts w:ascii="Times New Roman" w:hAnsi="Times New Roman" w:eastAsia="黑体" w:cs="Times New Roman"/>
              <w:bCs w:val="0"/>
              <w:szCs w:val="32"/>
            </w:rPr>
            <w:tab/>
          </w:r>
          <w:r>
            <w:rPr>
              <w:rFonts w:ascii="Times New Roman" w:hAnsi="Times New Roman" w:eastAsia="黑体" w:cs="Times New Roman"/>
              <w:bCs w:val="0"/>
              <w:szCs w:val="32"/>
            </w:rPr>
            <w:fldChar w:fldCharType="begin"/>
          </w:r>
          <w:r>
            <w:rPr>
              <w:rFonts w:ascii="Times New Roman" w:hAnsi="Times New Roman" w:eastAsia="黑体" w:cs="Times New Roman"/>
              <w:bCs w:val="0"/>
              <w:szCs w:val="32"/>
            </w:rPr>
            <w:instrText xml:space="preserve"> PAGEREF _Toc1124313513 \h </w:instrText>
          </w:r>
          <w:r>
            <w:rPr>
              <w:rFonts w:ascii="Times New Roman" w:hAnsi="Times New Roman" w:eastAsia="黑体" w:cs="Times New Roman"/>
              <w:bCs w:val="0"/>
              <w:szCs w:val="32"/>
            </w:rPr>
            <w:fldChar w:fldCharType="separate"/>
          </w:r>
          <w:r>
            <w:rPr>
              <w:rFonts w:ascii="Times New Roman" w:hAnsi="Times New Roman" w:eastAsia="黑体" w:cs="Times New Roman"/>
              <w:bCs w:val="0"/>
              <w:szCs w:val="32"/>
            </w:rPr>
            <w:t>4</w:t>
          </w:r>
          <w:r>
            <w:rPr>
              <w:rFonts w:ascii="Times New Roman" w:hAnsi="Times New Roman" w:eastAsia="黑体" w:cs="Times New Roman"/>
              <w:bCs w:val="0"/>
              <w:szCs w:val="32"/>
            </w:rPr>
            <w:fldChar w:fldCharType="end"/>
          </w:r>
          <w:r>
            <w:rPr>
              <w:rFonts w:hint="eastAsia" w:ascii="Times New Roman" w:hAnsi="Times New Roman" w:eastAsia="黑体" w:cs="Times New Roman"/>
              <w:bCs w:val="0"/>
              <w:szCs w:val="32"/>
              <w:lang w:val="en-US" w:eastAsia="zh-CN"/>
            </w:rPr>
            <w:fldChar w:fldCharType="end"/>
          </w:r>
        </w:p>
        <w:p w14:paraId="419667B1">
          <w:pPr>
            <w:pStyle w:val="15"/>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bCs/>
              <w:szCs w:val="22"/>
            </w:rPr>
          </w:pPr>
          <w:r>
            <w:rPr>
              <w:rFonts w:hint="eastAsia" w:ascii="Times New Roman" w:hAnsi="Times New Roman" w:eastAsia="楷体_GB2312" w:cs="Times New Roman"/>
              <w:bCs/>
              <w:szCs w:val="22"/>
              <w:lang w:val="en-US" w:eastAsia="zh-CN"/>
            </w:rPr>
            <w:fldChar w:fldCharType="begin"/>
          </w:r>
          <w:r>
            <w:rPr>
              <w:rFonts w:hint="eastAsia" w:ascii="Times New Roman" w:hAnsi="Times New Roman" w:eastAsia="楷体_GB2312" w:cs="Times New Roman"/>
              <w:bCs/>
              <w:szCs w:val="22"/>
              <w:lang w:val="en-US" w:eastAsia="zh-CN"/>
            </w:rPr>
            <w:instrText xml:space="preserve"> HYPERLINK \l _Toc981435942 </w:instrText>
          </w:r>
          <w:r>
            <w:rPr>
              <w:rFonts w:hint="eastAsia" w:ascii="Times New Roman" w:hAnsi="Times New Roman" w:eastAsia="楷体_GB2312" w:cs="Times New Roman"/>
              <w:bCs/>
              <w:szCs w:val="22"/>
              <w:lang w:val="en-US" w:eastAsia="zh-CN"/>
            </w:rPr>
            <w:fldChar w:fldCharType="separate"/>
          </w:r>
          <w:r>
            <w:rPr>
              <w:rFonts w:hint="eastAsia" w:ascii="Times New Roman" w:hAnsi="Times New Roman" w:eastAsia="楷体_GB2312" w:cs="Times New Roman"/>
              <w:bCs/>
              <w:szCs w:val="22"/>
              <w:lang w:val="en-US" w:eastAsia="zh-CN"/>
            </w:rPr>
            <w:t>（一）纵深联合，深化医药卫生体制改革</w:t>
          </w:r>
          <w:r>
            <w:rPr>
              <w:rFonts w:ascii="Times New Roman" w:hAnsi="Times New Roman" w:eastAsia="楷体_GB2312" w:cs="Times New Roman"/>
              <w:bCs/>
              <w:szCs w:val="22"/>
            </w:rPr>
            <w:tab/>
          </w:r>
          <w:r>
            <w:rPr>
              <w:rFonts w:ascii="Times New Roman" w:hAnsi="Times New Roman" w:eastAsia="楷体_GB2312" w:cs="Times New Roman"/>
              <w:bCs/>
              <w:szCs w:val="22"/>
            </w:rPr>
            <w:fldChar w:fldCharType="begin"/>
          </w:r>
          <w:r>
            <w:rPr>
              <w:rFonts w:ascii="Times New Roman" w:hAnsi="Times New Roman" w:eastAsia="楷体_GB2312" w:cs="Times New Roman"/>
              <w:bCs/>
              <w:szCs w:val="22"/>
            </w:rPr>
            <w:instrText xml:space="preserve"> PAGEREF _Toc981435942 \h </w:instrText>
          </w:r>
          <w:r>
            <w:rPr>
              <w:rFonts w:ascii="Times New Roman" w:hAnsi="Times New Roman" w:eastAsia="楷体_GB2312" w:cs="Times New Roman"/>
              <w:bCs/>
              <w:szCs w:val="22"/>
            </w:rPr>
            <w:fldChar w:fldCharType="separate"/>
          </w:r>
          <w:r>
            <w:rPr>
              <w:rFonts w:ascii="Times New Roman" w:hAnsi="Times New Roman" w:eastAsia="楷体_GB2312" w:cs="Times New Roman"/>
              <w:bCs/>
              <w:szCs w:val="22"/>
            </w:rPr>
            <w:t>4</w:t>
          </w:r>
          <w:r>
            <w:rPr>
              <w:rFonts w:ascii="Times New Roman" w:hAnsi="Times New Roman" w:eastAsia="楷体_GB2312" w:cs="Times New Roman"/>
              <w:bCs/>
              <w:szCs w:val="22"/>
            </w:rPr>
            <w:fldChar w:fldCharType="end"/>
          </w:r>
          <w:r>
            <w:rPr>
              <w:rFonts w:hint="eastAsia" w:ascii="Times New Roman" w:hAnsi="Times New Roman" w:eastAsia="楷体_GB2312" w:cs="Times New Roman"/>
              <w:bCs/>
              <w:szCs w:val="22"/>
              <w:lang w:val="en-US" w:eastAsia="zh-CN"/>
            </w:rPr>
            <w:fldChar w:fldCharType="end"/>
          </w:r>
        </w:p>
        <w:p w14:paraId="7DDA6BF2">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_Toc1292306085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1.强化“三医”协同</w:t>
          </w:r>
          <w:r>
            <w:tab/>
          </w:r>
          <w:r>
            <w:fldChar w:fldCharType="begin"/>
          </w:r>
          <w:r>
            <w:instrText xml:space="preserve"> PAGEREF _Toc1292306085 \h </w:instrText>
          </w:r>
          <w:r>
            <w:fldChar w:fldCharType="separate"/>
          </w:r>
          <w:r>
            <w:t>4</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1FDA2622">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_Toc113412295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2.深化公立医院改革</w:t>
          </w:r>
          <w:r>
            <w:tab/>
          </w:r>
          <w:r>
            <w:fldChar w:fldCharType="begin"/>
          </w:r>
          <w:r>
            <w:instrText xml:space="preserve"> PAGEREF _Toc113412295 \h </w:instrText>
          </w:r>
          <w:r>
            <w:fldChar w:fldCharType="separate"/>
          </w:r>
          <w:r>
            <w:t>4</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2D468D42">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_Toc2086658718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3.加快分级诊疗建设</w:t>
          </w:r>
          <w:r>
            <w:tab/>
          </w:r>
          <w:r>
            <w:fldChar w:fldCharType="begin"/>
          </w:r>
          <w:r>
            <w:instrText xml:space="preserve"> PAGEREF _Toc2086658718 \h </w:instrText>
          </w:r>
          <w:r>
            <w:fldChar w:fldCharType="separate"/>
          </w:r>
          <w:r>
            <w:t>4</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3E67B4F4">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_Toc99422953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4.深化医疗保障制度改革</w:t>
          </w:r>
          <w:r>
            <w:tab/>
          </w:r>
          <w:r>
            <w:fldChar w:fldCharType="begin"/>
          </w:r>
          <w:r>
            <w:instrText xml:space="preserve"> PAGEREF _Toc99422953 \h </w:instrText>
          </w:r>
          <w:r>
            <w:fldChar w:fldCharType="separate"/>
          </w:r>
          <w:r>
            <w:t>5</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22C31F7F">
          <w:pPr>
            <w:pStyle w:val="15"/>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bCs/>
              <w:szCs w:val="22"/>
            </w:rPr>
          </w:pPr>
          <w:r>
            <w:rPr>
              <w:rFonts w:hint="eastAsia" w:ascii="Times New Roman" w:hAnsi="Times New Roman" w:eastAsia="楷体_GB2312" w:cs="Times New Roman"/>
              <w:bCs/>
              <w:szCs w:val="22"/>
              <w:lang w:val="en-US" w:eastAsia="zh-CN"/>
            </w:rPr>
            <w:fldChar w:fldCharType="begin"/>
          </w:r>
          <w:r>
            <w:rPr>
              <w:rFonts w:hint="eastAsia" w:ascii="Times New Roman" w:hAnsi="Times New Roman" w:eastAsia="楷体_GB2312" w:cs="Times New Roman"/>
              <w:bCs/>
              <w:szCs w:val="22"/>
              <w:lang w:val="en-US" w:eastAsia="zh-CN"/>
            </w:rPr>
            <w:instrText xml:space="preserve"> HYPERLINK \l _Toc656061329 </w:instrText>
          </w:r>
          <w:r>
            <w:rPr>
              <w:rFonts w:hint="eastAsia" w:ascii="Times New Roman" w:hAnsi="Times New Roman" w:eastAsia="楷体_GB2312" w:cs="Times New Roman"/>
              <w:bCs/>
              <w:szCs w:val="22"/>
              <w:lang w:val="en-US" w:eastAsia="zh-CN"/>
            </w:rPr>
            <w:fldChar w:fldCharType="separate"/>
          </w:r>
          <w:r>
            <w:rPr>
              <w:rFonts w:hint="eastAsia" w:ascii="Times New Roman" w:hAnsi="Times New Roman" w:eastAsia="楷体_GB2312" w:cs="Times New Roman"/>
              <w:bCs/>
              <w:szCs w:val="22"/>
              <w:lang w:val="en-US" w:eastAsia="zh-CN"/>
            </w:rPr>
            <w:t>（二）提质增效，打造优质均衡的医疗服务体系</w:t>
          </w:r>
          <w:r>
            <w:rPr>
              <w:rFonts w:ascii="Times New Roman" w:hAnsi="Times New Roman" w:eastAsia="楷体_GB2312" w:cs="Times New Roman"/>
              <w:bCs/>
              <w:szCs w:val="22"/>
            </w:rPr>
            <w:tab/>
          </w:r>
          <w:r>
            <w:rPr>
              <w:rFonts w:ascii="Times New Roman" w:hAnsi="Times New Roman" w:eastAsia="楷体_GB2312" w:cs="Times New Roman"/>
              <w:bCs/>
              <w:szCs w:val="22"/>
            </w:rPr>
            <w:fldChar w:fldCharType="begin"/>
          </w:r>
          <w:r>
            <w:rPr>
              <w:rFonts w:ascii="Times New Roman" w:hAnsi="Times New Roman" w:eastAsia="楷体_GB2312" w:cs="Times New Roman"/>
              <w:bCs/>
              <w:szCs w:val="22"/>
            </w:rPr>
            <w:instrText xml:space="preserve"> PAGEREF _Toc656061329 \h </w:instrText>
          </w:r>
          <w:r>
            <w:rPr>
              <w:rFonts w:ascii="Times New Roman" w:hAnsi="Times New Roman" w:eastAsia="楷体_GB2312" w:cs="Times New Roman"/>
              <w:bCs/>
              <w:szCs w:val="22"/>
            </w:rPr>
            <w:fldChar w:fldCharType="separate"/>
          </w:r>
          <w:r>
            <w:rPr>
              <w:rFonts w:ascii="Times New Roman" w:hAnsi="Times New Roman" w:eastAsia="楷体_GB2312" w:cs="Times New Roman"/>
              <w:bCs/>
              <w:szCs w:val="22"/>
            </w:rPr>
            <w:t>6</w:t>
          </w:r>
          <w:r>
            <w:rPr>
              <w:rFonts w:ascii="Times New Roman" w:hAnsi="Times New Roman" w:eastAsia="楷体_GB2312" w:cs="Times New Roman"/>
              <w:bCs/>
              <w:szCs w:val="22"/>
            </w:rPr>
            <w:fldChar w:fldCharType="end"/>
          </w:r>
          <w:r>
            <w:rPr>
              <w:rFonts w:hint="eastAsia" w:ascii="Times New Roman" w:hAnsi="Times New Roman" w:eastAsia="楷体_GB2312" w:cs="Times New Roman"/>
              <w:bCs/>
              <w:szCs w:val="22"/>
              <w:lang w:val="en-US" w:eastAsia="zh-CN"/>
            </w:rPr>
            <w:fldChar w:fldCharType="end"/>
          </w:r>
        </w:p>
        <w:p w14:paraId="4708ADF5">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_Toc501038381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1.优化医疗资源布局</w:t>
          </w:r>
          <w:r>
            <w:tab/>
          </w:r>
          <w:r>
            <w:fldChar w:fldCharType="begin"/>
          </w:r>
          <w:r>
            <w:instrText xml:space="preserve"> PAGEREF _Toc501038381 \h </w:instrText>
          </w:r>
          <w:r>
            <w:fldChar w:fldCharType="separate"/>
          </w:r>
          <w:r>
            <w:t>6</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531C1EF9">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_Toc1056957070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2.合理控制办医规模</w:t>
          </w:r>
          <w:r>
            <w:tab/>
          </w:r>
          <w:r>
            <w:fldChar w:fldCharType="begin"/>
          </w:r>
          <w:r>
            <w:instrText xml:space="preserve"> PAGEREF _Toc1056957070 \h </w:instrText>
          </w:r>
          <w:r>
            <w:fldChar w:fldCharType="separate"/>
          </w:r>
          <w:r>
            <w:t>6</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063D1FF4">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_Toc492981244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3.调整医疗服务结构</w:t>
          </w:r>
          <w:r>
            <w:tab/>
          </w:r>
          <w:r>
            <w:fldChar w:fldCharType="begin"/>
          </w:r>
          <w:r>
            <w:instrText xml:space="preserve"> PAGEREF _Toc492981244 \h </w:instrText>
          </w:r>
          <w:r>
            <w:fldChar w:fldCharType="separate"/>
          </w:r>
          <w:r>
            <w:t>7</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0F04D1DA">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_Toc478259786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4.推动医疗服务创新</w:t>
          </w:r>
          <w:r>
            <w:tab/>
          </w:r>
          <w:r>
            <w:fldChar w:fldCharType="begin"/>
          </w:r>
          <w:r>
            <w:instrText xml:space="preserve"> PAGEREF _Toc478259786 \h </w:instrText>
          </w:r>
          <w:r>
            <w:fldChar w:fldCharType="separate"/>
          </w:r>
          <w:r>
            <w:t>7</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3864871C">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_Toc568590110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bCs/>
              <w:highlight w:val="none"/>
              <w:lang w:val="en-US" w:eastAsia="zh-CN"/>
            </w:rPr>
            <w:t>5.强化医疗质量管控</w:t>
          </w:r>
          <w:r>
            <w:tab/>
          </w:r>
          <w:r>
            <w:fldChar w:fldCharType="begin"/>
          </w:r>
          <w:r>
            <w:instrText xml:space="preserve"> PAGEREF _Toc568590110 \h </w:instrText>
          </w:r>
          <w:r>
            <w:fldChar w:fldCharType="separate"/>
          </w:r>
          <w:r>
            <w:t>7</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23110B03">
          <w:pPr>
            <w:pStyle w:val="15"/>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bCs/>
              <w:szCs w:val="22"/>
            </w:rPr>
          </w:pPr>
          <w:r>
            <w:rPr>
              <w:rFonts w:hint="eastAsia" w:ascii="Times New Roman" w:hAnsi="Times New Roman" w:eastAsia="楷体_GB2312" w:cs="Times New Roman"/>
              <w:bCs/>
              <w:szCs w:val="22"/>
              <w:lang w:val="en-US" w:eastAsia="zh-CN"/>
            </w:rPr>
            <w:fldChar w:fldCharType="begin"/>
          </w:r>
          <w:r>
            <w:rPr>
              <w:rFonts w:hint="eastAsia" w:ascii="Times New Roman" w:hAnsi="Times New Roman" w:eastAsia="楷体_GB2312" w:cs="Times New Roman"/>
              <w:bCs/>
              <w:szCs w:val="22"/>
              <w:lang w:val="en-US" w:eastAsia="zh-CN"/>
            </w:rPr>
            <w:instrText xml:space="preserve"> HYPERLINK \l _Toc1211563648 </w:instrText>
          </w:r>
          <w:r>
            <w:rPr>
              <w:rFonts w:hint="eastAsia" w:ascii="Times New Roman" w:hAnsi="Times New Roman" w:eastAsia="楷体_GB2312" w:cs="Times New Roman"/>
              <w:bCs/>
              <w:szCs w:val="22"/>
              <w:lang w:val="en-US" w:eastAsia="zh-CN"/>
            </w:rPr>
            <w:fldChar w:fldCharType="separate"/>
          </w:r>
          <w:r>
            <w:rPr>
              <w:rFonts w:hint="eastAsia" w:ascii="Times New Roman" w:hAnsi="Times New Roman" w:eastAsia="楷体_GB2312" w:cs="Times New Roman"/>
              <w:bCs/>
              <w:szCs w:val="22"/>
              <w:lang w:val="en-US" w:eastAsia="zh-CN"/>
            </w:rPr>
            <w:t>（三）平急结合，筑牢防治协同的公共卫生服务体系</w:t>
          </w:r>
          <w:r>
            <w:rPr>
              <w:rFonts w:ascii="Times New Roman" w:hAnsi="Times New Roman" w:eastAsia="楷体_GB2312" w:cs="Times New Roman"/>
              <w:bCs/>
              <w:szCs w:val="22"/>
            </w:rPr>
            <w:tab/>
          </w:r>
          <w:r>
            <w:rPr>
              <w:rFonts w:ascii="Times New Roman" w:hAnsi="Times New Roman" w:eastAsia="楷体_GB2312" w:cs="Times New Roman"/>
              <w:bCs/>
              <w:szCs w:val="22"/>
            </w:rPr>
            <w:fldChar w:fldCharType="begin"/>
          </w:r>
          <w:r>
            <w:rPr>
              <w:rFonts w:ascii="Times New Roman" w:hAnsi="Times New Roman" w:eastAsia="楷体_GB2312" w:cs="Times New Roman"/>
              <w:bCs/>
              <w:szCs w:val="22"/>
            </w:rPr>
            <w:instrText xml:space="preserve"> PAGEREF _Toc1211563648 \h </w:instrText>
          </w:r>
          <w:r>
            <w:rPr>
              <w:rFonts w:ascii="Times New Roman" w:hAnsi="Times New Roman" w:eastAsia="楷体_GB2312" w:cs="Times New Roman"/>
              <w:bCs/>
              <w:szCs w:val="22"/>
            </w:rPr>
            <w:fldChar w:fldCharType="separate"/>
          </w:r>
          <w:r>
            <w:rPr>
              <w:rFonts w:ascii="Times New Roman" w:hAnsi="Times New Roman" w:eastAsia="楷体_GB2312" w:cs="Times New Roman"/>
              <w:bCs/>
              <w:szCs w:val="22"/>
            </w:rPr>
            <w:t>8</w:t>
          </w:r>
          <w:r>
            <w:rPr>
              <w:rFonts w:ascii="Times New Roman" w:hAnsi="Times New Roman" w:eastAsia="楷体_GB2312" w:cs="Times New Roman"/>
              <w:bCs/>
              <w:szCs w:val="22"/>
            </w:rPr>
            <w:fldChar w:fldCharType="end"/>
          </w:r>
          <w:r>
            <w:rPr>
              <w:rFonts w:hint="eastAsia" w:ascii="Times New Roman" w:hAnsi="Times New Roman" w:eastAsia="楷体_GB2312" w:cs="Times New Roman"/>
              <w:bCs/>
              <w:szCs w:val="22"/>
              <w:lang w:val="en-US" w:eastAsia="zh-CN"/>
            </w:rPr>
            <w:fldChar w:fldCharType="end"/>
          </w:r>
        </w:p>
        <w:p w14:paraId="196B14AD">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_Toc1703553978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1.加强疾控体系建设</w:t>
          </w:r>
          <w:r>
            <w:tab/>
          </w:r>
          <w:r>
            <w:fldChar w:fldCharType="begin"/>
          </w:r>
          <w:r>
            <w:instrText xml:space="preserve"> PAGEREF _Toc1703553978 \h </w:instrText>
          </w:r>
          <w:r>
            <w:fldChar w:fldCharType="separate"/>
          </w:r>
          <w:r>
            <w:t>8</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04973F90">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_Toc1869359809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2.强化传染病防控效能</w:t>
          </w:r>
          <w:r>
            <w:tab/>
          </w:r>
          <w:r>
            <w:fldChar w:fldCharType="begin"/>
          </w:r>
          <w:r>
            <w:instrText xml:space="preserve"> PAGEREF _Toc1869359809 \h </w:instrText>
          </w:r>
          <w:r>
            <w:fldChar w:fldCharType="separate"/>
          </w:r>
          <w:r>
            <w:t>8</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31A3FC4A">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_Toc1751730460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3.提升公共卫生干预能力</w:t>
          </w:r>
          <w:r>
            <w:tab/>
          </w:r>
          <w:r>
            <w:fldChar w:fldCharType="begin"/>
          </w:r>
          <w:r>
            <w:instrText xml:space="preserve"> PAGEREF _Toc1751730460 \h </w:instrText>
          </w:r>
          <w:r>
            <w:fldChar w:fldCharType="separate"/>
          </w:r>
          <w:r>
            <w:t>9</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2F0E76A8">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_Toc1813288379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4.健全公共卫生应急管理体系</w:t>
          </w:r>
          <w:r>
            <w:tab/>
          </w:r>
          <w:r>
            <w:fldChar w:fldCharType="begin"/>
          </w:r>
          <w:r>
            <w:instrText xml:space="preserve"> PAGEREF _Toc1813288379 \h </w:instrText>
          </w:r>
          <w:r>
            <w:fldChar w:fldCharType="separate"/>
          </w:r>
          <w:r>
            <w:t>9</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5C8FDB48">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_Toc421612905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5.提升行政执法质效</w:t>
          </w:r>
          <w:r>
            <w:tab/>
          </w:r>
          <w:r>
            <w:fldChar w:fldCharType="begin"/>
          </w:r>
          <w:r>
            <w:instrText xml:space="preserve"> PAGEREF _Toc421612905 \h </w:instrText>
          </w:r>
          <w:r>
            <w:fldChar w:fldCharType="separate"/>
          </w:r>
          <w:r>
            <w:t>9</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02275859">
          <w:pPr>
            <w:pStyle w:val="15"/>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bCs/>
              <w:szCs w:val="22"/>
            </w:rPr>
          </w:pPr>
          <w:r>
            <w:rPr>
              <w:rFonts w:hint="eastAsia" w:ascii="Times New Roman" w:hAnsi="Times New Roman" w:eastAsia="楷体_GB2312" w:cs="Times New Roman"/>
              <w:bCs/>
              <w:szCs w:val="22"/>
              <w:lang w:val="en-US" w:eastAsia="zh-CN"/>
            </w:rPr>
            <w:fldChar w:fldCharType="begin"/>
          </w:r>
          <w:r>
            <w:rPr>
              <w:rFonts w:hint="eastAsia" w:ascii="Times New Roman" w:hAnsi="Times New Roman" w:eastAsia="楷体_GB2312" w:cs="Times New Roman"/>
              <w:bCs/>
              <w:szCs w:val="22"/>
              <w:lang w:val="en-US" w:eastAsia="zh-CN"/>
            </w:rPr>
            <w:instrText xml:space="preserve"> HYPERLINK \l _Toc1022970377 </w:instrText>
          </w:r>
          <w:r>
            <w:rPr>
              <w:rFonts w:hint="eastAsia" w:ascii="Times New Roman" w:hAnsi="Times New Roman" w:eastAsia="楷体_GB2312" w:cs="Times New Roman"/>
              <w:bCs/>
              <w:szCs w:val="22"/>
              <w:lang w:val="en-US" w:eastAsia="zh-CN"/>
            </w:rPr>
            <w:fldChar w:fldCharType="separate"/>
          </w:r>
          <w:r>
            <w:rPr>
              <w:rFonts w:hint="eastAsia" w:ascii="Times New Roman" w:hAnsi="Times New Roman" w:eastAsia="楷体_GB2312" w:cs="Times New Roman"/>
              <w:bCs/>
              <w:szCs w:val="22"/>
              <w:lang w:val="en-US" w:eastAsia="zh-CN"/>
            </w:rPr>
            <w:t>（四）固本强基，夯实规范便捷的社区卫生服务体系</w:t>
          </w:r>
          <w:r>
            <w:rPr>
              <w:rFonts w:ascii="Times New Roman" w:hAnsi="Times New Roman" w:eastAsia="楷体_GB2312" w:cs="Times New Roman"/>
              <w:bCs/>
              <w:szCs w:val="22"/>
            </w:rPr>
            <w:tab/>
          </w:r>
          <w:r>
            <w:rPr>
              <w:rFonts w:ascii="Times New Roman" w:hAnsi="Times New Roman" w:eastAsia="楷体_GB2312" w:cs="Times New Roman"/>
              <w:bCs/>
              <w:szCs w:val="22"/>
            </w:rPr>
            <w:fldChar w:fldCharType="begin"/>
          </w:r>
          <w:r>
            <w:rPr>
              <w:rFonts w:ascii="Times New Roman" w:hAnsi="Times New Roman" w:eastAsia="楷体_GB2312" w:cs="Times New Roman"/>
              <w:bCs/>
              <w:szCs w:val="22"/>
            </w:rPr>
            <w:instrText xml:space="preserve"> PAGEREF _Toc1022970377 \h </w:instrText>
          </w:r>
          <w:r>
            <w:rPr>
              <w:rFonts w:ascii="Times New Roman" w:hAnsi="Times New Roman" w:eastAsia="楷体_GB2312" w:cs="Times New Roman"/>
              <w:bCs/>
              <w:szCs w:val="22"/>
            </w:rPr>
            <w:fldChar w:fldCharType="separate"/>
          </w:r>
          <w:r>
            <w:rPr>
              <w:rFonts w:ascii="Times New Roman" w:hAnsi="Times New Roman" w:eastAsia="楷体_GB2312" w:cs="Times New Roman"/>
              <w:bCs/>
              <w:szCs w:val="22"/>
            </w:rPr>
            <w:t>10</w:t>
          </w:r>
          <w:r>
            <w:rPr>
              <w:rFonts w:ascii="Times New Roman" w:hAnsi="Times New Roman" w:eastAsia="楷体_GB2312" w:cs="Times New Roman"/>
              <w:bCs/>
              <w:szCs w:val="22"/>
            </w:rPr>
            <w:fldChar w:fldCharType="end"/>
          </w:r>
          <w:r>
            <w:rPr>
              <w:rFonts w:hint="eastAsia" w:ascii="Times New Roman" w:hAnsi="Times New Roman" w:eastAsia="楷体_GB2312" w:cs="Times New Roman"/>
              <w:bCs/>
              <w:szCs w:val="22"/>
              <w:lang w:val="en-US" w:eastAsia="zh-CN"/>
            </w:rPr>
            <w:fldChar w:fldCharType="end"/>
          </w:r>
        </w:p>
        <w:p w14:paraId="3E831F6B">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_Toc1388503216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1.优化社区资源布局</w:t>
          </w:r>
          <w:r>
            <w:tab/>
          </w:r>
          <w:r>
            <w:fldChar w:fldCharType="begin"/>
          </w:r>
          <w:r>
            <w:instrText xml:space="preserve"> PAGEREF _Toc1388503216 \h </w:instrText>
          </w:r>
          <w:r>
            <w:fldChar w:fldCharType="separate"/>
          </w:r>
          <w:r>
            <w:t>10</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2F35E259">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_Toc392552073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2.拓展提升服务能力</w:t>
          </w:r>
          <w:r>
            <w:tab/>
          </w:r>
          <w:r>
            <w:fldChar w:fldCharType="begin"/>
          </w:r>
          <w:r>
            <w:instrText xml:space="preserve"> PAGEREF _Toc392552073 \h </w:instrText>
          </w:r>
          <w:r>
            <w:fldChar w:fldCharType="separate"/>
          </w:r>
          <w:r>
            <w:t>10</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31259793">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_Toc1515831657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3.</w:t>
          </w:r>
          <w:r>
            <w:rPr>
              <w:rFonts w:hint="default" w:ascii="Times New Roman" w:hAnsi="Times New Roman" w:cs="宋体"/>
              <w:highlight w:val="none"/>
              <w:lang w:val="en-US" w:eastAsia="zh-CN"/>
            </w:rPr>
            <w:t>深化家医签约服务内涵</w:t>
          </w:r>
          <w:r>
            <w:tab/>
          </w:r>
          <w:r>
            <w:fldChar w:fldCharType="begin"/>
          </w:r>
          <w:r>
            <w:instrText xml:space="preserve"> PAGEREF _Toc1515831657 \h </w:instrText>
          </w:r>
          <w:r>
            <w:fldChar w:fldCharType="separate"/>
          </w:r>
          <w:r>
            <w:t>11</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3BA69CBB">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_Toc533522088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4.夯实社区人才根基</w:t>
          </w:r>
          <w:r>
            <w:tab/>
          </w:r>
          <w:r>
            <w:fldChar w:fldCharType="begin"/>
          </w:r>
          <w:r>
            <w:instrText xml:space="preserve"> PAGEREF _Toc533522088 \h </w:instrText>
          </w:r>
          <w:r>
            <w:fldChar w:fldCharType="separate"/>
          </w:r>
          <w:r>
            <w:t>11</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78826975">
          <w:pPr>
            <w:pStyle w:val="15"/>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_Toc728642430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楷体_GB2312" w:hAnsi="楷体_GB2312" w:eastAsia="楷体_GB2312" w:cs="楷体_GB2312"/>
              <w:highlight w:val="none"/>
              <w:lang w:val="en-US" w:eastAsia="zh-CN"/>
            </w:rPr>
            <w:t>（五）协同赋能，做强传承创新中医药服务体系</w:t>
          </w:r>
          <w:r>
            <w:tab/>
          </w:r>
          <w:r>
            <w:fldChar w:fldCharType="begin"/>
          </w:r>
          <w:r>
            <w:instrText xml:space="preserve"> PAGEREF _Toc728642430 \h </w:instrText>
          </w:r>
          <w:r>
            <w:fldChar w:fldCharType="separate"/>
          </w:r>
          <w:r>
            <w:t>12</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6A812586">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_Toc1527709125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1.完善中医药服务网络</w:t>
          </w:r>
          <w:r>
            <w:tab/>
          </w:r>
          <w:r>
            <w:fldChar w:fldCharType="begin"/>
          </w:r>
          <w:r>
            <w:instrText xml:space="preserve"> PAGEREF _Toc1527709125 \h </w:instrText>
          </w:r>
          <w:r>
            <w:fldChar w:fldCharType="separate"/>
          </w:r>
          <w:r>
            <w:t>12</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795012B1">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_Toc854503666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2.提升基层中医药服务能力</w:t>
          </w:r>
          <w:r>
            <w:tab/>
          </w:r>
          <w:r>
            <w:fldChar w:fldCharType="begin"/>
          </w:r>
          <w:r>
            <w:instrText xml:space="preserve"> PAGEREF _Toc854503666 \h </w:instrText>
          </w:r>
          <w:r>
            <w:fldChar w:fldCharType="separate"/>
          </w:r>
          <w:r>
            <w:t>12</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439D6D63">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_Toc1955974135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3.加强中医药文化传播</w:t>
          </w:r>
          <w:r>
            <w:tab/>
          </w:r>
          <w:r>
            <w:fldChar w:fldCharType="begin"/>
          </w:r>
          <w:r>
            <w:instrText xml:space="preserve"> PAGEREF _Toc1955974135 \h </w:instrText>
          </w:r>
          <w:r>
            <w:fldChar w:fldCharType="separate"/>
          </w:r>
          <w:r>
            <w:t>13</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03642384">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_Toc734173913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4.推动中医药产业高质量发展</w:t>
          </w:r>
          <w:r>
            <w:tab/>
          </w:r>
          <w:r>
            <w:fldChar w:fldCharType="begin"/>
          </w:r>
          <w:r>
            <w:instrText xml:space="preserve"> PAGEREF _Toc734173913 \h </w:instrText>
          </w:r>
          <w:r>
            <w:fldChar w:fldCharType="separate"/>
          </w:r>
          <w:r>
            <w:t>13</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0E9BD143">
          <w:pPr>
            <w:pStyle w:val="15"/>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bCs/>
              <w:szCs w:val="22"/>
            </w:rPr>
          </w:pPr>
          <w:r>
            <w:rPr>
              <w:rFonts w:hint="eastAsia" w:ascii="Times New Roman" w:hAnsi="Times New Roman" w:eastAsia="楷体_GB2312" w:cs="Times New Roman"/>
              <w:bCs/>
              <w:szCs w:val="22"/>
              <w:lang w:val="en-US" w:eastAsia="zh-CN"/>
            </w:rPr>
            <w:fldChar w:fldCharType="begin"/>
          </w:r>
          <w:r>
            <w:rPr>
              <w:rFonts w:hint="eastAsia" w:ascii="Times New Roman" w:hAnsi="Times New Roman" w:eastAsia="楷体_GB2312" w:cs="Times New Roman"/>
              <w:bCs/>
              <w:szCs w:val="22"/>
              <w:lang w:val="en-US" w:eastAsia="zh-CN"/>
            </w:rPr>
            <w:instrText xml:space="preserve"> HYPERLINK \l _Toc2109288750 </w:instrText>
          </w:r>
          <w:r>
            <w:rPr>
              <w:rFonts w:hint="eastAsia" w:ascii="Times New Roman" w:hAnsi="Times New Roman" w:eastAsia="楷体_GB2312" w:cs="Times New Roman"/>
              <w:bCs/>
              <w:szCs w:val="22"/>
              <w:lang w:val="en-US" w:eastAsia="zh-CN"/>
            </w:rPr>
            <w:fldChar w:fldCharType="separate"/>
          </w:r>
          <w:r>
            <w:rPr>
              <w:rFonts w:hint="eastAsia" w:ascii="Times New Roman" w:hAnsi="Times New Roman" w:eastAsia="楷体_GB2312" w:cs="Times New Roman"/>
              <w:bCs/>
              <w:szCs w:val="22"/>
              <w:lang w:val="en-US" w:eastAsia="zh-CN"/>
            </w:rPr>
            <w:t>（六）立足全域，构建普惠可及全周期保障体系</w:t>
          </w:r>
          <w:r>
            <w:rPr>
              <w:rFonts w:ascii="Times New Roman" w:hAnsi="Times New Roman" w:eastAsia="楷体_GB2312" w:cs="Times New Roman"/>
              <w:bCs/>
              <w:szCs w:val="22"/>
            </w:rPr>
            <w:tab/>
          </w:r>
          <w:r>
            <w:rPr>
              <w:rFonts w:ascii="Times New Roman" w:hAnsi="Times New Roman" w:eastAsia="楷体_GB2312" w:cs="Times New Roman"/>
              <w:bCs/>
              <w:szCs w:val="22"/>
            </w:rPr>
            <w:fldChar w:fldCharType="begin"/>
          </w:r>
          <w:r>
            <w:rPr>
              <w:rFonts w:ascii="Times New Roman" w:hAnsi="Times New Roman" w:eastAsia="楷体_GB2312" w:cs="Times New Roman"/>
              <w:bCs/>
              <w:szCs w:val="22"/>
            </w:rPr>
            <w:instrText xml:space="preserve"> PAGEREF _Toc2109288750 \h </w:instrText>
          </w:r>
          <w:r>
            <w:rPr>
              <w:rFonts w:ascii="Times New Roman" w:hAnsi="Times New Roman" w:eastAsia="楷体_GB2312" w:cs="Times New Roman"/>
              <w:bCs/>
              <w:szCs w:val="22"/>
            </w:rPr>
            <w:fldChar w:fldCharType="separate"/>
          </w:r>
          <w:r>
            <w:rPr>
              <w:rFonts w:ascii="Times New Roman" w:hAnsi="Times New Roman" w:eastAsia="楷体_GB2312" w:cs="Times New Roman"/>
              <w:bCs/>
              <w:szCs w:val="22"/>
            </w:rPr>
            <w:t>13</w:t>
          </w:r>
          <w:r>
            <w:rPr>
              <w:rFonts w:ascii="Times New Roman" w:hAnsi="Times New Roman" w:eastAsia="楷体_GB2312" w:cs="Times New Roman"/>
              <w:bCs/>
              <w:szCs w:val="22"/>
            </w:rPr>
            <w:fldChar w:fldCharType="end"/>
          </w:r>
          <w:r>
            <w:rPr>
              <w:rFonts w:hint="eastAsia" w:ascii="Times New Roman" w:hAnsi="Times New Roman" w:eastAsia="楷体_GB2312" w:cs="Times New Roman"/>
              <w:bCs/>
              <w:szCs w:val="22"/>
              <w:lang w:val="en-US" w:eastAsia="zh-CN"/>
            </w:rPr>
            <w:fldChar w:fldCharType="end"/>
          </w:r>
        </w:p>
        <w:p w14:paraId="361083A4">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_Toc2029076571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1.夯实全民健康保障环境</w:t>
          </w:r>
          <w:r>
            <w:tab/>
          </w:r>
          <w:r>
            <w:fldChar w:fldCharType="begin"/>
          </w:r>
          <w:r>
            <w:instrText xml:space="preserve"> PAGEREF _Toc2029076571 \h </w:instrText>
          </w:r>
          <w:r>
            <w:fldChar w:fldCharType="separate"/>
          </w:r>
          <w:r>
            <w:t>13</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4C6B86DE">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_Toc320547073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2.优化生育支持和服务体系</w:t>
          </w:r>
          <w:r>
            <w:tab/>
          </w:r>
          <w:r>
            <w:fldChar w:fldCharType="begin"/>
          </w:r>
          <w:r>
            <w:instrText xml:space="preserve"> PAGEREF _Toc320547073 \h </w:instrText>
          </w:r>
          <w:r>
            <w:fldChar w:fldCharType="separate"/>
          </w:r>
          <w:r>
            <w:t>14</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443E0AD7">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_Toc1086118615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3.完善妇幼健康服务体系</w:t>
          </w:r>
          <w:r>
            <w:tab/>
          </w:r>
          <w:r>
            <w:fldChar w:fldCharType="begin"/>
          </w:r>
          <w:r>
            <w:instrText xml:space="preserve"> PAGEREF _Toc1086118615 \h </w:instrText>
          </w:r>
          <w:r>
            <w:fldChar w:fldCharType="separate"/>
          </w:r>
          <w:r>
            <w:t>14</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5210280C">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_Toc863028866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4.提高老年健康服务能力</w:t>
          </w:r>
          <w:r>
            <w:tab/>
          </w:r>
          <w:r>
            <w:fldChar w:fldCharType="begin"/>
          </w:r>
          <w:r>
            <w:instrText xml:space="preserve"> PAGEREF _Toc863028866 \h </w:instrText>
          </w:r>
          <w:r>
            <w:fldChar w:fldCharType="separate"/>
          </w:r>
          <w:r>
            <w:t>14</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4971CE97">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_Toc1612853158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5.</w:t>
          </w:r>
          <w:r>
            <w:rPr>
              <w:rFonts w:hint="eastAsia" w:cs="宋体"/>
              <w:highlight w:val="none"/>
              <w:lang w:val="en-US" w:eastAsia="zh-CN"/>
            </w:rPr>
            <w:t>扩大</w:t>
          </w:r>
          <w:r>
            <w:rPr>
              <w:rFonts w:hint="eastAsia" w:ascii="Times New Roman" w:hAnsi="Times New Roman" w:cs="宋体"/>
              <w:highlight w:val="none"/>
              <w:lang w:val="en-US" w:eastAsia="zh-CN"/>
            </w:rPr>
            <w:t>健康保障</w:t>
          </w:r>
          <w:r>
            <w:rPr>
              <w:rFonts w:hint="eastAsia" w:cs="宋体"/>
              <w:highlight w:val="none"/>
              <w:lang w:val="en-US" w:eastAsia="zh-CN"/>
            </w:rPr>
            <w:t>覆盖范围</w:t>
          </w:r>
          <w:r>
            <w:tab/>
          </w:r>
          <w:r>
            <w:fldChar w:fldCharType="begin"/>
          </w:r>
          <w:r>
            <w:instrText xml:space="preserve"> PAGEREF _Toc1612853158 \h </w:instrText>
          </w:r>
          <w:r>
            <w:fldChar w:fldCharType="separate"/>
          </w:r>
          <w:r>
            <w:t>15</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513A75CF">
          <w:pPr>
            <w:pStyle w:val="15"/>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bCs/>
              <w:szCs w:val="22"/>
            </w:rPr>
          </w:pPr>
          <w:r>
            <w:rPr>
              <w:rFonts w:hint="eastAsia" w:ascii="Times New Roman" w:hAnsi="Times New Roman" w:eastAsia="楷体_GB2312" w:cs="Times New Roman"/>
              <w:bCs/>
              <w:szCs w:val="22"/>
              <w:lang w:val="en-US" w:eastAsia="zh-CN"/>
            </w:rPr>
            <w:fldChar w:fldCharType="begin"/>
          </w:r>
          <w:r>
            <w:rPr>
              <w:rFonts w:hint="eastAsia" w:ascii="Times New Roman" w:hAnsi="Times New Roman" w:eastAsia="楷体_GB2312" w:cs="Times New Roman"/>
              <w:bCs/>
              <w:szCs w:val="22"/>
              <w:lang w:val="en-US" w:eastAsia="zh-CN"/>
            </w:rPr>
            <w:instrText xml:space="preserve"> HYPERLINK \l _Toc1199530910 </w:instrText>
          </w:r>
          <w:r>
            <w:rPr>
              <w:rFonts w:hint="eastAsia" w:ascii="Times New Roman" w:hAnsi="Times New Roman" w:eastAsia="楷体_GB2312" w:cs="Times New Roman"/>
              <w:bCs/>
              <w:szCs w:val="22"/>
              <w:lang w:val="en-US" w:eastAsia="zh-CN"/>
            </w:rPr>
            <w:fldChar w:fldCharType="separate"/>
          </w:r>
          <w:r>
            <w:rPr>
              <w:rFonts w:hint="eastAsia" w:ascii="Times New Roman" w:hAnsi="Times New Roman" w:eastAsia="楷体_GB2312" w:cs="Times New Roman"/>
              <w:bCs/>
              <w:szCs w:val="22"/>
              <w:lang w:val="en-US" w:eastAsia="zh-CN"/>
            </w:rPr>
            <w:t>（七）夯实保障，强化多元支撑体系建设</w:t>
          </w:r>
          <w:r>
            <w:rPr>
              <w:rFonts w:ascii="Times New Roman" w:hAnsi="Times New Roman" w:eastAsia="楷体_GB2312" w:cs="Times New Roman"/>
              <w:bCs/>
              <w:szCs w:val="22"/>
            </w:rPr>
            <w:tab/>
          </w:r>
          <w:r>
            <w:rPr>
              <w:rFonts w:ascii="Times New Roman" w:hAnsi="Times New Roman" w:eastAsia="楷体_GB2312" w:cs="Times New Roman"/>
              <w:bCs/>
              <w:szCs w:val="22"/>
            </w:rPr>
            <w:fldChar w:fldCharType="begin"/>
          </w:r>
          <w:r>
            <w:rPr>
              <w:rFonts w:ascii="Times New Roman" w:hAnsi="Times New Roman" w:eastAsia="楷体_GB2312" w:cs="Times New Roman"/>
              <w:bCs/>
              <w:szCs w:val="22"/>
            </w:rPr>
            <w:instrText xml:space="preserve"> PAGEREF _Toc1199530910 \h </w:instrText>
          </w:r>
          <w:r>
            <w:rPr>
              <w:rFonts w:ascii="Times New Roman" w:hAnsi="Times New Roman" w:eastAsia="楷体_GB2312" w:cs="Times New Roman"/>
              <w:bCs/>
              <w:szCs w:val="22"/>
            </w:rPr>
            <w:fldChar w:fldCharType="separate"/>
          </w:r>
          <w:r>
            <w:rPr>
              <w:rFonts w:ascii="Times New Roman" w:hAnsi="Times New Roman" w:eastAsia="楷体_GB2312" w:cs="Times New Roman"/>
              <w:bCs/>
              <w:szCs w:val="22"/>
            </w:rPr>
            <w:t>16</w:t>
          </w:r>
          <w:r>
            <w:rPr>
              <w:rFonts w:ascii="Times New Roman" w:hAnsi="Times New Roman" w:eastAsia="楷体_GB2312" w:cs="Times New Roman"/>
              <w:bCs/>
              <w:szCs w:val="22"/>
            </w:rPr>
            <w:fldChar w:fldCharType="end"/>
          </w:r>
          <w:r>
            <w:rPr>
              <w:rFonts w:hint="eastAsia" w:ascii="Times New Roman" w:hAnsi="Times New Roman" w:eastAsia="楷体_GB2312" w:cs="Times New Roman"/>
              <w:bCs/>
              <w:szCs w:val="22"/>
              <w:lang w:val="en-US" w:eastAsia="zh-CN"/>
            </w:rPr>
            <w:fldChar w:fldCharType="end"/>
          </w:r>
        </w:p>
        <w:p w14:paraId="591E9853">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_Toc802203936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1.</w:t>
          </w:r>
          <w:r>
            <w:rPr>
              <w:rFonts w:hint="eastAsia" w:cs="宋体"/>
              <w:highlight w:val="none"/>
              <w:lang w:val="en-US" w:eastAsia="zh-CN"/>
            </w:rPr>
            <w:t>强化数智赋能</w:t>
          </w:r>
          <w:r>
            <w:tab/>
          </w:r>
          <w:r>
            <w:fldChar w:fldCharType="begin"/>
          </w:r>
          <w:r>
            <w:instrText xml:space="preserve"> PAGEREF _Toc802203936 \h </w:instrText>
          </w:r>
          <w:r>
            <w:fldChar w:fldCharType="separate"/>
          </w:r>
          <w:r>
            <w:t>16</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51A0A961">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_Toc1712276111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2.加强人才引育</w:t>
          </w:r>
          <w:r>
            <w:tab/>
          </w:r>
          <w:r>
            <w:fldChar w:fldCharType="begin"/>
          </w:r>
          <w:r>
            <w:instrText xml:space="preserve"> PAGEREF _Toc1712276111 \h </w:instrText>
          </w:r>
          <w:r>
            <w:fldChar w:fldCharType="separate"/>
          </w:r>
          <w:r>
            <w:t>16</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01F86394">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_Toc1855592239 </w:instrText>
          </w:r>
          <w:r>
            <w:rPr>
              <w:rFonts w:hint="eastAsia" w:ascii="仿宋_GB2312" w:hAnsi="仿宋_GB2312" w:eastAsia="仿宋_GB2312" w:cs="仿宋_GB2312"/>
              <w:kern w:val="2"/>
              <w:szCs w:val="28"/>
              <w:highlight w:val="none"/>
              <w:lang w:val="en-US" w:eastAsia="zh-CN" w:bidi="ar-SA"/>
            </w:rPr>
            <w:fldChar w:fldCharType="separate"/>
          </w:r>
          <w:r>
            <w:rPr>
              <w:rFonts w:hint="eastAsia" w:cs="宋体"/>
              <w:highlight w:val="none"/>
              <w:lang w:val="en-US" w:eastAsia="zh-CN"/>
            </w:rPr>
            <w:t>3</w:t>
          </w:r>
          <w:r>
            <w:rPr>
              <w:rFonts w:hint="eastAsia" w:ascii="Times New Roman" w:hAnsi="Times New Roman" w:cs="宋体"/>
              <w:highlight w:val="none"/>
              <w:lang w:val="en-US" w:eastAsia="zh-CN"/>
            </w:rPr>
            <w:t>.</w:t>
          </w:r>
          <w:r>
            <w:rPr>
              <w:rFonts w:hint="eastAsia" w:cs="宋体"/>
              <w:highlight w:val="none"/>
              <w:lang w:val="en-US" w:eastAsia="zh-CN"/>
            </w:rPr>
            <w:t>加强法治化建设</w:t>
          </w:r>
          <w:r>
            <w:tab/>
          </w:r>
          <w:r>
            <w:fldChar w:fldCharType="begin"/>
          </w:r>
          <w:r>
            <w:instrText xml:space="preserve"> PAGEREF _Toc1855592239 \h </w:instrText>
          </w:r>
          <w:r>
            <w:fldChar w:fldCharType="separate"/>
          </w:r>
          <w:r>
            <w:t>16</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57F21859">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_Toc1303242317 </w:instrText>
          </w:r>
          <w:r>
            <w:rPr>
              <w:rFonts w:hint="eastAsia" w:ascii="仿宋_GB2312" w:hAnsi="仿宋_GB2312" w:eastAsia="仿宋_GB2312" w:cs="仿宋_GB2312"/>
              <w:kern w:val="2"/>
              <w:szCs w:val="28"/>
              <w:highlight w:val="none"/>
              <w:lang w:val="en-US" w:eastAsia="zh-CN" w:bidi="ar-SA"/>
            </w:rPr>
            <w:fldChar w:fldCharType="separate"/>
          </w:r>
          <w:r>
            <w:rPr>
              <w:rFonts w:hint="eastAsia" w:cs="宋体"/>
              <w:highlight w:val="none"/>
              <w:lang w:val="en-US" w:eastAsia="zh-CN"/>
            </w:rPr>
            <w:t>4</w:t>
          </w:r>
          <w:r>
            <w:rPr>
              <w:rFonts w:hint="eastAsia" w:ascii="Times New Roman" w:hAnsi="Times New Roman" w:cs="宋体"/>
              <w:highlight w:val="none"/>
              <w:lang w:val="en-US" w:eastAsia="zh-CN"/>
            </w:rPr>
            <w:t>.巩固安全防线</w:t>
          </w:r>
          <w:r>
            <w:tab/>
          </w:r>
          <w:r>
            <w:fldChar w:fldCharType="begin"/>
          </w:r>
          <w:r>
            <w:instrText xml:space="preserve"> PAGEREF _Toc1303242317 \h </w:instrText>
          </w:r>
          <w:r>
            <w:fldChar w:fldCharType="separate"/>
          </w:r>
          <w:r>
            <w:t>16</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0673DEA8">
          <w:pPr>
            <w:pStyle w:val="15"/>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640" w:firstLineChars="200"/>
            <w:textAlignment w:val="auto"/>
            <w:rPr>
              <w:rFonts w:ascii="Times New Roman" w:hAnsi="Times New Roman" w:eastAsia="楷体_GB2312" w:cs="Times New Roman"/>
              <w:bCs/>
              <w:szCs w:val="22"/>
            </w:rPr>
          </w:pPr>
          <w:r>
            <w:rPr>
              <w:rFonts w:hint="eastAsia" w:ascii="Times New Roman" w:hAnsi="Times New Roman" w:eastAsia="楷体_GB2312" w:cs="Times New Roman"/>
              <w:bCs/>
              <w:szCs w:val="22"/>
              <w:lang w:val="en-US" w:eastAsia="zh-CN"/>
            </w:rPr>
            <w:fldChar w:fldCharType="begin"/>
          </w:r>
          <w:r>
            <w:rPr>
              <w:rFonts w:hint="eastAsia" w:ascii="Times New Roman" w:hAnsi="Times New Roman" w:eastAsia="楷体_GB2312" w:cs="Times New Roman"/>
              <w:bCs/>
              <w:szCs w:val="22"/>
              <w:lang w:val="en-US" w:eastAsia="zh-CN"/>
            </w:rPr>
            <w:instrText xml:space="preserve"> HYPERLINK \l _Toc621749533 </w:instrText>
          </w:r>
          <w:r>
            <w:rPr>
              <w:rFonts w:hint="eastAsia" w:ascii="Times New Roman" w:hAnsi="Times New Roman" w:eastAsia="楷体_GB2312" w:cs="Times New Roman"/>
              <w:bCs/>
              <w:szCs w:val="22"/>
              <w:lang w:val="en-US" w:eastAsia="zh-CN"/>
            </w:rPr>
            <w:fldChar w:fldCharType="separate"/>
          </w:r>
          <w:r>
            <w:rPr>
              <w:rFonts w:hint="eastAsia" w:ascii="Times New Roman" w:hAnsi="Times New Roman" w:eastAsia="楷体_GB2312" w:cs="Times New Roman"/>
              <w:bCs/>
              <w:szCs w:val="22"/>
              <w:lang w:val="en-US" w:eastAsia="zh-CN"/>
            </w:rPr>
            <w:t>（八）创新驱动，推进未来健康产业发展</w:t>
          </w:r>
          <w:r>
            <w:rPr>
              <w:rFonts w:ascii="Times New Roman" w:hAnsi="Times New Roman" w:eastAsia="楷体_GB2312" w:cs="Times New Roman"/>
              <w:bCs/>
              <w:szCs w:val="22"/>
            </w:rPr>
            <w:tab/>
          </w:r>
          <w:r>
            <w:rPr>
              <w:rFonts w:ascii="Times New Roman" w:hAnsi="Times New Roman" w:eastAsia="楷体_GB2312" w:cs="Times New Roman"/>
              <w:bCs/>
              <w:szCs w:val="22"/>
            </w:rPr>
            <w:fldChar w:fldCharType="begin"/>
          </w:r>
          <w:r>
            <w:rPr>
              <w:rFonts w:ascii="Times New Roman" w:hAnsi="Times New Roman" w:eastAsia="楷体_GB2312" w:cs="Times New Roman"/>
              <w:bCs/>
              <w:szCs w:val="22"/>
            </w:rPr>
            <w:instrText xml:space="preserve"> PAGEREF _Toc621749533 \h </w:instrText>
          </w:r>
          <w:r>
            <w:rPr>
              <w:rFonts w:ascii="Times New Roman" w:hAnsi="Times New Roman" w:eastAsia="楷体_GB2312" w:cs="Times New Roman"/>
              <w:bCs/>
              <w:szCs w:val="22"/>
            </w:rPr>
            <w:fldChar w:fldCharType="separate"/>
          </w:r>
          <w:r>
            <w:rPr>
              <w:rFonts w:ascii="Times New Roman" w:hAnsi="Times New Roman" w:eastAsia="楷体_GB2312" w:cs="Times New Roman"/>
              <w:bCs/>
              <w:szCs w:val="22"/>
            </w:rPr>
            <w:t>17</w:t>
          </w:r>
          <w:r>
            <w:rPr>
              <w:rFonts w:ascii="Times New Roman" w:hAnsi="Times New Roman" w:eastAsia="楷体_GB2312" w:cs="Times New Roman"/>
              <w:bCs/>
              <w:szCs w:val="22"/>
            </w:rPr>
            <w:fldChar w:fldCharType="end"/>
          </w:r>
          <w:r>
            <w:rPr>
              <w:rFonts w:hint="eastAsia" w:ascii="Times New Roman" w:hAnsi="Times New Roman" w:eastAsia="楷体_GB2312" w:cs="Times New Roman"/>
              <w:bCs/>
              <w:szCs w:val="22"/>
              <w:lang w:val="en-US" w:eastAsia="zh-CN"/>
            </w:rPr>
            <w:fldChar w:fldCharType="end"/>
          </w:r>
        </w:p>
        <w:p w14:paraId="33D21EB8">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_Toc201089835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1.优化产业空间布局</w:t>
          </w:r>
          <w:r>
            <w:tab/>
          </w:r>
          <w:r>
            <w:fldChar w:fldCharType="begin"/>
          </w:r>
          <w:r>
            <w:instrText xml:space="preserve"> PAGEREF _Toc201089835 \h </w:instrText>
          </w:r>
          <w:r>
            <w:fldChar w:fldCharType="separate"/>
          </w:r>
          <w:r>
            <w:t>17</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3E8570B9">
          <w:pPr>
            <w:pStyle w:val="8"/>
            <w:tabs>
              <w:tab w:val="right" w:leader="dot" w:pos="8845"/>
            </w:tabs>
          </w:pPr>
          <w:r>
            <w:rPr>
              <w:rFonts w:hint="eastAsia" w:ascii="仿宋_GB2312" w:hAnsi="仿宋_GB2312" w:eastAsia="仿宋_GB2312" w:cs="仿宋_GB2312"/>
              <w:color w:val="auto"/>
              <w:kern w:val="2"/>
              <w:szCs w:val="28"/>
              <w:highlight w:val="none"/>
              <w:lang w:val="en-US" w:eastAsia="zh-CN" w:bidi="ar-SA"/>
            </w:rPr>
            <w:fldChar w:fldCharType="begin"/>
          </w:r>
          <w:r>
            <w:rPr>
              <w:rFonts w:hint="eastAsia" w:ascii="仿宋_GB2312" w:hAnsi="仿宋_GB2312" w:eastAsia="仿宋_GB2312" w:cs="仿宋_GB2312"/>
              <w:kern w:val="2"/>
              <w:szCs w:val="28"/>
              <w:highlight w:val="none"/>
              <w:lang w:val="en-US" w:eastAsia="zh-CN" w:bidi="ar-SA"/>
            </w:rPr>
            <w:instrText xml:space="preserve"> HYPERLINK \l _Toc1781502104 </w:instrText>
          </w:r>
          <w:r>
            <w:rPr>
              <w:rFonts w:hint="eastAsia" w:ascii="仿宋_GB2312" w:hAnsi="仿宋_GB2312" w:eastAsia="仿宋_GB2312" w:cs="仿宋_GB2312"/>
              <w:kern w:val="2"/>
              <w:szCs w:val="28"/>
              <w:highlight w:val="none"/>
              <w:lang w:val="en-US" w:eastAsia="zh-CN" w:bidi="ar-SA"/>
            </w:rPr>
            <w:fldChar w:fldCharType="separate"/>
          </w:r>
          <w:r>
            <w:rPr>
              <w:rFonts w:hint="eastAsia" w:ascii="Times New Roman" w:hAnsi="Times New Roman" w:cs="宋体"/>
              <w:highlight w:val="none"/>
              <w:lang w:val="en-US" w:eastAsia="zh-CN"/>
            </w:rPr>
            <w:t>2.推动医药成果转化</w:t>
          </w:r>
          <w:r>
            <w:tab/>
          </w:r>
          <w:r>
            <w:fldChar w:fldCharType="begin"/>
          </w:r>
          <w:r>
            <w:instrText xml:space="preserve"> PAGEREF _Toc1781502104 \h </w:instrText>
          </w:r>
          <w:r>
            <w:fldChar w:fldCharType="separate"/>
          </w:r>
          <w:r>
            <w:t>17</w:t>
          </w:r>
          <w:r>
            <w:fldChar w:fldCharType="end"/>
          </w:r>
          <w:r>
            <w:rPr>
              <w:rFonts w:hint="eastAsia" w:ascii="仿宋_GB2312" w:hAnsi="仿宋_GB2312" w:eastAsia="仿宋_GB2312" w:cs="仿宋_GB2312"/>
              <w:color w:val="auto"/>
              <w:kern w:val="2"/>
              <w:szCs w:val="28"/>
              <w:highlight w:val="none"/>
              <w:lang w:val="en-US" w:eastAsia="zh-CN" w:bidi="ar-SA"/>
            </w:rPr>
            <w:fldChar w:fldCharType="end"/>
          </w:r>
        </w:p>
        <w:p w14:paraId="4D64F3C8">
          <w:pPr>
            <w:pStyle w:val="12"/>
            <w:keepNext w:val="0"/>
            <w:keepLines w:val="0"/>
            <w:pageBreakBefore w:val="0"/>
            <w:widowControl w:val="0"/>
            <w:tabs>
              <w:tab w:val="right" w:leader="dot" w:pos="8845"/>
            </w:tabs>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黑体" w:cs="Times New Roman"/>
              <w:bCs w:val="0"/>
              <w:szCs w:val="32"/>
            </w:rPr>
          </w:pPr>
          <w:r>
            <w:rPr>
              <w:rFonts w:hint="eastAsia" w:ascii="Times New Roman" w:hAnsi="Times New Roman" w:eastAsia="黑体" w:cs="Times New Roman"/>
              <w:bCs w:val="0"/>
              <w:szCs w:val="32"/>
              <w:lang w:val="en-US" w:eastAsia="zh-CN"/>
            </w:rPr>
            <w:fldChar w:fldCharType="begin"/>
          </w:r>
          <w:r>
            <w:rPr>
              <w:rFonts w:hint="eastAsia" w:ascii="Times New Roman" w:hAnsi="Times New Roman" w:eastAsia="黑体" w:cs="Times New Roman"/>
              <w:bCs w:val="0"/>
              <w:szCs w:val="32"/>
              <w:lang w:val="en-US" w:eastAsia="zh-CN"/>
            </w:rPr>
            <w:instrText xml:space="preserve"> HYPERLINK \l _Toc1190339643 </w:instrText>
          </w:r>
          <w:r>
            <w:rPr>
              <w:rFonts w:hint="eastAsia" w:ascii="Times New Roman" w:hAnsi="Times New Roman" w:eastAsia="黑体" w:cs="Times New Roman"/>
              <w:bCs w:val="0"/>
              <w:szCs w:val="32"/>
              <w:lang w:val="en-US" w:eastAsia="zh-CN"/>
            </w:rPr>
            <w:fldChar w:fldCharType="separate"/>
          </w:r>
          <w:r>
            <w:rPr>
              <w:rFonts w:hint="eastAsia" w:ascii="Times New Roman" w:hAnsi="Times New Roman" w:eastAsia="黑体" w:cs="Times New Roman"/>
              <w:bCs w:val="0"/>
              <w:szCs w:val="32"/>
              <w:lang w:val="en-US" w:eastAsia="zh-CN"/>
            </w:rPr>
            <w:t>三、保障措施</w:t>
          </w:r>
          <w:r>
            <w:rPr>
              <w:rFonts w:ascii="Times New Roman" w:hAnsi="Times New Roman" w:eastAsia="黑体" w:cs="Times New Roman"/>
              <w:bCs w:val="0"/>
              <w:szCs w:val="32"/>
            </w:rPr>
            <w:tab/>
          </w:r>
          <w:r>
            <w:rPr>
              <w:rFonts w:ascii="Times New Roman" w:hAnsi="Times New Roman" w:eastAsia="黑体" w:cs="Times New Roman"/>
              <w:bCs w:val="0"/>
              <w:szCs w:val="32"/>
            </w:rPr>
            <w:fldChar w:fldCharType="begin"/>
          </w:r>
          <w:r>
            <w:rPr>
              <w:rFonts w:ascii="Times New Roman" w:hAnsi="Times New Roman" w:eastAsia="黑体" w:cs="Times New Roman"/>
              <w:bCs w:val="0"/>
              <w:szCs w:val="32"/>
            </w:rPr>
            <w:instrText xml:space="preserve"> PAGEREF _Toc1190339643 \h </w:instrText>
          </w:r>
          <w:r>
            <w:rPr>
              <w:rFonts w:ascii="Times New Roman" w:hAnsi="Times New Roman" w:eastAsia="黑体" w:cs="Times New Roman"/>
              <w:bCs w:val="0"/>
              <w:szCs w:val="32"/>
            </w:rPr>
            <w:fldChar w:fldCharType="separate"/>
          </w:r>
          <w:r>
            <w:rPr>
              <w:rFonts w:ascii="Times New Roman" w:hAnsi="Times New Roman" w:eastAsia="黑体" w:cs="Times New Roman"/>
              <w:bCs w:val="0"/>
              <w:szCs w:val="32"/>
            </w:rPr>
            <w:t>18</w:t>
          </w:r>
          <w:r>
            <w:rPr>
              <w:rFonts w:ascii="Times New Roman" w:hAnsi="Times New Roman" w:eastAsia="黑体" w:cs="Times New Roman"/>
              <w:bCs w:val="0"/>
              <w:szCs w:val="32"/>
            </w:rPr>
            <w:fldChar w:fldCharType="end"/>
          </w:r>
          <w:r>
            <w:rPr>
              <w:rFonts w:hint="eastAsia" w:ascii="Times New Roman" w:hAnsi="Times New Roman" w:eastAsia="黑体" w:cs="Times New Roman"/>
              <w:bCs w:val="0"/>
              <w:szCs w:val="32"/>
              <w:lang w:val="en-US" w:eastAsia="zh-CN"/>
            </w:rPr>
            <w:fldChar w:fldCharType="end"/>
          </w:r>
        </w:p>
        <w:p w14:paraId="5E1E79FB">
          <w:pPr>
            <w:pStyle w:val="24"/>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color w:val="auto"/>
              <w:kern w:val="2"/>
              <w:sz w:val="20"/>
              <w:szCs w:val="28"/>
              <w:highlight w:val="none"/>
              <w:lang w:val="en-US" w:eastAsia="zh-CN" w:bidi="ar-SA"/>
            </w:rPr>
          </w:pPr>
          <w:r>
            <w:rPr>
              <w:rFonts w:hint="eastAsia" w:ascii="仿宋_GB2312" w:hAnsi="仿宋_GB2312" w:eastAsia="仿宋_GB2312" w:cs="仿宋_GB2312"/>
              <w:color w:val="auto"/>
              <w:kern w:val="2"/>
              <w:szCs w:val="28"/>
              <w:highlight w:val="none"/>
              <w:lang w:val="en-US" w:eastAsia="zh-CN" w:bidi="ar-SA"/>
            </w:rPr>
            <w:fldChar w:fldCharType="end"/>
          </w:r>
        </w:p>
      </w:sdtContent>
    </w:sdt>
    <w:p w14:paraId="1BBD6CD4">
      <w:pPr>
        <w:pStyle w:val="24"/>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color w:val="auto"/>
          <w:kern w:val="2"/>
          <w:sz w:val="20"/>
          <w:szCs w:val="28"/>
          <w:highlight w:val="none"/>
          <w:lang w:val="en-US" w:eastAsia="zh-CN" w:bidi="ar-SA"/>
        </w:rPr>
      </w:pPr>
    </w:p>
    <w:p w14:paraId="77B6FF5B">
      <w:pPr>
        <w:bidi w:val="0"/>
        <w:rPr>
          <w:rFonts w:hint="eastAsia"/>
          <w:highlight w:val="none"/>
          <w:lang w:val="en-US" w:eastAsia="zh-CN"/>
        </w:rPr>
      </w:pPr>
    </w:p>
    <w:p w14:paraId="3743AFD3">
      <w:pPr>
        <w:bidi w:val="0"/>
        <w:rPr>
          <w:rFonts w:hint="eastAsia"/>
          <w:highlight w:val="none"/>
          <w:lang w:val="en-US" w:eastAsia="zh-CN"/>
        </w:rPr>
      </w:pPr>
    </w:p>
    <w:p w14:paraId="29567EA5">
      <w:pPr>
        <w:tabs>
          <w:tab w:val="right" w:pos="8306"/>
        </w:tabs>
        <w:bidi w:val="0"/>
        <w:jc w:val="left"/>
        <w:rPr>
          <w:rFonts w:hint="eastAsia"/>
          <w:highlight w:val="none"/>
          <w:lang w:val="en-US" w:eastAsia="zh-CN"/>
        </w:rPr>
        <w:sectPr>
          <w:headerReference r:id="rId3" w:type="default"/>
          <w:pgSz w:w="11906" w:h="16838"/>
          <w:pgMar w:top="2098" w:right="1474" w:bottom="1984" w:left="1587" w:header="851" w:footer="992" w:gutter="0"/>
          <w:pgNumType w:fmt="numberInDash" w:start="1"/>
          <w:cols w:space="425" w:num="1"/>
          <w:docGrid w:type="lines" w:linePitch="312" w:charSpace="0"/>
        </w:sectPr>
      </w:pPr>
      <w:r>
        <w:rPr>
          <w:rFonts w:hint="eastAsia"/>
          <w:highlight w:val="none"/>
          <w:lang w:val="en-US" w:eastAsia="zh-CN"/>
        </w:rPr>
        <w:tab/>
      </w:r>
    </w:p>
    <w:p w14:paraId="53ACEA21">
      <w:pPr>
        <w:pStyle w:val="4"/>
        <w:jc w:val="both"/>
        <w:outlineLvl w:val="0"/>
        <w:rPr>
          <w:rFonts w:hint="eastAsia" w:ascii="Times New Roman" w:hAnsi="Times New Roman" w:cs="宋体"/>
          <w:color w:val="auto"/>
          <w:highlight w:val="none"/>
          <w:lang w:val="en-US" w:eastAsia="zh-CN"/>
        </w:rPr>
      </w:pPr>
      <w:bookmarkStart w:id="6" w:name="_Toc28692"/>
      <w:bookmarkStart w:id="7" w:name="_Toc24330"/>
      <w:bookmarkStart w:id="8" w:name="_Toc1911277200"/>
      <w:bookmarkStart w:id="9" w:name="_Toc548253477"/>
      <w:bookmarkStart w:id="10" w:name="_Toc1227331705"/>
      <w:bookmarkStart w:id="11" w:name="_Toc1532866580"/>
      <w:r>
        <w:rPr>
          <w:rFonts w:hint="eastAsia" w:ascii="Times New Roman" w:hAnsi="Times New Roman" w:cs="宋体"/>
          <w:color w:val="auto"/>
          <w:highlight w:val="none"/>
          <w:lang w:val="en-US" w:eastAsia="zh-CN"/>
        </w:rPr>
        <w:t>一、</w:t>
      </w:r>
      <w:bookmarkEnd w:id="6"/>
      <w:bookmarkEnd w:id="7"/>
      <w:bookmarkEnd w:id="8"/>
      <w:r>
        <w:rPr>
          <w:rFonts w:hint="eastAsia" w:ascii="Times New Roman" w:hAnsi="Times New Roman" w:cs="宋体"/>
          <w:color w:val="auto"/>
          <w:highlight w:val="none"/>
          <w:lang w:val="en-US" w:eastAsia="zh-CN"/>
        </w:rPr>
        <w:t>总体要求</w:t>
      </w:r>
      <w:bookmarkEnd w:id="9"/>
      <w:bookmarkEnd w:id="10"/>
      <w:bookmarkEnd w:id="11"/>
    </w:p>
    <w:p w14:paraId="523DE422">
      <w:pPr>
        <w:pStyle w:val="5"/>
        <w:pageBreakBefore w:val="0"/>
        <w:kinsoku/>
        <w:wordWrap/>
        <w:overflowPunct/>
        <w:topLinePunct w:val="0"/>
        <w:autoSpaceDE/>
        <w:autoSpaceDN/>
        <w:bidi w:val="0"/>
        <w:adjustRightInd/>
        <w:snapToGrid/>
        <w:spacing w:beforeLines="0" w:afterLines="0" w:line="560" w:lineRule="exact"/>
        <w:ind w:left="0" w:leftChars="0"/>
        <w:jc w:val="both"/>
        <w:textAlignment w:val="auto"/>
        <w:outlineLvl w:val="1"/>
        <w:rPr>
          <w:rFonts w:hint="eastAsia" w:ascii="楷体_GB2312" w:hAnsi="楷体_GB2312" w:eastAsia="楷体_GB2312" w:cs="楷体_GB2312"/>
          <w:color w:val="auto"/>
          <w:highlight w:val="none"/>
          <w:lang w:val="en-US" w:eastAsia="zh-CN"/>
        </w:rPr>
      </w:pPr>
      <w:bookmarkStart w:id="12" w:name="_Toc1353948436"/>
      <w:bookmarkStart w:id="13" w:name="_Toc5306"/>
      <w:bookmarkStart w:id="14" w:name="_Toc1618477857"/>
      <w:bookmarkStart w:id="15" w:name="_Toc862932150"/>
      <w:bookmarkStart w:id="16" w:name="_Toc1635"/>
      <w:bookmarkStart w:id="17" w:name="_Toc55800775"/>
      <w:bookmarkStart w:id="18" w:name="_Toc1413815130"/>
      <w:r>
        <w:rPr>
          <w:rFonts w:hint="eastAsia" w:ascii="楷体_GB2312" w:hAnsi="楷体_GB2312" w:eastAsia="楷体_GB2312" w:cs="楷体_GB2312"/>
          <w:color w:val="auto"/>
          <w:highlight w:val="none"/>
          <w:lang w:val="en-US" w:eastAsia="zh-CN"/>
        </w:rPr>
        <w:t>（一）指导思想</w:t>
      </w:r>
      <w:bookmarkEnd w:id="12"/>
      <w:bookmarkEnd w:id="13"/>
      <w:bookmarkEnd w:id="14"/>
      <w:bookmarkEnd w:id="15"/>
      <w:bookmarkEnd w:id="16"/>
      <w:bookmarkEnd w:id="17"/>
      <w:bookmarkEnd w:id="18"/>
    </w:p>
    <w:p w14:paraId="6C7B87D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仿宋_GB2312"/>
          <w:color w:val="auto"/>
          <w:sz w:val="32"/>
          <w:szCs w:val="32"/>
          <w:highlight w:val="none"/>
          <w:lang w:val="en-US" w:eastAsia="zh-CN"/>
        </w:rPr>
      </w:pPr>
      <w:bookmarkStart w:id="19" w:name="OLE_LINK5"/>
      <w:r>
        <w:rPr>
          <w:rFonts w:hint="eastAsia" w:ascii="Times New Roman" w:hAnsi="Times New Roman" w:eastAsia="仿宋_GB2312" w:cs="仿宋_GB2312"/>
          <w:color w:val="auto"/>
          <w:sz w:val="32"/>
          <w:szCs w:val="32"/>
          <w:highlight w:val="none"/>
        </w:rPr>
        <w:t>以习近平新时代中国特色社会主义思想为指导，</w:t>
      </w:r>
      <w:r>
        <w:rPr>
          <w:rFonts w:hint="eastAsia" w:ascii="Times New Roman" w:hAnsi="Times New Roman" w:cs="仿宋_GB2312"/>
          <w:color w:val="auto"/>
          <w:sz w:val="32"/>
          <w:szCs w:val="32"/>
          <w:highlight w:val="none"/>
          <w:lang w:val="en-US" w:eastAsia="zh-CN"/>
        </w:rPr>
        <w:t>深入</w:t>
      </w:r>
      <w:r>
        <w:rPr>
          <w:rFonts w:hint="eastAsia" w:ascii="Times New Roman" w:hAnsi="Times New Roman" w:eastAsia="仿宋_GB2312" w:cs="仿宋_GB2312"/>
          <w:color w:val="auto"/>
          <w:sz w:val="32"/>
          <w:szCs w:val="32"/>
          <w:highlight w:val="none"/>
        </w:rPr>
        <w:t>贯彻党的二十大</w:t>
      </w:r>
      <w:r>
        <w:rPr>
          <w:rFonts w:hint="eastAsia" w:ascii="Times New Roman" w:hAnsi="Times New Roman" w:cs="仿宋_GB2312"/>
          <w:color w:val="auto"/>
          <w:sz w:val="32"/>
          <w:szCs w:val="32"/>
          <w:highlight w:val="none"/>
          <w:lang w:val="en-US" w:eastAsia="zh-CN"/>
        </w:rPr>
        <w:t>及二十届历次全会</w:t>
      </w:r>
      <w:r>
        <w:rPr>
          <w:rFonts w:hint="eastAsia" w:ascii="Times New Roman" w:hAnsi="Times New Roman" w:eastAsia="仿宋_GB2312" w:cs="仿宋_GB2312"/>
          <w:color w:val="auto"/>
          <w:sz w:val="32"/>
          <w:szCs w:val="32"/>
          <w:highlight w:val="none"/>
        </w:rPr>
        <w:t>精神，</w:t>
      </w:r>
      <w:r>
        <w:rPr>
          <w:rFonts w:hint="eastAsia" w:ascii="Times New Roman" w:hAnsi="Times New Roman" w:cs="仿宋_GB2312"/>
          <w:color w:val="auto"/>
          <w:sz w:val="32"/>
          <w:szCs w:val="32"/>
          <w:highlight w:val="none"/>
          <w:lang w:val="en-US" w:eastAsia="zh-CN"/>
        </w:rPr>
        <w:t>坚持新时代党的卫生与健康工作方针</w:t>
      </w:r>
      <w:r>
        <w:rPr>
          <w:rFonts w:hint="eastAsia" w:ascii="Times New Roman" w:hAnsi="Times New Roman" w:eastAsia="仿宋_GB2312" w:cs="仿宋_GB2312"/>
          <w:color w:val="auto"/>
          <w:sz w:val="32"/>
          <w:szCs w:val="32"/>
          <w:highlight w:val="none"/>
        </w:rPr>
        <w:t>，以新时代首都发展为统领，立足</w:t>
      </w:r>
      <w:r>
        <w:rPr>
          <w:rFonts w:hint="eastAsia" w:ascii="Times New Roman" w:hAnsi="Times New Roman" w:cs="仿宋_GB2312"/>
          <w:color w:val="auto"/>
          <w:sz w:val="32"/>
          <w:szCs w:val="32"/>
          <w:highlight w:val="none"/>
          <w:lang w:val="en-US" w:eastAsia="zh-CN"/>
        </w:rPr>
        <w:t>区域</w:t>
      </w:r>
      <w:r>
        <w:rPr>
          <w:rFonts w:hint="eastAsia" w:ascii="Times New Roman" w:hAnsi="Times New Roman" w:eastAsia="仿宋_GB2312" w:cs="仿宋_GB2312"/>
          <w:color w:val="auto"/>
          <w:sz w:val="32"/>
          <w:szCs w:val="32"/>
          <w:highlight w:val="none"/>
        </w:rPr>
        <w:t>“三区”定位，深入实施“两大战略”，统筹做好“四个融合”文章，</w:t>
      </w:r>
      <w:r>
        <w:rPr>
          <w:rFonts w:hint="eastAsia" w:ascii="Times New Roman" w:hAnsi="Times New Roman" w:cs="仿宋_GB2312"/>
          <w:color w:val="auto"/>
          <w:sz w:val="32"/>
          <w:szCs w:val="32"/>
          <w:highlight w:val="none"/>
          <w:lang w:val="en-US" w:eastAsia="zh-CN"/>
        </w:rPr>
        <w:t>锚定</w:t>
      </w:r>
      <w:r>
        <w:rPr>
          <w:rFonts w:hint="eastAsia" w:ascii="Times New Roman" w:hAnsi="Times New Roman" w:eastAsia="仿宋_GB2312" w:cs="仿宋_GB2312"/>
          <w:color w:val="auto"/>
          <w:sz w:val="32"/>
          <w:szCs w:val="32"/>
          <w:highlight w:val="none"/>
        </w:rPr>
        <w:t>高质量发展主题，</w:t>
      </w:r>
      <w:r>
        <w:rPr>
          <w:rFonts w:hint="eastAsia" w:ascii="Times New Roman" w:hAnsi="Times New Roman" w:cs="仿宋_GB2312"/>
          <w:color w:val="auto"/>
          <w:sz w:val="32"/>
          <w:szCs w:val="32"/>
          <w:highlight w:val="none"/>
          <w:lang w:val="en-US" w:eastAsia="zh-CN"/>
        </w:rPr>
        <w:t>把</w:t>
      </w:r>
      <w:r>
        <w:rPr>
          <w:rFonts w:hint="eastAsia" w:ascii="Times New Roman" w:hAnsi="Times New Roman" w:eastAsia="仿宋_GB2312" w:cs="仿宋_GB2312"/>
          <w:color w:val="auto"/>
          <w:sz w:val="32"/>
          <w:szCs w:val="32"/>
          <w:highlight w:val="none"/>
        </w:rPr>
        <w:t>改革创新</w:t>
      </w:r>
      <w:r>
        <w:rPr>
          <w:rFonts w:hint="eastAsia" w:ascii="Times New Roman" w:hAnsi="Times New Roman" w:cs="仿宋_GB2312"/>
          <w:color w:val="auto"/>
          <w:sz w:val="32"/>
          <w:szCs w:val="32"/>
          <w:highlight w:val="none"/>
          <w:lang w:val="en-US" w:eastAsia="zh-CN"/>
        </w:rPr>
        <w:t>作</w:t>
      </w:r>
      <w:r>
        <w:rPr>
          <w:rFonts w:hint="eastAsia" w:ascii="Times New Roman" w:hAnsi="Times New Roman" w:eastAsia="仿宋_GB2312" w:cs="仿宋_GB2312"/>
          <w:color w:val="auto"/>
          <w:sz w:val="32"/>
          <w:szCs w:val="32"/>
          <w:highlight w:val="none"/>
        </w:rPr>
        <w:t>为</w:t>
      </w:r>
      <w:r>
        <w:rPr>
          <w:rFonts w:hint="eastAsia" w:ascii="Times New Roman" w:hAnsi="Times New Roman" w:cs="仿宋_GB2312"/>
          <w:color w:val="auto"/>
          <w:sz w:val="32"/>
          <w:szCs w:val="32"/>
          <w:highlight w:val="none"/>
          <w:lang w:val="en-US" w:eastAsia="zh-CN"/>
        </w:rPr>
        <w:t>根本</w:t>
      </w:r>
      <w:r>
        <w:rPr>
          <w:rFonts w:hint="eastAsia" w:ascii="Times New Roman" w:hAnsi="Times New Roman" w:eastAsia="仿宋_GB2312" w:cs="仿宋_GB2312"/>
          <w:color w:val="auto"/>
          <w:sz w:val="32"/>
          <w:szCs w:val="32"/>
          <w:highlight w:val="none"/>
        </w:rPr>
        <w:t>动力，聚焦</w:t>
      </w:r>
      <w:r>
        <w:rPr>
          <w:rFonts w:hint="eastAsia" w:ascii="Times New Roman" w:hAnsi="Times New Roman" w:cs="仿宋_GB2312"/>
          <w:color w:val="auto"/>
          <w:sz w:val="32"/>
          <w:szCs w:val="32"/>
          <w:highlight w:val="none"/>
          <w:lang w:val="en-US" w:eastAsia="zh-CN"/>
        </w:rPr>
        <w:t>全方位</w:t>
      </w:r>
      <w:r>
        <w:rPr>
          <w:rFonts w:hint="eastAsia" w:ascii="Times New Roman" w:hAnsi="Times New Roman" w:eastAsia="仿宋_GB2312" w:cs="仿宋_GB2312"/>
          <w:color w:val="auto"/>
          <w:sz w:val="32"/>
          <w:szCs w:val="32"/>
          <w:highlight w:val="none"/>
        </w:rPr>
        <w:t>全周期</w:t>
      </w:r>
      <w:r>
        <w:rPr>
          <w:rFonts w:hint="eastAsia" w:ascii="Times New Roman" w:hAnsi="Times New Roman" w:cs="仿宋_GB2312"/>
          <w:color w:val="auto"/>
          <w:sz w:val="32"/>
          <w:szCs w:val="32"/>
          <w:highlight w:val="none"/>
          <w:lang w:eastAsia="zh-CN"/>
        </w:rPr>
        <w:t>整合型健康服务体系</w:t>
      </w:r>
      <w:r>
        <w:rPr>
          <w:rFonts w:hint="eastAsia" w:ascii="Times New Roman" w:hAnsi="Times New Roman" w:eastAsia="仿宋_GB2312" w:cs="仿宋_GB2312"/>
          <w:color w:val="auto"/>
          <w:sz w:val="32"/>
          <w:szCs w:val="32"/>
          <w:highlight w:val="none"/>
        </w:rPr>
        <w:t>，</w:t>
      </w:r>
      <w:r>
        <w:rPr>
          <w:rFonts w:hint="eastAsia" w:ascii="Times New Roman" w:hAnsi="Times New Roman" w:cs="仿宋_GB2312"/>
          <w:color w:val="auto"/>
          <w:sz w:val="32"/>
          <w:szCs w:val="32"/>
          <w:highlight w:val="none"/>
          <w:lang w:val="en-US" w:eastAsia="zh-CN"/>
        </w:rPr>
        <w:t>推动医疗卫生发展方式契合人民健康需求，全面提高健康水平。</w:t>
      </w:r>
    </w:p>
    <w:bookmarkEnd w:id="19"/>
    <w:p w14:paraId="77C96435">
      <w:pPr>
        <w:pStyle w:val="5"/>
        <w:pageBreakBefore w:val="0"/>
        <w:kinsoku/>
        <w:wordWrap/>
        <w:overflowPunct/>
        <w:topLinePunct w:val="0"/>
        <w:autoSpaceDE/>
        <w:autoSpaceDN/>
        <w:bidi w:val="0"/>
        <w:adjustRightInd/>
        <w:snapToGrid/>
        <w:spacing w:beforeLines="0" w:afterLines="0" w:line="560" w:lineRule="exact"/>
        <w:ind w:left="0" w:leftChars="0"/>
        <w:jc w:val="both"/>
        <w:textAlignment w:val="auto"/>
        <w:outlineLvl w:val="1"/>
        <w:rPr>
          <w:rFonts w:hint="eastAsia" w:ascii="楷体_GB2312" w:hAnsi="楷体_GB2312" w:eastAsia="楷体_GB2312" w:cs="楷体_GB2312"/>
          <w:color w:val="auto"/>
          <w:highlight w:val="none"/>
          <w:lang w:val="en-US" w:eastAsia="zh-CN"/>
        </w:rPr>
      </w:pPr>
      <w:bookmarkStart w:id="20" w:name="_Toc1974888276"/>
      <w:bookmarkStart w:id="21" w:name="_Toc3079"/>
      <w:bookmarkStart w:id="22" w:name="_Toc1626679909"/>
      <w:bookmarkStart w:id="23" w:name="_Toc763251767"/>
      <w:bookmarkStart w:id="24" w:name="_Toc1254785083"/>
      <w:bookmarkStart w:id="25" w:name="_Toc1207855763"/>
      <w:r>
        <w:rPr>
          <w:rFonts w:hint="eastAsia" w:ascii="楷体_GB2312" w:hAnsi="楷体_GB2312" w:eastAsia="楷体_GB2312" w:cs="楷体_GB2312"/>
          <w:color w:val="auto"/>
          <w:highlight w:val="none"/>
          <w:lang w:val="en-US" w:eastAsia="zh-CN"/>
        </w:rPr>
        <w:t>（二）总体目标</w:t>
      </w:r>
      <w:bookmarkEnd w:id="20"/>
      <w:bookmarkEnd w:id="21"/>
      <w:bookmarkEnd w:id="22"/>
      <w:bookmarkEnd w:id="23"/>
      <w:bookmarkEnd w:id="24"/>
      <w:bookmarkEnd w:id="25"/>
    </w:p>
    <w:p w14:paraId="52879BAD">
      <w:pPr>
        <w:pageBreakBefore w:val="0"/>
        <w:widowControl/>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cstheme="minorBidi"/>
          <w:i w:val="0"/>
          <w:iCs w:val="0"/>
          <w:caps w:val="0"/>
          <w:color w:val="auto"/>
          <w:spacing w:val="0"/>
          <w:kern w:val="2"/>
          <w:sz w:val="32"/>
          <w:szCs w:val="24"/>
          <w:highlight w:val="none"/>
          <w:shd w:val="clear"/>
          <w:lang w:val="en-US" w:eastAsia="zh-CN" w:bidi="ar"/>
        </w:rPr>
      </w:pPr>
      <w:r>
        <w:rPr>
          <w:rFonts w:hint="eastAsia" w:ascii="Times New Roman" w:hAnsi="Times New Roman" w:cs="仿宋_GB2312"/>
          <w:color w:val="auto"/>
          <w:szCs w:val="32"/>
          <w:highlight w:val="none"/>
          <w:lang w:val="en-US" w:eastAsia="zh-CN"/>
        </w:rPr>
        <w:t>到2030年，建成与人口发展趋势相适应、区域功能定位相适配的现代化整合型卫生健康服务体系，形成“健康优先、医防协同、优质高效、智慧便捷、医产融合”的卫生健康高质量发展格局：健康优先发展理念有效落地，居民健康素养水平稳步提升；公共卫生应急与防控体系全面强化，医防融合发展韧性显著增强；医疗资源配置更加均衡，基层服务能力全面提升，中医药特色优势更加凸显；信息化赋能大数据、人工智能等数智技术应用场景不断拓展；医工结合、产学研转化深度推进，未来健康产业规模持续壮大；实现全人群、全生命周期高品质健康保障</w:t>
      </w:r>
      <w:r>
        <w:rPr>
          <w:rFonts w:hint="eastAsia" w:ascii="Times New Roman" w:hAnsi="Times New Roman" w:cstheme="minorBidi"/>
          <w:i w:val="0"/>
          <w:iCs w:val="0"/>
          <w:caps w:val="0"/>
          <w:color w:val="auto"/>
          <w:spacing w:val="0"/>
          <w:kern w:val="2"/>
          <w:sz w:val="32"/>
          <w:szCs w:val="24"/>
          <w:highlight w:val="none"/>
          <w:shd w:val="clear"/>
          <w:lang w:val="en-US" w:eastAsia="zh-CN" w:bidi="ar"/>
        </w:rPr>
        <w:t>。</w:t>
      </w:r>
      <w:bookmarkStart w:id="26" w:name="_Toc755533905"/>
      <w:bookmarkStart w:id="27" w:name="_Toc141117487"/>
      <w:bookmarkStart w:id="28" w:name="_Toc1841129006"/>
      <w:bookmarkStart w:id="29" w:name="_Toc21550"/>
    </w:p>
    <w:p w14:paraId="4BCD463F">
      <w:pPr>
        <w:pageBreakBefore w:val="0"/>
        <w:widowControl/>
        <w:numPr>
          <w:ilvl w:val="-1"/>
          <w:numId w:val="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Times New Roman" w:hAnsi="Times New Roman" w:cstheme="minorBidi"/>
          <w:i w:val="0"/>
          <w:iCs w:val="0"/>
          <w:caps w:val="0"/>
          <w:color w:val="auto"/>
          <w:spacing w:val="0"/>
          <w:kern w:val="2"/>
          <w:sz w:val="32"/>
          <w:szCs w:val="24"/>
          <w:highlight w:val="none"/>
          <w:shd w:val="clear"/>
          <w:lang w:val="en-US" w:eastAsia="zh-CN" w:bidi="ar"/>
        </w:rPr>
      </w:pPr>
    </w:p>
    <w:p w14:paraId="10E01506">
      <w:pPr>
        <w:pStyle w:val="5"/>
        <w:pageBreakBefore w:val="0"/>
        <w:kinsoku/>
        <w:wordWrap/>
        <w:overflowPunct/>
        <w:topLinePunct w:val="0"/>
        <w:autoSpaceDE/>
        <w:autoSpaceDN/>
        <w:bidi w:val="0"/>
        <w:adjustRightInd/>
        <w:snapToGrid/>
        <w:spacing w:beforeLines="0" w:afterLines="0" w:line="560" w:lineRule="exact"/>
        <w:ind w:left="0" w:leftChars="0" w:firstLine="0" w:firstLineChars="0"/>
        <w:jc w:val="both"/>
        <w:textAlignment w:val="auto"/>
        <w:outlineLvl w:val="1"/>
        <w:rPr>
          <w:rFonts w:hint="eastAsia" w:ascii="楷体_GB2312" w:hAnsi="楷体_GB2312" w:eastAsia="楷体_GB2312" w:cs="楷体_GB2312"/>
          <w:color w:val="auto"/>
          <w:highlight w:val="none"/>
          <w:lang w:val="en-US" w:eastAsia="zh-CN"/>
        </w:rPr>
      </w:pPr>
      <w:bookmarkStart w:id="30" w:name="_Toc367568433"/>
    </w:p>
    <w:p w14:paraId="2659DF85">
      <w:pPr>
        <w:rPr>
          <w:rFonts w:hint="eastAsia"/>
          <w:highlight w:val="none"/>
          <w:lang w:val="en-US" w:eastAsia="zh-CN"/>
        </w:rPr>
      </w:pPr>
    </w:p>
    <w:p w14:paraId="0C43FDC7">
      <w:pPr>
        <w:pStyle w:val="5"/>
        <w:pageBreakBefore w:val="0"/>
        <w:kinsoku/>
        <w:wordWrap/>
        <w:overflowPunct/>
        <w:topLinePunct w:val="0"/>
        <w:autoSpaceDE/>
        <w:autoSpaceDN/>
        <w:bidi w:val="0"/>
        <w:adjustRightInd/>
        <w:snapToGrid/>
        <w:spacing w:beforeLines="0" w:afterLines="0" w:line="560" w:lineRule="exact"/>
        <w:ind w:left="0" w:leftChars="0"/>
        <w:jc w:val="both"/>
        <w:textAlignment w:val="auto"/>
        <w:outlineLvl w:val="1"/>
        <w:rPr>
          <w:rFonts w:hint="eastAsia"/>
          <w:highlight w:val="none"/>
          <w:lang w:val="en-US" w:eastAsia="zh-CN"/>
        </w:rPr>
      </w:pPr>
      <w:bookmarkStart w:id="31" w:name="_Toc73102436"/>
      <w:r>
        <w:rPr>
          <w:rFonts w:hint="eastAsia" w:ascii="楷体_GB2312" w:hAnsi="楷体_GB2312" w:eastAsia="楷体_GB2312" w:cs="楷体_GB2312"/>
          <w:color w:val="auto"/>
          <w:highlight w:val="none"/>
          <w:lang w:val="en-US" w:eastAsia="zh-CN"/>
        </w:rPr>
        <w:t>（三）主要指标</w:t>
      </w:r>
      <w:bookmarkEnd w:id="26"/>
      <w:bookmarkEnd w:id="27"/>
      <w:bookmarkEnd w:id="28"/>
      <w:bookmarkEnd w:id="29"/>
      <w:bookmarkEnd w:id="30"/>
      <w:bookmarkEnd w:id="31"/>
    </w:p>
    <w:tbl>
      <w:tblPr>
        <w:tblStyle w:val="18"/>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614"/>
        <w:gridCol w:w="3590"/>
        <w:gridCol w:w="1603"/>
        <w:gridCol w:w="1603"/>
        <w:gridCol w:w="1064"/>
      </w:tblGrid>
      <w:tr w14:paraId="1609E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9057" w:type="dxa"/>
            <w:gridSpan w:val="6"/>
            <w:vAlign w:val="center"/>
          </w:tcPr>
          <w:p w14:paraId="7C235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“十五五”时期卫生健康主要指标</w:t>
            </w:r>
          </w:p>
        </w:tc>
      </w:tr>
      <w:tr w14:paraId="63DD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3" w:type="dxa"/>
          </w:tcPr>
          <w:p w14:paraId="460653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类别</w:t>
            </w:r>
          </w:p>
        </w:tc>
        <w:tc>
          <w:tcPr>
            <w:tcW w:w="614" w:type="dxa"/>
            <w:vAlign w:val="center"/>
          </w:tcPr>
          <w:p w14:paraId="08DB87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3590" w:type="dxa"/>
            <w:vAlign w:val="center"/>
          </w:tcPr>
          <w:p w14:paraId="13BA15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指标</w:t>
            </w:r>
          </w:p>
        </w:tc>
        <w:tc>
          <w:tcPr>
            <w:tcW w:w="1603" w:type="dxa"/>
            <w:vAlign w:val="center"/>
          </w:tcPr>
          <w:p w14:paraId="2C1AAA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2025年</w:t>
            </w:r>
          </w:p>
        </w:tc>
        <w:tc>
          <w:tcPr>
            <w:tcW w:w="1603" w:type="dxa"/>
            <w:vAlign w:val="center"/>
          </w:tcPr>
          <w:p w14:paraId="0226FC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2030年</w:t>
            </w:r>
          </w:p>
        </w:tc>
        <w:tc>
          <w:tcPr>
            <w:tcW w:w="1064" w:type="dxa"/>
            <w:vAlign w:val="center"/>
          </w:tcPr>
          <w:p w14:paraId="076299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属性</w:t>
            </w:r>
          </w:p>
        </w:tc>
      </w:tr>
      <w:tr w14:paraId="36FE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restart"/>
            <w:vAlign w:val="center"/>
          </w:tcPr>
          <w:p w14:paraId="02BABE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健康水平</w:t>
            </w:r>
          </w:p>
        </w:tc>
        <w:tc>
          <w:tcPr>
            <w:tcW w:w="614" w:type="dxa"/>
            <w:vAlign w:val="center"/>
          </w:tcPr>
          <w:p w14:paraId="034718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3590" w:type="dxa"/>
            <w:vAlign w:val="center"/>
          </w:tcPr>
          <w:p w14:paraId="1D2EB9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人均预期寿命（岁）</w:t>
            </w:r>
          </w:p>
        </w:tc>
        <w:tc>
          <w:tcPr>
            <w:tcW w:w="1603" w:type="dxa"/>
            <w:vAlign w:val="center"/>
          </w:tcPr>
          <w:p w14:paraId="68CDA1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84.17</w:t>
            </w:r>
          </w:p>
        </w:tc>
        <w:tc>
          <w:tcPr>
            <w:tcW w:w="1603" w:type="dxa"/>
            <w:vAlign w:val="center"/>
          </w:tcPr>
          <w:p w14:paraId="7E1E98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84.8</w:t>
            </w:r>
          </w:p>
        </w:tc>
        <w:tc>
          <w:tcPr>
            <w:tcW w:w="1064" w:type="dxa"/>
            <w:vAlign w:val="center"/>
          </w:tcPr>
          <w:p w14:paraId="157719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79CC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783188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73EC41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3590" w:type="dxa"/>
            <w:vAlign w:val="center"/>
          </w:tcPr>
          <w:p w14:paraId="7451FF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孕产妇死亡率（1/10万）</w:t>
            </w:r>
          </w:p>
        </w:tc>
        <w:tc>
          <w:tcPr>
            <w:tcW w:w="1603" w:type="dxa"/>
            <w:vAlign w:val="center"/>
          </w:tcPr>
          <w:p w14:paraId="03BB4E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31.90</w:t>
            </w:r>
          </w:p>
        </w:tc>
        <w:tc>
          <w:tcPr>
            <w:tcW w:w="1603" w:type="dxa"/>
            <w:vAlign w:val="center"/>
          </w:tcPr>
          <w:p w14:paraId="587F06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国际先进水平</w:t>
            </w:r>
          </w:p>
        </w:tc>
        <w:tc>
          <w:tcPr>
            <w:tcW w:w="1064" w:type="dxa"/>
            <w:vAlign w:val="center"/>
          </w:tcPr>
          <w:p w14:paraId="667B99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0530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0B41A6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12B512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3590" w:type="dxa"/>
            <w:vAlign w:val="center"/>
          </w:tcPr>
          <w:p w14:paraId="3D59B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婴儿死亡率（‰）</w:t>
            </w:r>
          </w:p>
        </w:tc>
        <w:tc>
          <w:tcPr>
            <w:tcW w:w="1603" w:type="dxa"/>
            <w:vAlign w:val="center"/>
          </w:tcPr>
          <w:p w14:paraId="0F0CD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1.28</w:t>
            </w:r>
          </w:p>
        </w:tc>
        <w:tc>
          <w:tcPr>
            <w:tcW w:w="1603" w:type="dxa"/>
            <w:vAlign w:val="center"/>
          </w:tcPr>
          <w:p w14:paraId="5E5906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国际先进水平</w:t>
            </w:r>
          </w:p>
        </w:tc>
        <w:tc>
          <w:tcPr>
            <w:tcW w:w="1064" w:type="dxa"/>
            <w:vAlign w:val="center"/>
          </w:tcPr>
          <w:p w14:paraId="00DC3B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0CF6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0A4D5F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467E8F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3590" w:type="dxa"/>
            <w:vAlign w:val="center"/>
          </w:tcPr>
          <w:p w14:paraId="30465B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重大慢性病（心脑血管疾病、癌症、慢性呼吸系统疾病、糖尿病）过早死亡率（%）</w:t>
            </w:r>
          </w:p>
        </w:tc>
        <w:tc>
          <w:tcPr>
            <w:tcW w:w="1603" w:type="dxa"/>
            <w:vAlign w:val="center"/>
          </w:tcPr>
          <w:p w14:paraId="6DB095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9.58</w:t>
            </w:r>
          </w:p>
        </w:tc>
        <w:tc>
          <w:tcPr>
            <w:tcW w:w="1603" w:type="dxa"/>
            <w:vAlign w:val="center"/>
          </w:tcPr>
          <w:p w14:paraId="19BBC5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平稳下降</w:t>
            </w:r>
          </w:p>
        </w:tc>
        <w:tc>
          <w:tcPr>
            <w:tcW w:w="1064" w:type="dxa"/>
            <w:vAlign w:val="center"/>
          </w:tcPr>
          <w:p w14:paraId="30CA61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20279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restart"/>
            <w:vAlign w:val="center"/>
          </w:tcPr>
          <w:p w14:paraId="61D502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健康资源</w:t>
            </w:r>
          </w:p>
        </w:tc>
        <w:tc>
          <w:tcPr>
            <w:tcW w:w="614" w:type="dxa"/>
            <w:vAlign w:val="center"/>
          </w:tcPr>
          <w:p w14:paraId="6EA04C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3590" w:type="dxa"/>
            <w:vAlign w:val="center"/>
          </w:tcPr>
          <w:p w14:paraId="1541C3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每千常住人口医疗卫生机构床位数（张）</w:t>
            </w:r>
          </w:p>
        </w:tc>
        <w:tc>
          <w:tcPr>
            <w:tcW w:w="1603" w:type="dxa"/>
            <w:vAlign w:val="center"/>
          </w:tcPr>
          <w:p w14:paraId="4D4334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11.23</w:t>
            </w:r>
          </w:p>
        </w:tc>
        <w:tc>
          <w:tcPr>
            <w:tcW w:w="1603" w:type="dxa"/>
            <w:vAlign w:val="center"/>
          </w:tcPr>
          <w:p w14:paraId="55735C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保持稳定</w:t>
            </w:r>
          </w:p>
        </w:tc>
        <w:tc>
          <w:tcPr>
            <w:tcW w:w="1064" w:type="dxa"/>
            <w:vAlign w:val="center"/>
          </w:tcPr>
          <w:p w14:paraId="0B8CDF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2432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20DFD7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04993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3590" w:type="dxa"/>
            <w:vAlign w:val="center"/>
          </w:tcPr>
          <w:p w14:paraId="188D7A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每千常住人口接续性医疗服务（康复、护理、安宁疗护等）床位数（张）</w:t>
            </w:r>
          </w:p>
        </w:tc>
        <w:tc>
          <w:tcPr>
            <w:tcW w:w="1603" w:type="dxa"/>
            <w:vAlign w:val="center"/>
          </w:tcPr>
          <w:p w14:paraId="003F56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2.32</w:t>
            </w:r>
          </w:p>
        </w:tc>
        <w:tc>
          <w:tcPr>
            <w:tcW w:w="1603" w:type="dxa"/>
            <w:vAlign w:val="center"/>
          </w:tcPr>
          <w:p w14:paraId="6BA487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保持稳定</w:t>
            </w:r>
          </w:p>
        </w:tc>
        <w:tc>
          <w:tcPr>
            <w:tcW w:w="1064" w:type="dxa"/>
            <w:vAlign w:val="center"/>
          </w:tcPr>
          <w:p w14:paraId="24CC3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0CF9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53B7D2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24E957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3590" w:type="dxa"/>
            <w:vAlign w:val="center"/>
          </w:tcPr>
          <w:p w14:paraId="44BDD2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每千常住人口执业医师数（人）</w:t>
            </w:r>
          </w:p>
        </w:tc>
        <w:tc>
          <w:tcPr>
            <w:tcW w:w="1603" w:type="dxa"/>
            <w:vAlign w:val="center"/>
          </w:tcPr>
          <w:p w14:paraId="24B878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7.40</w:t>
            </w:r>
          </w:p>
        </w:tc>
        <w:tc>
          <w:tcPr>
            <w:tcW w:w="1603" w:type="dxa"/>
            <w:vAlign w:val="center"/>
          </w:tcPr>
          <w:p w14:paraId="535F69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7.50</w:t>
            </w:r>
          </w:p>
        </w:tc>
        <w:tc>
          <w:tcPr>
            <w:tcW w:w="1064" w:type="dxa"/>
            <w:vAlign w:val="center"/>
          </w:tcPr>
          <w:p w14:paraId="0FB864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2613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32F34C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3776D5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3590" w:type="dxa"/>
            <w:vAlign w:val="center"/>
          </w:tcPr>
          <w:p w14:paraId="3A4BA3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每千常住人口注册护士数（人）</w:t>
            </w:r>
          </w:p>
        </w:tc>
        <w:tc>
          <w:tcPr>
            <w:tcW w:w="1603" w:type="dxa"/>
            <w:vAlign w:val="center"/>
          </w:tcPr>
          <w:p w14:paraId="05C886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8.95</w:t>
            </w:r>
          </w:p>
        </w:tc>
        <w:tc>
          <w:tcPr>
            <w:tcW w:w="1603" w:type="dxa"/>
            <w:vAlign w:val="center"/>
          </w:tcPr>
          <w:p w14:paraId="046D73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p>
        </w:tc>
        <w:tc>
          <w:tcPr>
            <w:tcW w:w="1064" w:type="dxa"/>
            <w:vAlign w:val="center"/>
          </w:tcPr>
          <w:p w14:paraId="63F306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1A92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2ADF2C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4C5D3B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p>
        </w:tc>
        <w:tc>
          <w:tcPr>
            <w:tcW w:w="3590" w:type="dxa"/>
            <w:vAlign w:val="center"/>
          </w:tcPr>
          <w:p w14:paraId="694A75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每万常住人口全科医生（含中医类别全科医师）数（人）</w:t>
            </w:r>
          </w:p>
        </w:tc>
        <w:tc>
          <w:tcPr>
            <w:tcW w:w="1603" w:type="dxa"/>
            <w:vAlign w:val="center"/>
          </w:tcPr>
          <w:p w14:paraId="62488B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4.96</w:t>
            </w:r>
          </w:p>
        </w:tc>
        <w:tc>
          <w:tcPr>
            <w:tcW w:w="1603" w:type="dxa"/>
            <w:vAlign w:val="center"/>
          </w:tcPr>
          <w:p w14:paraId="4735F1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064" w:type="dxa"/>
            <w:vAlign w:val="center"/>
          </w:tcPr>
          <w:p w14:paraId="338CFC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0F98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1313A5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19816C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3590" w:type="dxa"/>
            <w:vAlign w:val="center"/>
          </w:tcPr>
          <w:p w14:paraId="7F3DF2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每千常住人口社区卫生人员数（人）</w:t>
            </w:r>
          </w:p>
        </w:tc>
        <w:tc>
          <w:tcPr>
            <w:tcW w:w="1603" w:type="dxa"/>
            <w:vAlign w:val="center"/>
          </w:tcPr>
          <w:p w14:paraId="1F4C19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1.97</w:t>
            </w:r>
          </w:p>
        </w:tc>
        <w:tc>
          <w:tcPr>
            <w:tcW w:w="1603" w:type="dxa"/>
            <w:vAlign w:val="center"/>
          </w:tcPr>
          <w:p w14:paraId="4DA975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w:t>
            </w:r>
          </w:p>
        </w:tc>
        <w:tc>
          <w:tcPr>
            <w:tcW w:w="1064" w:type="dxa"/>
            <w:vAlign w:val="center"/>
          </w:tcPr>
          <w:p w14:paraId="23DCDB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11B1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64BD66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28F2F6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3590" w:type="dxa"/>
            <w:vAlign w:val="center"/>
          </w:tcPr>
          <w:p w14:paraId="73E547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二级及以上综合医院设置老年医学科比例（%）</w:t>
            </w:r>
          </w:p>
        </w:tc>
        <w:tc>
          <w:tcPr>
            <w:tcW w:w="1603" w:type="dxa"/>
            <w:vAlign w:val="center"/>
          </w:tcPr>
          <w:p w14:paraId="035351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75</w:t>
            </w:r>
          </w:p>
        </w:tc>
        <w:tc>
          <w:tcPr>
            <w:tcW w:w="1603" w:type="dxa"/>
            <w:vAlign w:val="center"/>
          </w:tcPr>
          <w:p w14:paraId="6B6527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1064" w:type="dxa"/>
            <w:vAlign w:val="center"/>
          </w:tcPr>
          <w:p w14:paraId="795A7A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5006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restart"/>
            <w:vAlign w:val="center"/>
          </w:tcPr>
          <w:p w14:paraId="3A9EC5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健康行为</w:t>
            </w:r>
          </w:p>
        </w:tc>
        <w:tc>
          <w:tcPr>
            <w:tcW w:w="614" w:type="dxa"/>
            <w:vAlign w:val="center"/>
          </w:tcPr>
          <w:p w14:paraId="2AA0B3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3590" w:type="dxa"/>
            <w:vAlign w:val="center"/>
          </w:tcPr>
          <w:p w14:paraId="4DF494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居民健康素养水平（%）</w:t>
            </w:r>
          </w:p>
        </w:tc>
        <w:tc>
          <w:tcPr>
            <w:tcW w:w="1603" w:type="dxa"/>
            <w:vAlign w:val="center"/>
          </w:tcPr>
          <w:p w14:paraId="7ACC4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45.7</w:t>
            </w:r>
          </w:p>
        </w:tc>
        <w:tc>
          <w:tcPr>
            <w:tcW w:w="1603" w:type="dxa"/>
            <w:vAlign w:val="center"/>
          </w:tcPr>
          <w:p w14:paraId="762D07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≥50</w:t>
            </w:r>
          </w:p>
        </w:tc>
        <w:tc>
          <w:tcPr>
            <w:tcW w:w="1064" w:type="dxa"/>
            <w:vAlign w:val="center"/>
          </w:tcPr>
          <w:p w14:paraId="59BFFC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1A20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34D843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3B2CE9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w:t>
            </w:r>
          </w:p>
        </w:tc>
        <w:tc>
          <w:tcPr>
            <w:tcW w:w="3590" w:type="dxa"/>
            <w:vAlign w:val="center"/>
          </w:tcPr>
          <w:p w14:paraId="4813BA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15岁以上人群吸烟率（%）</w:t>
            </w:r>
          </w:p>
        </w:tc>
        <w:tc>
          <w:tcPr>
            <w:tcW w:w="1603" w:type="dxa"/>
            <w:vAlign w:val="center"/>
          </w:tcPr>
          <w:p w14:paraId="1AA34E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19.8（2023年）</w:t>
            </w:r>
          </w:p>
        </w:tc>
        <w:tc>
          <w:tcPr>
            <w:tcW w:w="1603" w:type="dxa"/>
            <w:vAlign w:val="center"/>
          </w:tcPr>
          <w:p w14:paraId="0CD6DD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≤18.3</w:t>
            </w:r>
          </w:p>
        </w:tc>
        <w:tc>
          <w:tcPr>
            <w:tcW w:w="1064" w:type="dxa"/>
            <w:vAlign w:val="center"/>
          </w:tcPr>
          <w:p w14:paraId="074069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3EAE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restart"/>
            <w:vAlign w:val="center"/>
          </w:tcPr>
          <w:p w14:paraId="3D8CD4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健康服务</w:t>
            </w:r>
          </w:p>
        </w:tc>
        <w:tc>
          <w:tcPr>
            <w:tcW w:w="614" w:type="dxa"/>
            <w:vAlign w:val="center"/>
          </w:tcPr>
          <w:p w14:paraId="27F9E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w:t>
            </w:r>
          </w:p>
        </w:tc>
        <w:tc>
          <w:tcPr>
            <w:tcW w:w="3590" w:type="dxa"/>
            <w:vAlign w:val="center"/>
          </w:tcPr>
          <w:p w14:paraId="13FB86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区级疾控机构规范化建设达标率（%）</w:t>
            </w:r>
          </w:p>
        </w:tc>
        <w:tc>
          <w:tcPr>
            <w:tcW w:w="1603" w:type="dxa"/>
            <w:vAlign w:val="center"/>
          </w:tcPr>
          <w:p w14:paraId="27FF52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w:t>
            </w:r>
          </w:p>
        </w:tc>
        <w:tc>
          <w:tcPr>
            <w:tcW w:w="1603" w:type="dxa"/>
            <w:vAlign w:val="center"/>
          </w:tcPr>
          <w:p w14:paraId="623892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95%</w:t>
            </w:r>
          </w:p>
        </w:tc>
        <w:tc>
          <w:tcPr>
            <w:tcW w:w="1064" w:type="dxa"/>
            <w:vAlign w:val="center"/>
          </w:tcPr>
          <w:p w14:paraId="7B0813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2977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454C6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13F84C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w:t>
            </w:r>
          </w:p>
        </w:tc>
        <w:tc>
          <w:tcPr>
            <w:tcW w:w="3590" w:type="dxa"/>
            <w:vAlign w:val="center"/>
          </w:tcPr>
          <w:p w14:paraId="2A392F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以街道为单位适龄儿童免疫规划疫苗接种率（%）</w:t>
            </w:r>
          </w:p>
        </w:tc>
        <w:tc>
          <w:tcPr>
            <w:tcW w:w="1603" w:type="dxa"/>
            <w:vAlign w:val="center"/>
          </w:tcPr>
          <w:p w14:paraId="7E2680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&gt;90</w:t>
            </w:r>
          </w:p>
        </w:tc>
        <w:tc>
          <w:tcPr>
            <w:tcW w:w="1603" w:type="dxa"/>
            <w:vAlign w:val="center"/>
          </w:tcPr>
          <w:p w14:paraId="54F544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&gt;90</w:t>
            </w:r>
          </w:p>
        </w:tc>
        <w:tc>
          <w:tcPr>
            <w:tcW w:w="1064" w:type="dxa"/>
            <w:vAlign w:val="center"/>
          </w:tcPr>
          <w:p w14:paraId="4D06E1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约束性</w:t>
            </w:r>
          </w:p>
        </w:tc>
      </w:tr>
      <w:tr w14:paraId="419D4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15AAF3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594EF7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16</w:t>
            </w:r>
          </w:p>
        </w:tc>
        <w:tc>
          <w:tcPr>
            <w:tcW w:w="3590" w:type="dxa"/>
            <w:vAlign w:val="center"/>
          </w:tcPr>
          <w:p w14:paraId="4561DB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高血压患者规范管理率（%）</w:t>
            </w:r>
          </w:p>
        </w:tc>
        <w:tc>
          <w:tcPr>
            <w:tcW w:w="1603" w:type="dxa"/>
            <w:vAlign w:val="center"/>
          </w:tcPr>
          <w:p w14:paraId="48A81D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82.93 </w:t>
            </w:r>
          </w:p>
        </w:tc>
        <w:tc>
          <w:tcPr>
            <w:tcW w:w="1603" w:type="dxa"/>
            <w:vAlign w:val="center"/>
          </w:tcPr>
          <w:p w14:paraId="75B7CB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85</w:t>
            </w:r>
          </w:p>
        </w:tc>
        <w:tc>
          <w:tcPr>
            <w:tcW w:w="1064" w:type="dxa"/>
            <w:vAlign w:val="center"/>
          </w:tcPr>
          <w:p w14:paraId="469AE4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指导性</w:t>
            </w:r>
          </w:p>
        </w:tc>
      </w:tr>
      <w:tr w14:paraId="4BE6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48D0BF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15A5FF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17</w:t>
            </w:r>
          </w:p>
        </w:tc>
        <w:tc>
          <w:tcPr>
            <w:tcW w:w="3590" w:type="dxa"/>
            <w:vAlign w:val="center"/>
          </w:tcPr>
          <w:p w14:paraId="6C826F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2型糖尿病患者规范管理率（%）</w:t>
            </w:r>
          </w:p>
        </w:tc>
        <w:tc>
          <w:tcPr>
            <w:tcW w:w="1603" w:type="dxa"/>
            <w:vAlign w:val="center"/>
          </w:tcPr>
          <w:p w14:paraId="549165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83.89 </w:t>
            </w:r>
          </w:p>
        </w:tc>
        <w:tc>
          <w:tcPr>
            <w:tcW w:w="1603" w:type="dxa"/>
            <w:vAlign w:val="center"/>
          </w:tcPr>
          <w:p w14:paraId="79D9E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85</w:t>
            </w:r>
          </w:p>
        </w:tc>
        <w:tc>
          <w:tcPr>
            <w:tcW w:w="1064" w:type="dxa"/>
            <w:vAlign w:val="center"/>
          </w:tcPr>
          <w:p w14:paraId="766BF9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指导性</w:t>
            </w:r>
          </w:p>
        </w:tc>
      </w:tr>
      <w:tr w14:paraId="215D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766D36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1D38B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w:t>
            </w:r>
          </w:p>
        </w:tc>
        <w:tc>
          <w:tcPr>
            <w:tcW w:w="3590" w:type="dxa"/>
            <w:vAlign w:val="center"/>
          </w:tcPr>
          <w:p w14:paraId="029C41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严重精神障碍患者规范管理率（%）</w:t>
            </w:r>
          </w:p>
        </w:tc>
        <w:tc>
          <w:tcPr>
            <w:tcW w:w="1603" w:type="dxa"/>
            <w:vAlign w:val="center"/>
          </w:tcPr>
          <w:p w14:paraId="409410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96.4</w:t>
            </w:r>
          </w:p>
        </w:tc>
        <w:tc>
          <w:tcPr>
            <w:tcW w:w="1603" w:type="dxa"/>
            <w:vAlign w:val="center"/>
          </w:tcPr>
          <w:p w14:paraId="023CAD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98%左右</w:t>
            </w:r>
          </w:p>
        </w:tc>
        <w:tc>
          <w:tcPr>
            <w:tcW w:w="1064" w:type="dxa"/>
            <w:vAlign w:val="center"/>
          </w:tcPr>
          <w:p w14:paraId="1C747B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4CFA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6CF69F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4D88DC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w:t>
            </w:r>
          </w:p>
        </w:tc>
        <w:tc>
          <w:tcPr>
            <w:tcW w:w="3590" w:type="dxa"/>
            <w:vAlign w:val="center"/>
          </w:tcPr>
          <w:p w14:paraId="0B1D5B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院前医疗急救服务平均反应时间（分钟）</w:t>
            </w:r>
          </w:p>
        </w:tc>
        <w:tc>
          <w:tcPr>
            <w:tcW w:w="1603" w:type="dxa"/>
            <w:vAlign w:val="center"/>
          </w:tcPr>
          <w:p w14:paraId="39B03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1603" w:type="dxa"/>
            <w:vAlign w:val="center"/>
          </w:tcPr>
          <w:p w14:paraId="22F3E7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1064" w:type="dxa"/>
            <w:vAlign w:val="center"/>
          </w:tcPr>
          <w:p w14:paraId="592DEF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542E6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vAlign w:val="center"/>
          </w:tcPr>
          <w:p w14:paraId="4D262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7A5C5E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w:t>
            </w:r>
          </w:p>
        </w:tc>
        <w:tc>
          <w:tcPr>
            <w:tcW w:w="3590" w:type="dxa"/>
            <w:vAlign w:val="center"/>
          </w:tcPr>
          <w:p w14:paraId="243D74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千人口献血率（%）</w:t>
            </w:r>
          </w:p>
        </w:tc>
        <w:tc>
          <w:tcPr>
            <w:tcW w:w="1603" w:type="dxa"/>
            <w:vAlign w:val="center"/>
          </w:tcPr>
          <w:p w14:paraId="623656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20.4</w:t>
            </w:r>
          </w:p>
        </w:tc>
        <w:tc>
          <w:tcPr>
            <w:tcW w:w="1603" w:type="dxa"/>
            <w:vAlign w:val="center"/>
          </w:tcPr>
          <w:p w14:paraId="21C77E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21.2</w:t>
            </w:r>
          </w:p>
        </w:tc>
        <w:tc>
          <w:tcPr>
            <w:tcW w:w="1064" w:type="dxa"/>
            <w:vAlign w:val="center"/>
          </w:tcPr>
          <w:p w14:paraId="106B66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5235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restart"/>
            <w:vAlign w:val="center"/>
          </w:tcPr>
          <w:p w14:paraId="5CF757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健康保障</w:t>
            </w:r>
          </w:p>
        </w:tc>
        <w:tc>
          <w:tcPr>
            <w:tcW w:w="614" w:type="dxa"/>
            <w:vAlign w:val="center"/>
          </w:tcPr>
          <w:p w14:paraId="5559C6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w:t>
            </w:r>
          </w:p>
        </w:tc>
        <w:tc>
          <w:tcPr>
            <w:tcW w:w="3590" w:type="dxa"/>
            <w:vAlign w:val="center"/>
          </w:tcPr>
          <w:p w14:paraId="0A60A3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常住人口人均基本公共卫生服务经费（元）</w:t>
            </w:r>
          </w:p>
        </w:tc>
        <w:tc>
          <w:tcPr>
            <w:tcW w:w="1603" w:type="dxa"/>
            <w:vAlign w:val="center"/>
          </w:tcPr>
          <w:p w14:paraId="167CD8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0"/>
                <w:sz w:val="21"/>
                <w:szCs w:val="21"/>
                <w:highlight w:val="none"/>
                <w:u w:val="none"/>
                <w:lang w:bidi="ar"/>
              </w:rPr>
              <w:t>183.51</w:t>
            </w:r>
          </w:p>
        </w:tc>
        <w:tc>
          <w:tcPr>
            <w:tcW w:w="1603" w:type="dxa"/>
            <w:vAlign w:val="center"/>
          </w:tcPr>
          <w:p w14:paraId="55B02E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平稳上升</w:t>
            </w:r>
          </w:p>
        </w:tc>
        <w:tc>
          <w:tcPr>
            <w:tcW w:w="1064" w:type="dxa"/>
            <w:vAlign w:val="center"/>
          </w:tcPr>
          <w:p w14:paraId="3797C5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r w14:paraId="278E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583" w:type="dxa"/>
            <w:vMerge w:val="continue"/>
          </w:tcPr>
          <w:p w14:paraId="171F23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614" w:type="dxa"/>
            <w:vAlign w:val="center"/>
          </w:tcPr>
          <w:p w14:paraId="72F774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w:t>
            </w:r>
          </w:p>
        </w:tc>
        <w:tc>
          <w:tcPr>
            <w:tcW w:w="3590" w:type="dxa"/>
            <w:vAlign w:val="center"/>
          </w:tcPr>
          <w:p w14:paraId="630059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政府卫生投入（不含基本公共卫生投入）占财政收入的比重（%）</w:t>
            </w:r>
          </w:p>
        </w:tc>
        <w:tc>
          <w:tcPr>
            <w:tcW w:w="1603" w:type="dxa"/>
            <w:vAlign w:val="center"/>
          </w:tcPr>
          <w:p w14:paraId="0E703F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9.47</w:t>
            </w:r>
          </w:p>
        </w:tc>
        <w:tc>
          <w:tcPr>
            <w:tcW w:w="1603" w:type="dxa"/>
            <w:vAlign w:val="center"/>
          </w:tcPr>
          <w:p w14:paraId="705715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平稳上升</w:t>
            </w:r>
          </w:p>
        </w:tc>
        <w:tc>
          <w:tcPr>
            <w:tcW w:w="1064" w:type="dxa"/>
            <w:vAlign w:val="center"/>
          </w:tcPr>
          <w:p w14:paraId="755D64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预期性</w:t>
            </w:r>
          </w:p>
        </w:tc>
      </w:tr>
    </w:tbl>
    <w:p w14:paraId="069B62F3">
      <w:pPr>
        <w:pStyle w:val="4"/>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0"/>
        <w:rPr>
          <w:rFonts w:hint="eastAsia" w:ascii="Times New Roman" w:hAnsi="Times New Roman"/>
          <w:color w:val="auto"/>
          <w:highlight w:val="none"/>
          <w:lang w:val="en-US" w:eastAsia="zh-CN"/>
        </w:rPr>
      </w:pPr>
      <w:bookmarkStart w:id="32" w:name="_Toc1733856808"/>
      <w:r>
        <w:rPr>
          <w:rFonts w:hint="eastAsia" w:ascii="宋体" w:hAnsi="宋体" w:eastAsia="宋体"/>
          <w:bCs w:val="0"/>
          <w:color w:val="auto"/>
          <w:sz w:val="21"/>
          <w:szCs w:val="21"/>
          <w:highlight w:val="none"/>
          <w:u w:val="none"/>
          <w:lang w:val="en-US" w:eastAsia="zh-CN"/>
        </w:rPr>
        <w:t>注：</w:t>
      </w:r>
      <w:r>
        <w:rPr>
          <w:rFonts w:hint="eastAsia" w:eastAsia="宋体"/>
          <w:bCs w:val="0"/>
          <w:color w:val="auto"/>
          <w:sz w:val="21"/>
          <w:szCs w:val="21"/>
          <w:highlight w:val="none"/>
          <w:u w:val="none"/>
          <w:lang w:val="en-US" w:eastAsia="zh-CN"/>
        </w:rPr>
        <w:t>①</w:t>
      </w:r>
      <w:r>
        <w:rPr>
          <w:rFonts w:hint="eastAsia" w:ascii="宋体" w:hAnsi="宋体" w:eastAsia="宋体"/>
          <w:bCs w:val="0"/>
          <w:color w:val="auto"/>
          <w:sz w:val="21"/>
          <w:szCs w:val="21"/>
          <w:highlight w:val="none"/>
          <w:u w:val="none"/>
          <w:lang w:val="en-US" w:eastAsia="zh-CN"/>
        </w:rPr>
        <w:t>社区卫生人员数指在辖区内社区卫生服务中心（站）的职工。</w:t>
      </w:r>
      <w:r>
        <w:rPr>
          <w:rFonts w:hint="eastAsia" w:eastAsia="宋体"/>
          <w:bCs w:val="0"/>
          <w:color w:val="auto"/>
          <w:sz w:val="21"/>
          <w:szCs w:val="21"/>
          <w:highlight w:val="none"/>
          <w:u w:val="none"/>
          <w:lang w:val="en-US" w:eastAsia="zh-CN"/>
        </w:rPr>
        <w:t>②区级疾控机构规范化建设达标率:本级基本用房达标率*50%+实验室A类设备配备率*50%（任意单项率≥100%时取100%）</w:t>
      </w:r>
      <w:r>
        <w:rPr>
          <w:rFonts w:hint="eastAsia" w:ascii="Times New Roman" w:hAnsi="Times New Roman"/>
          <w:color w:val="auto"/>
          <w:highlight w:val="none"/>
          <w:lang w:val="en-US" w:eastAsia="zh-CN"/>
        </w:rPr>
        <w:br w:type="page"/>
      </w:r>
      <w:bookmarkEnd w:id="32"/>
      <w:bookmarkStart w:id="33" w:name="_Toc1058135262"/>
      <w:bookmarkStart w:id="34" w:name="_Toc323584085"/>
      <w:bookmarkStart w:id="35" w:name="_Toc26108"/>
      <w:bookmarkStart w:id="36" w:name="_Toc6737"/>
      <w:bookmarkStart w:id="37" w:name="_Toc1172225721"/>
      <w:bookmarkStart w:id="38" w:name="_Toc1052579098"/>
    </w:p>
    <w:p w14:paraId="51F49794">
      <w:pPr>
        <w:pStyle w:val="4"/>
        <w:keepNext w:val="0"/>
        <w:keepLines w:val="0"/>
        <w:pageBreakBefore w:val="0"/>
        <w:widowControl w:val="0"/>
        <w:kinsoku/>
        <w:wordWrap/>
        <w:overflowPunct/>
        <w:topLinePunct w:val="0"/>
        <w:autoSpaceDE/>
        <w:autoSpaceDN/>
        <w:bidi w:val="0"/>
        <w:adjustRightInd/>
        <w:snapToGrid/>
        <w:jc w:val="both"/>
        <w:textAlignment w:val="auto"/>
        <w:outlineLvl w:val="0"/>
        <w:rPr>
          <w:rFonts w:hint="eastAsia" w:ascii="Times New Roman" w:hAnsi="Times New Roman"/>
          <w:color w:val="auto"/>
          <w:highlight w:val="none"/>
          <w:lang w:val="en-US" w:eastAsia="zh-CN"/>
        </w:rPr>
      </w:pPr>
      <w:bookmarkStart w:id="39" w:name="_Toc1124313513"/>
      <w:r>
        <w:rPr>
          <w:rFonts w:hint="eastAsia" w:ascii="Times New Roman" w:hAnsi="Times New Roman" w:cs="宋体"/>
          <w:color w:val="auto"/>
          <w:highlight w:val="none"/>
          <w:lang w:val="en-US" w:eastAsia="zh-CN"/>
        </w:rPr>
        <w:t>二、主要任务</w:t>
      </w:r>
      <w:bookmarkEnd w:id="33"/>
      <w:bookmarkEnd w:id="34"/>
      <w:bookmarkEnd w:id="35"/>
      <w:bookmarkEnd w:id="36"/>
      <w:bookmarkEnd w:id="37"/>
      <w:bookmarkEnd w:id="38"/>
      <w:bookmarkEnd w:id="39"/>
    </w:p>
    <w:p w14:paraId="144F1AFD">
      <w:pPr>
        <w:pStyle w:val="5"/>
        <w:pageBreakBefore w:val="0"/>
        <w:kinsoku/>
        <w:wordWrap/>
        <w:overflowPunct/>
        <w:topLinePunct w:val="0"/>
        <w:autoSpaceDE/>
        <w:autoSpaceDN/>
        <w:bidi w:val="0"/>
        <w:adjustRightInd/>
        <w:snapToGrid/>
        <w:spacing w:beforeLines="0" w:afterLines="0" w:line="560" w:lineRule="exact"/>
        <w:ind w:left="0" w:leftChars="0"/>
        <w:jc w:val="both"/>
        <w:textAlignment w:val="auto"/>
        <w:outlineLvl w:val="1"/>
        <w:rPr>
          <w:rFonts w:hint="eastAsia" w:ascii="楷体_GB2312" w:hAnsi="楷体_GB2312" w:eastAsia="楷体_GB2312" w:cs="楷体_GB2312"/>
          <w:color w:val="auto"/>
          <w:highlight w:val="none"/>
          <w:lang w:val="en-US" w:eastAsia="zh-CN"/>
        </w:rPr>
      </w:pPr>
      <w:bookmarkStart w:id="40" w:name="_Toc981435942"/>
      <w:bookmarkStart w:id="41" w:name="_Toc415411805"/>
      <w:bookmarkStart w:id="42" w:name="_Toc824878596"/>
      <w:bookmarkStart w:id="43" w:name="_Toc20441"/>
      <w:bookmarkStart w:id="44" w:name="_Toc110419847"/>
      <w:bookmarkStart w:id="45" w:name="_Toc13656"/>
      <w:bookmarkStart w:id="46" w:name="_Toc987916100"/>
      <w:bookmarkStart w:id="47" w:name="_Toc21462"/>
      <w:r>
        <w:rPr>
          <w:rFonts w:hint="eastAsia" w:ascii="楷体_GB2312" w:hAnsi="楷体_GB2312" w:eastAsia="楷体_GB2312" w:cs="楷体_GB2312"/>
          <w:color w:val="auto"/>
          <w:highlight w:val="none"/>
          <w:lang w:val="en-US" w:eastAsia="zh-CN"/>
        </w:rPr>
        <w:t>（一）纵深联合，深化医药卫生体制改革</w:t>
      </w:r>
      <w:bookmarkEnd w:id="40"/>
      <w:bookmarkEnd w:id="41"/>
      <w:bookmarkEnd w:id="42"/>
      <w:bookmarkEnd w:id="43"/>
      <w:bookmarkEnd w:id="44"/>
      <w:bookmarkEnd w:id="45"/>
      <w:bookmarkEnd w:id="46"/>
      <w:bookmarkEnd w:id="47"/>
    </w:p>
    <w:p w14:paraId="222EA52C">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eastAsia" w:ascii="Times New Roman" w:hAnsi="Times New Roman" w:cs="宋体"/>
          <w:highlight w:val="none"/>
          <w:lang w:val="en-US" w:eastAsia="zh-CN"/>
        </w:rPr>
      </w:pPr>
      <w:bookmarkStart w:id="48" w:name="_Toc1292306085"/>
      <w:bookmarkStart w:id="49" w:name="_Toc1370308122"/>
      <w:bookmarkStart w:id="50" w:name="_Toc3182"/>
      <w:bookmarkStart w:id="51" w:name="_Toc73490056"/>
      <w:bookmarkStart w:id="52" w:name="_Toc2146762163"/>
      <w:bookmarkStart w:id="53" w:name="_Toc1377106348"/>
      <w:bookmarkStart w:id="54" w:name="_Toc31338"/>
      <w:r>
        <w:rPr>
          <w:rFonts w:hint="eastAsia" w:ascii="Times New Roman" w:hAnsi="Times New Roman" w:cs="宋体"/>
          <w:highlight w:val="none"/>
          <w:lang w:val="en-US" w:eastAsia="zh-CN"/>
        </w:rPr>
        <w:t>1.强化“三医”协同</w:t>
      </w:r>
      <w:bookmarkEnd w:id="48"/>
      <w:bookmarkEnd w:id="49"/>
      <w:bookmarkEnd w:id="50"/>
      <w:bookmarkEnd w:id="51"/>
      <w:bookmarkEnd w:id="52"/>
      <w:bookmarkEnd w:id="53"/>
      <w:bookmarkEnd w:id="54"/>
    </w:p>
    <w:p w14:paraId="02A60814">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因地制宜推动三明医改经验落地见效，加强统筹联动，健全多部门协同工作机制，推进医疗、医保、医药协同发展和治理机制，增强改革政策取向一致性，形成“三医”良性互动格局。健全医改监测评估机制，深化“三医”数据融合应用，提高改革决策和服务能力。强化“三医”联合监管，应用人工智能、大数据等技术手段，加大非现场监管力度。</w:t>
      </w:r>
    </w:p>
    <w:p w14:paraId="26D6CC57">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eastAsia" w:ascii="Times New Roman" w:hAnsi="Times New Roman" w:cs="宋体"/>
          <w:highlight w:val="none"/>
          <w:lang w:val="en-US" w:eastAsia="zh-CN"/>
        </w:rPr>
      </w:pPr>
      <w:bookmarkStart w:id="55" w:name="_Toc113412295"/>
      <w:bookmarkStart w:id="56" w:name="_Toc22623"/>
      <w:bookmarkStart w:id="57" w:name="_Toc30855"/>
      <w:bookmarkStart w:id="58" w:name="_Toc1360231087"/>
      <w:bookmarkStart w:id="59" w:name="_Toc1080893167"/>
      <w:bookmarkStart w:id="60" w:name="_Toc106436623"/>
      <w:bookmarkStart w:id="61" w:name="_Toc1087350851"/>
      <w:r>
        <w:rPr>
          <w:rFonts w:hint="eastAsia" w:ascii="Times New Roman" w:hAnsi="Times New Roman" w:cs="宋体"/>
          <w:highlight w:val="none"/>
          <w:lang w:val="en-US" w:eastAsia="zh-CN"/>
        </w:rPr>
        <w:t>2.深化公立医院改革</w:t>
      </w:r>
      <w:bookmarkEnd w:id="55"/>
      <w:bookmarkEnd w:id="56"/>
      <w:bookmarkEnd w:id="57"/>
      <w:bookmarkEnd w:id="58"/>
      <w:bookmarkEnd w:id="59"/>
      <w:bookmarkEnd w:id="60"/>
      <w:bookmarkEnd w:id="61"/>
    </w:p>
    <w:p w14:paraId="02AE48C8">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坚持公益性导向，促进体系创新、能力提升、结构优化、创新增效，</w:t>
      </w:r>
      <w:r>
        <w:rPr>
          <w:rFonts w:hint="eastAsia" w:ascii="Times New Roman" w:hAnsi="Times New Roman"/>
          <w:color w:val="auto"/>
          <w:highlight w:val="none"/>
          <w:vertAlign w:val="baseline"/>
          <w:lang w:val="en-US" w:eastAsia="zh-CN"/>
        </w:rPr>
        <w:t>优化公立医院运行机制，强化运营能力监测。</w:t>
      </w:r>
      <w:r>
        <w:rPr>
          <w:rFonts w:hint="eastAsia" w:ascii="Times New Roman" w:hAnsi="Times New Roman"/>
          <w:color w:val="auto"/>
          <w:highlight w:val="none"/>
          <w:lang w:val="en-US" w:eastAsia="zh-CN"/>
        </w:rPr>
        <w:t>以区属医院为试点，推进编制和薪酬制度改革，</w:t>
      </w:r>
      <w:r>
        <w:rPr>
          <w:rFonts w:hint="eastAsia" w:ascii="Times New Roman" w:hAnsi="Times New Roman"/>
          <w:color w:val="auto"/>
          <w:highlight w:val="none"/>
          <w:vertAlign w:val="baseline"/>
          <w:lang w:val="en-US" w:eastAsia="zh-CN"/>
        </w:rPr>
        <w:t>推进医院内部自主分配，凸显岗位差异，向短缺、重点学科倾斜。</w:t>
      </w:r>
      <w:r>
        <w:rPr>
          <w:rFonts w:hint="eastAsia" w:ascii="Times New Roman" w:hAnsi="Times New Roman"/>
          <w:color w:val="auto"/>
          <w:highlight w:val="none"/>
          <w:lang w:val="en-US" w:eastAsia="zh-CN"/>
        </w:rPr>
        <w:t>优化财政分类补助机制，引导公立医院向“质量效益”转型。完善公立医院绩效评价体系，强化考核结果刚性运用。</w:t>
      </w:r>
    </w:p>
    <w:p w14:paraId="32ACE9B5">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eastAsia" w:ascii="Times New Roman" w:hAnsi="Times New Roman" w:cs="宋体"/>
          <w:highlight w:val="none"/>
          <w:lang w:val="en-US" w:eastAsia="zh-CN"/>
        </w:rPr>
      </w:pPr>
      <w:bookmarkStart w:id="62" w:name="_Toc2086658718"/>
      <w:bookmarkStart w:id="63" w:name="_Toc605874246"/>
      <w:bookmarkStart w:id="64" w:name="_Toc2034791402"/>
      <w:bookmarkStart w:id="65" w:name="_Toc21615"/>
      <w:bookmarkStart w:id="66" w:name="_Toc542425588"/>
      <w:bookmarkStart w:id="67" w:name="_Toc25551"/>
      <w:bookmarkStart w:id="68" w:name="_Toc548147464"/>
      <w:bookmarkStart w:id="69" w:name="OLE_LINK3"/>
      <w:r>
        <w:rPr>
          <w:rFonts w:hint="eastAsia" w:ascii="Times New Roman" w:hAnsi="Times New Roman" w:cs="宋体"/>
          <w:highlight w:val="none"/>
          <w:lang w:val="en-US" w:eastAsia="zh-CN"/>
        </w:rPr>
        <w:t>3.加快分级诊疗建设</w:t>
      </w:r>
      <w:bookmarkEnd w:id="62"/>
      <w:bookmarkEnd w:id="63"/>
      <w:bookmarkEnd w:id="64"/>
      <w:bookmarkEnd w:id="65"/>
      <w:bookmarkEnd w:id="66"/>
      <w:bookmarkEnd w:id="67"/>
      <w:bookmarkEnd w:id="68"/>
    </w:p>
    <w:p w14:paraId="5ADBD07D">
      <w:pPr>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color w:val="auto"/>
          <w:highlight w:val="none"/>
          <w:lang w:val="en-US" w:eastAsia="zh-CN"/>
        </w:rPr>
      </w:pPr>
      <w:bookmarkStart w:id="70" w:name="_Toc3817"/>
      <w:r>
        <w:rPr>
          <w:rFonts w:hint="eastAsia" w:ascii="Times New Roman" w:hAnsi="Times New Roman"/>
          <w:color w:val="auto"/>
          <w:highlight w:val="none"/>
          <w:lang w:val="en-US" w:eastAsia="zh-CN"/>
        </w:rPr>
        <w:t>持续深化</w:t>
      </w:r>
      <w:r>
        <w:rPr>
          <w:rFonts w:hint="eastAsia" w:ascii="Times New Roman" w:hAnsi="Times New Roman"/>
          <w:b w:val="0"/>
          <w:bCs w:val="0"/>
          <w:color w:val="auto"/>
          <w:highlight w:val="none"/>
          <w:lang w:val="en-US" w:eastAsia="zh-CN"/>
        </w:rPr>
        <w:t>紧密型城市医疗集团</w:t>
      </w:r>
      <w:r>
        <w:rPr>
          <w:rFonts w:hint="eastAsia" w:ascii="Times New Roman" w:hAnsi="Times New Roman"/>
          <w:color w:val="auto"/>
          <w:highlight w:val="none"/>
          <w:lang w:val="en-US" w:eastAsia="zh-CN"/>
        </w:rPr>
        <w:t>建设，优化医疗卫生机构功能定位和网格化布局，研究推进“区社一体化”综合改革。加强资源共享，推动建设医学检验、心电诊断、医学影像、病理诊断、药房和药学服务等共享中心。扩大检查检验结果互认覆盖面。做实医疗集团内药品目录衔接，强化人才、技术、管理、服务等优质医疗资源向基层下沉。加快分级诊疗信息化平台和转诊会诊中心建设，提升就医连续性。</w:t>
      </w:r>
    </w:p>
    <w:bookmarkEnd w:id="70"/>
    <w:p w14:paraId="74EF1084">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default" w:ascii="Times New Roman" w:hAnsi="Times New Roman" w:cs="宋体"/>
          <w:highlight w:val="none"/>
          <w:lang w:val="en-US" w:eastAsia="zh-CN"/>
        </w:rPr>
      </w:pPr>
      <w:bookmarkStart w:id="71" w:name="_Toc99422953"/>
      <w:bookmarkStart w:id="72" w:name="_Toc1172970350"/>
      <w:bookmarkStart w:id="73" w:name="_Toc563310259"/>
      <w:r>
        <w:rPr>
          <w:rFonts w:hint="eastAsia" w:ascii="Times New Roman" w:hAnsi="Times New Roman" w:cs="宋体"/>
          <w:highlight w:val="none"/>
          <w:lang w:val="en-US" w:eastAsia="zh-CN"/>
        </w:rPr>
        <w:t>4.深化医疗保障制度改革</w:t>
      </w:r>
      <w:bookmarkEnd w:id="71"/>
      <w:bookmarkEnd w:id="72"/>
      <w:bookmarkEnd w:id="73"/>
    </w:p>
    <w:p w14:paraId="188CF158">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olor w:val="auto"/>
          <w:highlight w:val="none"/>
        </w:rPr>
      </w:pPr>
      <w:r>
        <w:rPr>
          <w:rFonts w:hint="eastAsia" w:ascii="Times New Roman" w:hAnsi="Times New Roman"/>
          <w:color w:val="auto"/>
          <w:highlight w:val="none"/>
          <w:lang w:val="en-US" w:eastAsia="zh-CN"/>
        </w:rPr>
        <w:t>推进医保支付方式改革扩面，持续推动</w:t>
      </w:r>
      <w:r>
        <w:rPr>
          <w:rFonts w:hint="default" w:ascii="Times New Roman" w:hAnsi="Times New Roman"/>
          <w:color w:val="auto"/>
          <w:highlight w:val="none"/>
          <w:lang w:val="en-US" w:eastAsia="zh-CN"/>
        </w:rPr>
        <w:t>DRG</w:t>
      </w:r>
      <w:r>
        <w:rPr>
          <w:rFonts w:hint="eastAsia" w:ascii="Times New Roman" w:hAnsi="Times New Roman"/>
          <w:color w:val="auto"/>
          <w:highlight w:val="none"/>
          <w:lang w:val="en-US" w:eastAsia="zh-CN"/>
        </w:rPr>
        <w:t>全病组实际付费，</w:t>
      </w:r>
      <w:r>
        <w:rPr>
          <w:rFonts w:hint="eastAsia" w:ascii="Times New Roman" w:hAnsi="Times New Roman"/>
          <w:color w:val="auto"/>
          <w:highlight w:val="none"/>
        </w:rPr>
        <w:t>拓展跨省异地就医直接结算，拓宽门诊慢特病结算病种</w:t>
      </w:r>
      <w:r>
        <w:rPr>
          <w:rFonts w:hint="eastAsia" w:ascii="Times New Roman" w:hAnsi="Times New Roman"/>
          <w:color w:val="auto"/>
          <w:highlight w:val="none"/>
          <w:lang w:val="en-US" w:eastAsia="zh-CN"/>
        </w:rPr>
        <w:t>。深化紧密型医联体医保支付方式改革，</w:t>
      </w:r>
      <w:r>
        <w:rPr>
          <w:rFonts w:hint="eastAsia" w:ascii="仿宋_GB2312" w:hAnsi="仿宋_GB2312" w:cs="仿宋_GB2312"/>
          <w:color w:val="auto"/>
          <w:highlight w:val="none"/>
        </w:rPr>
        <w:t>探索打包支付方式与按人头付费</w:t>
      </w:r>
      <w:r>
        <w:rPr>
          <w:rFonts w:hint="eastAsia" w:ascii="仿宋_GB2312" w:hAnsi="仿宋_GB2312" w:cs="仿宋_GB2312"/>
          <w:color w:val="auto"/>
          <w:highlight w:val="none"/>
          <w:lang w:val="en-US" w:eastAsia="zh-CN"/>
        </w:rPr>
        <w:t>试点</w:t>
      </w:r>
      <w:r>
        <w:rPr>
          <w:rFonts w:hint="eastAsia" w:ascii="Times New Roman" w:hAnsi="Times New Roman"/>
          <w:color w:val="auto"/>
          <w:highlight w:val="none"/>
          <w:lang w:val="en-US" w:eastAsia="zh-CN"/>
        </w:rPr>
        <w:t>。优化总额预算，完善医疗机构质量评价体系。健全多元化医疗保障模式，</w:t>
      </w:r>
      <w:r>
        <w:rPr>
          <w:rFonts w:hint="eastAsia" w:ascii="Times New Roman" w:hAnsi="Times New Roman"/>
          <w:color w:val="auto"/>
          <w:highlight w:val="none"/>
        </w:rPr>
        <w:t>发展普惠型商业补充医保</w:t>
      </w:r>
      <w:r>
        <w:rPr>
          <w:rFonts w:hint="eastAsia" w:ascii="Times New Roman" w:hAnsi="Times New Roman"/>
          <w:color w:val="auto"/>
          <w:highlight w:val="none"/>
          <w:lang w:eastAsia="zh-CN"/>
        </w:rPr>
        <w:t>。</w:t>
      </w:r>
      <w:r>
        <w:rPr>
          <w:rFonts w:hint="eastAsia" w:ascii="Times New Roman" w:hAnsi="Times New Roman"/>
          <w:color w:val="auto"/>
          <w:highlight w:val="none"/>
        </w:rPr>
        <w:t>稳步推进长护险试点。推广医保移动支付，扩大医保电子凭证（医保码）应用范围。</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40B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61269C8">
            <w:pPr>
              <w:numPr>
                <w:ilvl w:val="0"/>
                <w:numId w:val="0"/>
              </w:numPr>
              <w:spacing w:line="560" w:lineRule="exact"/>
              <w:jc w:val="center"/>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val="en-US" w:eastAsia="zh-CN"/>
              </w:rPr>
              <w:t>专栏1  “三医”协同治理专项</w:t>
            </w:r>
          </w:p>
        </w:tc>
      </w:tr>
      <w:tr w14:paraId="7444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3D3BF18">
            <w:pPr>
              <w:numPr>
                <w:ilvl w:val="0"/>
                <w:numId w:val="0"/>
              </w:numPr>
              <w:spacing w:line="560" w:lineRule="exact"/>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val="en-US" w:eastAsia="zh-CN"/>
              </w:rPr>
              <w:t>1.“三医”治理机制：坚持同一领导统一管理医疗、医保、医药工作，建立健全跨部门常态化协作机制，加强工作互通、信息共享、监管联动与协作会商。</w:t>
            </w:r>
          </w:p>
        </w:tc>
      </w:tr>
      <w:tr w14:paraId="2A79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522" w:type="dxa"/>
          </w:tcPr>
          <w:p w14:paraId="02F1B3CE">
            <w:pPr>
              <w:keepNext w:val="0"/>
              <w:keepLines w:val="0"/>
              <w:widowControl/>
              <w:suppressLineNumbers w:val="0"/>
              <w:jc w:val="left"/>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val="en-US" w:eastAsia="zh-CN"/>
              </w:rPr>
              <w:t>2.公立医院高质量发展：优化公立医院运行机制，强化运营能力监测。</w:t>
            </w:r>
            <w:r>
              <w:rPr>
                <w:rFonts w:hint="eastAsia" w:ascii="Times New Roman" w:hAnsi="Times New Roman"/>
                <w:color w:val="auto"/>
                <w:highlight w:val="none"/>
              </w:rPr>
              <w:t>探索石景山医院与北京朝阳医院石景</w:t>
            </w:r>
            <w:r>
              <w:rPr>
                <w:rFonts w:hint="eastAsia" w:ascii="Times New Roman" w:hAnsi="Times New Roman"/>
                <w:color w:val="auto"/>
                <w:highlight w:val="none"/>
                <w:vertAlign w:val="baseline"/>
                <w:lang w:val="en-US" w:eastAsia="zh-CN"/>
              </w:rPr>
              <w:t>山院区融合发展路径，石景山医院以学科建设与人才引育并举为驱动，北京朝阳医院石景山院区以推进京西急诊危重症救治中心建设和创新慢病管理体系为核心，建强区域医疗中心。</w:t>
            </w:r>
            <w:r>
              <w:rPr>
                <w:rFonts w:hint="eastAsia" w:ascii="Times New Roman" w:hAnsi="Times New Roman"/>
                <w:color w:val="auto"/>
                <w:highlight w:val="none"/>
                <w:lang w:eastAsia="zh-CN"/>
              </w:rPr>
              <w:t>北京大学首钢医院着力加强</w:t>
            </w:r>
            <w:r>
              <w:rPr>
                <w:rFonts w:hint="eastAsia" w:ascii="Times New Roman" w:hAnsi="Times New Roman"/>
                <w:color w:val="auto"/>
                <w:highlight w:val="none"/>
                <w:lang w:val="en-US" w:eastAsia="zh-CN"/>
              </w:rPr>
              <w:t>3-5个</w:t>
            </w:r>
            <w:r>
              <w:rPr>
                <w:rFonts w:hint="eastAsia" w:ascii="Times New Roman" w:hAnsi="Times New Roman"/>
                <w:color w:val="auto"/>
                <w:highlight w:val="none"/>
                <w:lang w:eastAsia="zh-CN"/>
              </w:rPr>
              <w:t>高峰学科建设，构建精细化、智慧化、人性化诊疗体系。清华大学玉泉医院依托中西医结合“旗舰行动”，建设教学研究型旗舰医院。中国医学科学院整形外科医院以“强专科</w:t>
            </w:r>
            <w:r>
              <w:rPr>
                <w:rFonts w:hint="eastAsia" w:ascii="Times New Roman" w:hAnsi="Times New Roman"/>
                <w:color w:val="auto"/>
                <w:highlight w:val="none"/>
                <w:lang w:val="en-US" w:eastAsia="zh-CN"/>
              </w:rPr>
              <w:t xml:space="preserve"> </w:t>
            </w:r>
            <w:r>
              <w:rPr>
                <w:rFonts w:hint="eastAsia" w:ascii="Times New Roman" w:hAnsi="Times New Roman"/>
                <w:color w:val="auto"/>
                <w:highlight w:val="none"/>
                <w:lang w:eastAsia="zh-CN"/>
              </w:rPr>
              <w:t>优综合”为目标，建设高水平研究型医院。中国中医科学院眼科医院全力推进国家中医药传承创新中心、全国中医药老年眼病防治中心、全国中医药儿童青少年近视防治中心建设，扩大影响力。北京康复医院深耕神经、中医和老年康复领域，践行“整体康复”理念，深化区域康复共同体建设。</w:t>
            </w:r>
            <w:r>
              <w:rPr>
                <w:rFonts w:hint="eastAsia" w:ascii="Times New Roman" w:hAnsi="Times New Roman"/>
                <w:color w:val="auto"/>
                <w:highlight w:val="none"/>
                <w:vertAlign w:val="baseline"/>
                <w:lang w:val="en-US" w:eastAsia="zh-CN"/>
              </w:rPr>
              <w:t>区五里坨医院推进</w:t>
            </w:r>
            <w:r>
              <w:rPr>
                <w:rFonts w:hint="eastAsia" w:ascii="Times New Roman" w:hAnsi="Times New Roman"/>
                <w:color w:val="auto"/>
                <w:highlight w:val="none"/>
                <w:lang w:val="en-US" w:eastAsia="zh-CN"/>
              </w:rPr>
              <w:t>与优质高校合作共建，重点提升</w:t>
            </w:r>
            <w:r>
              <w:rPr>
                <w:rFonts w:hint="eastAsia" w:ascii="Times New Roman" w:hAnsi="Times New Roman"/>
                <w:color w:val="auto"/>
                <w:highlight w:val="none"/>
                <w:lang w:eastAsia="zh-CN"/>
              </w:rPr>
              <w:t>老年人、儿童青少年及重症精神障碍等人群诊疗能力。</w:t>
            </w:r>
            <w:r>
              <w:rPr>
                <w:rFonts w:hint="eastAsia" w:ascii="Times New Roman" w:hAnsi="Times New Roman"/>
                <w:color w:val="auto"/>
                <w:highlight w:val="none"/>
                <w:vertAlign w:val="baseline"/>
                <w:lang w:val="en-US" w:eastAsia="zh-CN"/>
              </w:rPr>
              <w:t>区中医院发挥中医药特色优势，深度融入紧密型医联体建设。区妇幼保健院聚焦妇女儿童健康服务需求，打造优势专科。</w:t>
            </w:r>
          </w:p>
        </w:tc>
      </w:tr>
      <w:bookmarkEnd w:id="69"/>
    </w:tbl>
    <w:p w14:paraId="1B8EC9BA">
      <w:pPr>
        <w:pStyle w:val="5"/>
        <w:pageBreakBefore w:val="0"/>
        <w:kinsoku/>
        <w:wordWrap/>
        <w:overflowPunct/>
        <w:topLinePunct w:val="0"/>
        <w:autoSpaceDE/>
        <w:autoSpaceDN/>
        <w:bidi w:val="0"/>
        <w:adjustRightInd/>
        <w:snapToGrid/>
        <w:spacing w:beforeLines="0" w:afterLines="0" w:line="560" w:lineRule="exact"/>
        <w:ind w:left="0" w:leftChars="0"/>
        <w:jc w:val="both"/>
        <w:textAlignment w:val="auto"/>
        <w:outlineLvl w:val="1"/>
        <w:rPr>
          <w:rFonts w:hint="eastAsia" w:ascii="楷体_GB2312" w:hAnsi="楷体_GB2312" w:eastAsia="楷体_GB2312" w:cs="楷体_GB2312"/>
          <w:color w:val="auto"/>
          <w:highlight w:val="none"/>
          <w:lang w:val="en-US" w:eastAsia="zh-CN"/>
        </w:rPr>
      </w:pPr>
      <w:bookmarkStart w:id="74" w:name="_Toc16995"/>
      <w:bookmarkStart w:id="75" w:name="_Toc656061329"/>
      <w:bookmarkStart w:id="76" w:name="_Toc16919"/>
      <w:bookmarkStart w:id="77" w:name="_Toc588134295"/>
      <w:bookmarkStart w:id="78" w:name="_Toc1991490642"/>
      <w:bookmarkStart w:id="79" w:name="_Toc2138098016"/>
      <w:bookmarkStart w:id="80" w:name="_Toc24879"/>
      <w:bookmarkStart w:id="81" w:name="_Toc418316040"/>
      <w:r>
        <w:rPr>
          <w:rFonts w:hint="eastAsia" w:ascii="楷体_GB2312" w:hAnsi="楷体_GB2312" w:eastAsia="楷体_GB2312" w:cs="楷体_GB2312"/>
          <w:color w:val="auto"/>
          <w:highlight w:val="none"/>
          <w:lang w:val="en-US" w:eastAsia="zh-CN"/>
        </w:rPr>
        <w:t>（二）提质增效，打造优质均衡的医疗服务体系</w:t>
      </w:r>
      <w:bookmarkEnd w:id="74"/>
      <w:bookmarkEnd w:id="75"/>
      <w:bookmarkEnd w:id="76"/>
      <w:bookmarkEnd w:id="77"/>
      <w:bookmarkEnd w:id="78"/>
      <w:bookmarkEnd w:id="79"/>
      <w:bookmarkEnd w:id="80"/>
      <w:bookmarkEnd w:id="81"/>
    </w:p>
    <w:p w14:paraId="38D45F0D">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eastAsia" w:ascii="Times New Roman" w:hAnsi="Times New Roman" w:cs="宋体"/>
          <w:highlight w:val="none"/>
          <w:lang w:val="en-US" w:eastAsia="zh-CN"/>
        </w:rPr>
      </w:pPr>
      <w:bookmarkStart w:id="82" w:name="_Toc2137013210"/>
      <w:bookmarkStart w:id="83" w:name="_Toc30699"/>
      <w:bookmarkStart w:id="84" w:name="_Toc617188028"/>
      <w:bookmarkStart w:id="85" w:name="_Toc868587267"/>
      <w:bookmarkStart w:id="86" w:name="_Toc22827"/>
      <w:bookmarkStart w:id="87" w:name="_Toc188505009"/>
      <w:bookmarkStart w:id="88" w:name="_Toc501038381"/>
      <w:r>
        <w:rPr>
          <w:rFonts w:hint="eastAsia" w:ascii="Times New Roman" w:hAnsi="Times New Roman" w:cs="宋体"/>
          <w:highlight w:val="none"/>
          <w:lang w:val="en-US" w:eastAsia="zh-CN"/>
        </w:rPr>
        <w:t>1.优化医疗资源布局</w:t>
      </w:r>
      <w:bookmarkEnd w:id="82"/>
      <w:bookmarkEnd w:id="83"/>
      <w:bookmarkEnd w:id="84"/>
      <w:bookmarkEnd w:id="85"/>
      <w:bookmarkEnd w:id="86"/>
      <w:bookmarkEnd w:id="87"/>
      <w:bookmarkEnd w:id="88"/>
    </w:p>
    <w:p w14:paraId="50110446">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olor w:val="auto"/>
          <w:highlight w:val="none"/>
          <w:lang w:val="en-US" w:eastAsia="zh-CN"/>
        </w:rPr>
      </w:pPr>
      <w:bookmarkStart w:id="89" w:name="_Toc571408990"/>
      <w:bookmarkStart w:id="90" w:name="_Toc956223687"/>
      <w:bookmarkStart w:id="91" w:name="_Toc766166306"/>
      <w:r>
        <w:rPr>
          <w:rFonts w:hint="eastAsia" w:ascii="Times New Roman" w:hAnsi="Times New Roman"/>
          <w:color w:val="auto"/>
          <w:highlight w:val="none"/>
          <w:lang w:val="en-US" w:eastAsia="zh-CN"/>
        </w:rPr>
        <w:t>加快重点工程项目建设，有序推进公立医院改扩建、医疗设备迭代升级、病房标准化改造及院区环境提质等系列工程，补齐区域医疗设施短板。引导医院找准功能定位，提升运行管理水平，支持医疗机构重点发展康复、护理、精神（心理）、儿科、老年医学、安宁疗护等服务，鼓励存量医疗机构向医养结合等方向转型发展。</w:t>
      </w:r>
    </w:p>
    <w:p w14:paraId="76CC9B36">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eastAsia" w:ascii="Times New Roman" w:hAnsi="Times New Roman" w:cs="宋体"/>
          <w:highlight w:val="none"/>
          <w:lang w:val="en-US" w:eastAsia="zh-CN"/>
        </w:rPr>
      </w:pPr>
      <w:bookmarkStart w:id="92" w:name="_Toc99656563"/>
      <w:bookmarkStart w:id="93" w:name="_Toc1056957070"/>
      <w:r>
        <w:rPr>
          <w:rFonts w:hint="eastAsia" w:ascii="Times New Roman" w:hAnsi="Times New Roman" w:cs="宋体"/>
          <w:highlight w:val="none"/>
          <w:lang w:val="en-US" w:eastAsia="zh-CN"/>
        </w:rPr>
        <w:t>2.合理控制办医规模</w:t>
      </w:r>
      <w:bookmarkEnd w:id="89"/>
      <w:bookmarkEnd w:id="90"/>
      <w:bookmarkEnd w:id="91"/>
      <w:bookmarkEnd w:id="92"/>
      <w:bookmarkEnd w:id="93"/>
    </w:p>
    <w:p w14:paraId="1BB01863">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olor w:val="auto"/>
          <w:highlight w:val="none"/>
          <w:lang w:eastAsia="zh-CN"/>
        </w:rPr>
      </w:pPr>
      <w:r>
        <w:rPr>
          <w:rFonts w:hint="eastAsia" w:ascii="Times New Roman" w:hAnsi="Times New Roman"/>
          <w:color w:val="auto"/>
          <w:highlight w:val="none"/>
          <w:lang w:eastAsia="zh-CN"/>
        </w:rPr>
        <w:t>落实区域医疗资源总量调控机制，鼓励优质医疗机构扩容提质。引导社会资本在五环外举办高端、特色医疗机构，重点补充现有资源相对短缺、薄弱的儿科、护理等学科。建立床位动态评估机制，科学调控医疗机构床位配置，原则上不再增加社会办中医类医疗机构床位数量。完善国际医疗供给，鼓励举办外商独资医院、中外合办医疗机构，支持三级医院开设国际医疗部与特需门诊。</w:t>
      </w:r>
    </w:p>
    <w:p w14:paraId="1C2B8290">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eastAsia" w:ascii="Times New Roman" w:hAnsi="Times New Roman" w:cs="宋体"/>
          <w:highlight w:val="none"/>
          <w:lang w:val="en-US" w:eastAsia="zh-CN"/>
        </w:rPr>
      </w:pPr>
      <w:bookmarkStart w:id="94" w:name="_Toc10171"/>
      <w:bookmarkStart w:id="95" w:name="_Toc492981244"/>
      <w:bookmarkStart w:id="96" w:name="_Toc364184677"/>
      <w:bookmarkStart w:id="97" w:name="_Toc600106274"/>
      <w:bookmarkStart w:id="98" w:name="_Toc791193113"/>
      <w:bookmarkStart w:id="99" w:name="_Toc14532"/>
      <w:bookmarkStart w:id="100" w:name="_Toc502295717"/>
      <w:bookmarkStart w:id="101" w:name="OLE_LINK7"/>
      <w:r>
        <w:rPr>
          <w:rFonts w:hint="eastAsia" w:ascii="Times New Roman" w:hAnsi="Times New Roman" w:cs="宋体"/>
          <w:highlight w:val="none"/>
          <w:lang w:val="en-US" w:eastAsia="zh-CN"/>
        </w:rPr>
        <w:t>3.调整医疗服务结构</w:t>
      </w:r>
      <w:bookmarkEnd w:id="94"/>
      <w:bookmarkEnd w:id="95"/>
      <w:bookmarkEnd w:id="96"/>
      <w:bookmarkEnd w:id="97"/>
      <w:bookmarkEnd w:id="98"/>
      <w:bookmarkEnd w:id="99"/>
      <w:bookmarkEnd w:id="100"/>
    </w:p>
    <w:p w14:paraId="70C73E64">
      <w:pPr>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深化医疗机构差异化发展，推进“一院一特色、一院一品牌”建设。促进区域协同，加强与津冀结对医院资源共享。鼓励医疗机构加入市级专科医联体，重点做强儿科、老年医学科紧密型医联体。以健康为中心优化服务供给，鼓励设立体重管理、精神（心理）、睡眠、预防接种等特色门诊，强化多学科诊疗团队建设。推进重点学（专）科建设，健全发展评估机制和支撑体系，加大专科科研投入，支持开展临床研究和技术创新。</w:t>
      </w:r>
    </w:p>
    <w:bookmarkEnd w:id="101"/>
    <w:p w14:paraId="70C9700A">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eastAsia" w:ascii="Times New Roman" w:hAnsi="Times New Roman" w:cs="宋体"/>
          <w:highlight w:val="none"/>
          <w:lang w:val="en-US" w:eastAsia="zh-CN"/>
        </w:rPr>
      </w:pPr>
      <w:bookmarkStart w:id="102" w:name="_Toc88832050"/>
      <w:bookmarkStart w:id="103" w:name="_Toc1363148037"/>
      <w:bookmarkStart w:id="104" w:name="_Toc478259786"/>
      <w:bookmarkStart w:id="105" w:name="_Toc1761340328"/>
      <w:bookmarkStart w:id="106" w:name="_Toc18279"/>
      <w:bookmarkStart w:id="107" w:name="_Toc6792"/>
      <w:bookmarkStart w:id="108" w:name="_Toc1979708714"/>
      <w:bookmarkStart w:id="109" w:name="OLE_LINK6"/>
      <w:r>
        <w:rPr>
          <w:rFonts w:hint="eastAsia" w:ascii="Times New Roman" w:hAnsi="Times New Roman" w:cs="宋体"/>
          <w:highlight w:val="none"/>
          <w:lang w:val="en-US" w:eastAsia="zh-CN"/>
        </w:rPr>
        <w:t>4.推动医疗服务创新</w:t>
      </w:r>
      <w:bookmarkEnd w:id="102"/>
      <w:bookmarkEnd w:id="103"/>
      <w:bookmarkEnd w:id="104"/>
      <w:bookmarkEnd w:id="105"/>
      <w:bookmarkEnd w:id="106"/>
      <w:bookmarkEnd w:id="107"/>
      <w:bookmarkEnd w:id="108"/>
    </w:p>
    <w:p w14:paraId="37DC7BA0">
      <w:pPr>
        <w:spacing w:line="560" w:lineRule="exact"/>
        <w:ind w:firstLine="640" w:firstLineChars="200"/>
        <w:rPr>
          <w:rFonts w:hint="eastAsia"/>
          <w:color w:val="auto"/>
          <w:highlight w:val="none"/>
        </w:rPr>
      </w:pPr>
      <w:r>
        <w:rPr>
          <w:rFonts w:hint="eastAsia"/>
          <w:color w:val="auto"/>
          <w:highlight w:val="none"/>
        </w:rPr>
        <w:t>优化就医流程，加强集成化、智慧化管理，建强一站式综合服务中心。完善智慧导诊、智能候诊及门诊自助设施，扩容分时段预约。试行住院床位集中管理、统一调配，推广日间手术，缩短住院周期。发展互联网诊疗、互联网护理。规范涉外诊疗流程，优化境外人员就诊支付服务，提升国际化医疗服务能力。深化人文内涵，做实医务社工与志愿服务。</w:t>
      </w:r>
    </w:p>
    <w:bookmarkEnd w:id="109"/>
    <w:p w14:paraId="5768B0EF">
      <w:pPr>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outlineLvl w:val="2"/>
        <w:rPr>
          <w:rFonts w:hint="eastAsia" w:ascii="Times New Roman" w:hAnsi="Times New Roman"/>
          <w:b/>
          <w:bCs/>
          <w:color w:val="auto"/>
          <w:highlight w:val="none"/>
          <w:lang w:val="en-US" w:eastAsia="zh-CN"/>
        </w:rPr>
      </w:pPr>
      <w:bookmarkStart w:id="110" w:name="_Toc2089878216"/>
      <w:bookmarkStart w:id="111" w:name="_Toc568590110"/>
      <w:bookmarkStart w:id="112" w:name="_Toc32616"/>
      <w:bookmarkStart w:id="113" w:name="_Toc1849548336"/>
      <w:bookmarkStart w:id="114" w:name="_Toc1682319314"/>
      <w:bookmarkStart w:id="115" w:name="_Toc122208600"/>
      <w:bookmarkStart w:id="116" w:name="_Toc8472"/>
      <w:bookmarkStart w:id="117" w:name="OLE_LINK2"/>
      <w:r>
        <w:rPr>
          <w:rFonts w:hint="eastAsia" w:ascii="Times New Roman" w:hAnsi="Times New Roman"/>
          <w:b/>
          <w:bCs/>
          <w:color w:val="auto"/>
          <w:highlight w:val="none"/>
          <w:lang w:val="en-US" w:eastAsia="zh-CN"/>
        </w:rPr>
        <w:t>5.强化医疗质量管控</w:t>
      </w:r>
      <w:bookmarkEnd w:id="110"/>
      <w:bookmarkEnd w:id="111"/>
      <w:bookmarkEnd w:id="112"/>
      <w:bookmarkEnd w:id="113"/>
      <w:bookmarkEnd w:id="114"/>
      <w:bookmarkEnd w:id="115"/>
      <w:bookmarkEnd w:id="116"/>
    </w:p>
    <w:p w14:paraId="6B9200CF">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color w:val="auto"/>
          <w:highlight w:val="none"/>
        </w:rPr>
      </w:pPr>
      <w:r>
        <w:rPr>
          <w:rFonts w:hint="eastAsia" w:ascii="Times New Roman" w:hAnsi="Times New Roman"/>
          <w:color w:val="auto"/>
          <w:highlight w:val="none"/>
          <w:lang w:val="en-US" w:eastAsia="zh-CN"/>
        </w:rPr>
        <w:t>完善医疗质量管理与控制体系，根据临床管理需求，织密区级质控中心网络，布设基层医疗机构质控工作组，强化市区衔接。加强医疗全过程质控管理，实施诊前、诊中、诊后闭环纠偏。提高药学服务水平，加强连续用药管理。坚持人才赋能与绩效驱动，开展分层分类专项培训，强化绩效考评结果运用，搭建交流互鉴平台。</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751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233B32A">
            <w:pPr>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eastAsia="zh-CN"/>
              </w:rPr>
              <w:t>专栏</w:t>
            </w:r>
            <w:r>
              <w:rPr>
                <w:rFonts w:hint="eastAsia" w:ascii="Times New Roman" w:hAnsi="Times New Roman"/>
                <w:color w:val="auto"/>
                <w:highlight w:val="none"/>
                <w:vertAlign w:val="baseline"/>
                <w:lang w:val="en-US" w:eastAsia="zh-CN"/>
              </w:rPr>
              <w:t>2  医疗服务提质升级专项</w:t>
            </w:r>
          </w:p>
        </w:tc>
      </w:tr>
      <w:tr w14:paraId="65AE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02CB203A">
            <w:pPr>
              <w:pageBreakBefore w:val="0"/>
              <w:widowControl w:val="0"/>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olor w:val="auto"/>
                <w:highlight w:val="none"/>
                <w:vertAlign w:val="baseline"/>
                <w:lang w:val="en-US" w:eastAsia="zh-CN"/>
              </w:rPr>
            </w:pPr>
            <w:r>
              <w:rPr>
                <w:rFonts w:hint="eastAsia" w:ascii="Times New Roman" w:hAnsi="Times New Roman"/>
                <w:color w:val="auto"/>
                <w:highlight w:val="none"/>
                <w:vertAlign w:val="baseline"/>
                <w:lang w:val="en-US" w:eastAsia="zh-CN"/>
              </w:rPr>
              <w:t>1.重点工程建设：</w:t>
            </w:r>
            <w:r>
              <w:rPr>
                <w:rFonts w:hint="eastAsia" w:ascii="Times New Roman" w:hAnsi="Times New Roman"/>
                <w:color w:val="auto"/>
                <w:highlight w:val="none"/>
              </w:rPr>
              <w:t>加快区紧急医疗救援中心迁建</w:t>
            </w:r>
            <w:r>
              <w:rPr>
                <w:rFonts w:hint="eastAsia" w:ascii="Times New Roman" w:hAnsi="Times New Roman"/>
                <w:color w:val="auto"/>
                <w:highlight w:val="none"/>
                <w:lang w:eastAsia="zh-CN"/>
              </w:rPr>
              <w:t>，</w:t>
            </w:r>
            <w:r>
              <w:rPr>
                <w:rFonts w:hint="eastAsia" w:ascii="Times New Roman" w:hAnsi="Times New Roman"/>
                <w:color w:val="auto"/>
                <w:highlight w:val="none"/>
              </w:rPr>
              <w:t>中国中医科学院眼科医院“消隐还建”</w:t>
            </w:r>
            <w:r>
              <w:rPr>
                <w:rFonts w:hint="eastAsia" w:ascii="Times New Roman" w:hAnsi="Times New Roman"/>
                <w:color w:val="auto"/>
                <w:highlight w:val="none"/>
                <w:lang w:eastAsia="zh-CN"/>
              </w:rPr>
              <w:t>，</w:t>
            </w:r>
            <w:r>
              <w:rPr>
                <w:rFonts w:hint="eastAsia" w:ascii="Times New Roman" w:hAnsi="Times New Roman"/>
                <w:color w:val="auto"/>
                <w:highlight w:val="none"/>
              </w:rPr>
              <w:t>清华大学玉泉医院医疗教学综合楼三期建设等工程</w:t>
            </w:r>
            <w:r>
              <w:rPr>
                <w:rFonts w:hint="eastAsia" w:ascii="Times New Roman" w:hAnsi="Times New Roman"/>
                <w:color w:val="auto"/>
                <w:highlight w:val="none"/>
                <w:lang w:eastAsia="zh-CN"/>
              </w:rPr>
              <w:t>。</w:t>
            </w:r>
            <w:r>
              <w:rPr>
                <w:rFonts w:hint="eastAsia" w:ascii="Times New Roman" w:hAnsi="Times New Roman"/>
                <w:color w:val="auto"/>
                <w:highlight w:val="none"/>
              </w:rPr>
              <w:t>推进石景山医院门急诊改造</w:t>
            </w:r>
            <w:r>
              <w:rPr>
                <w:rFonts w:hint="eastAsia" w:ascii="Times New Roman" w:hAnsi="Times New Roman"/>
                <w:color w:val="auto"/>
                <w:highlight w:val="none"/>
                <w:lang w:eastAsia="zh-CN"/>
              </w:rPr>
              <w:t>，</w:t>
            </w:r>
            <w:r>
              <w:rPr>
                <w:rFonts w:hint="eastAsia" w:ascii="Times New Roman" w:hAnsi="Times New Roman"/>
                <w:color w:val="auto"/>
                <w:highlight w:val="none"/>
              </w:rPr>
              <w:t>北京朝阳医院石景山院区急危重症综合救治中心改扩建</w:t>
            </w:r>
            <w:r>
              <w:rPr>
                <w:rFonts w:hint="eastAsia" w:ascii="Times New Roman" w:hAnsi="Times New Roman"/>
                <w:color w:val="auto"/>
                <w:highlight w:val="none"/>
                <w:lang w:eastAsia="zh-CN"/>
              </w:rPr>
              <w:t>，</w:t>
            </w:r>
            <w:r>
              <w:rPr>
                <w:rFonts w:hint="eastAsia" w:ascii="Times New Roman" w:hAnsi="Times New Roman"/>
                <w:color w:val="auto"/>
                <w:highlight w:val="none"/>
              </w:rPr>
              <w:t>区中医院迁建</w:t>
            </w:r>
            <w:r>
              <w:rPr>
                <w:rFonts w:hint="eastAsia" w:ascii="Times New Roman" w:hAnsi="Times New Roman"/>
                <w:color w:val="auto"/>
                <w:highlight w:val="none"/>
                <w:lang w:eastAsia="zh-CN"/>
              </w:rPr>
              <w:t>，</w:t>
            </w:r>
            <w:r>
              <w:rPr>
                <w:rFonts w:hint="eastAsia" w:ascii="Times New Roman" w:hAnsi="Times New Roman"/>
                <w:color w:val="auto"/>
                <w:highlight w:val="none"/>
              </w:rPr>
              <w:t>区妇幼保健院标准化建设</w:t>
            </w:r>
            <w:r>
              <w:rPr>
                <w:rFonts w:hint="eastAsia" w:ascii="Times New Roman" w:hAnsi="Times New Roman"/>
                <w:color w:val="auto"/>
                <w:highlight w:val="none"/>
                <w:lang w:eastAsia="zh-CN"/>
              </w:rPr>
              <w:t>等项目。</w:t>
            </w:r>
          </w:p>
        </w:tc>
      </w:tr>
      <w:tr w14:paraId="01B5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FD51591">
            <w:pPr>
              <w:pageBreakBefore w:val="0"/>
              <w:widowControl w:val="0"/>
              <w:numPr>
                <w:ilvl w:val="0"/>
                <w:numId w:val="1"/>
              </w:numPr>
              <w:kinsoku/>
              <w:wordWrap/>
              <w:overflowPunct/>
              <w:topLinePunct w:val="0"/>
              <w:autoSpaceDE/>
              <w:autoSpaceDN/>
              <w:bidi w:val="0"/>
              <w:adjustRightInd/>
              <w:snapToGrid/>
              <w:spacing w:line="560" w:lineRule="exact"/>
              <w:jc w:val="both"/>
              <w:textAlignment w:val="auto"/>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val="en-US" w:eastAsia="zh-CN"/>
              </w:rPr>
              <w:t>规范引导资源布局：落实诊所备案制，优化社会办医疗机构合理布局。统筹区域床位资源配置，推动床位资源向临床刚需大、资源短缺的专科倾斜，其中每千常住人口公立医疗机构中医床位数不低于2张。有序推进研究型病房建设。</w:t>
            </w:r>
          </w:p>
        </w:tc>
      </w:tr>
      <w:bookmarkEnd w:id="117"/>
    </w:tbl>
    <w:p w14:paraId="0602C1EF">
      <w:pPr>
        <w:pStyle w:val="5"/>
        <w:pageBreakBefore w:val="0"/>
        <w:kinsoku/>
        <w:wordWrap/>
        <w:overflowPunct/>
        <w:topLinePunct w:val="0"/>
        <w:autoSpaceDE/>
        <w:autoSpaceDN/>
        <w:bidi w:val="0"/>
        <w:adjustRightInd/>
        <w:snapToGrid/>
        <w:spacing w:beforeLines="0" w:afterLines="0" w:line="560" w:lineRule="exact"/>
        <w:ind w:left="0" w:leftChars="0"/>
        <w:jc w:val="both"/>
        <w:textAlignment w:val="auto"/>
        <w:outlineLvl w:val="1"/>
        <w:rPr>
          <w:rFonts w:hint="eastAsia" w:ascii="楷体_GB2312" w:hAnsi="楷体_GB2312" w:eastAsia="楷体_GB2312" w:cs="楷体_GB2312"/>
          <w:color w:val="auto"/>
          <w:highlight w:val="none"/>
          <w:lang w:val="en-US" w:eastAsia="zh-CN"/>
        </w:rPr>
      </w:pPr>
      <w:bookmarkStart w:id="118" w:name="_Toc10012"/>
      <w:bookmarkStart w:id="119" w:name="_Toc1211563648"/>
      <w:bookmarkStart w:id="120" w:name="_Toc1033231732"/>
      <w:bookmarkStart w:id="121" w:name="_Toc519827007"/>
      <w:bookmarkStart w:id="122" w:name="_Toc23004"/>
      <w:bookmarkStart w:id="123" w:name="_Toc2020693457"/>
      <w:bookmarkStart w:id="124" w:name="_Toc1801252855"/>
      <w:bookmarkStart w:id="125" w:name="_Toc32627"/>
      <w:r>
        <w:rPr>
          <w:rFonts w:hint="eastAsia" w:ascii="楷体_GB2312" w:hAnsi="楷体_GB2312" w:eastAsia="楷体_GB2312" w:cs="楷体_GB2312"/>
          <w:color w:val="auto"/>
          <w:highlight w:val="none"/>
          <w:lang w:val="en-US" w:eastAsia="zh-CN"/>
        </w:rPr>
        <w:t>（三）平急结合，筑牢防治协同的公共卫生服务体系</w:t>
      </w:r>
      <w:bookmarkEnd w:id="118"/>
      <w:bookmarkEnd w:id="119"/>
      <w:bookmarkEnd w:id="120"/>
      <w:bookmarkEnd w:id="121"/>
      <w:bookmarkEnd w:id="122"/>
      <w:bookmarkEnd w:id="123"/>
      <w:bookmarkEnd w:id="124"/>
      <w:bookmarkEnd w:id="125"/>
    </w:p>
    <w:p w14:paraId="190295A3">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126" w:name="_Toc1754119587"/>
      <w:bookmarkStart w:id="127" w:name="_Toc1015803622"/>
      <w:bookmarkStart w:id="128" w:name="_Toc1838964226"/>
      <w:bookmarkStart w:id="129" w:name="_Toc1703553978"/>
      <w:bookmarkStart w:id="130" w:name="_Toc8561"/>
      <w:bookmarkStart w:id="131" w:name="_Toc1412890209"/>
      <w:bookmarkStart w:id="132" w:name="OLE_LINK14"/>
      <w:bookmarkStart w:id="133" w:name="_Toc3722"/>
      <w:r>
        <w:rPr>
          <w:rFonts w:hint="eastAsia" w:ascii="Times New Roman" w:hAnsi="Times New Roman" w:cs="宋体"/>
          <w:highlight w:val="none"/>
          <w:lang w:val="en-US" w:eastAsia="zh-CN"/>
        </w:rPr>
        <w:t>1.加强疾控体系建设</w:t>
      </w:r>
      <w:bookmarkEnd w:id="126"/>
      <w:bookmarkEnd w:id="127"/>
      <w:bookmarkEnd w:id="128"/>
      <w:bookmarkEnd w:id="129"/>
    </w:p>
    <w:p w14:paraId="5C961DF2">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color w:val="0000FF"/>
          <w:highlight w:val="none"/>
          <w:lang w:val="en-US" w:eastAsia="zh-CN"/>
        </w:rPr>
      </w:pPr>
      <w:r>
        <w:rPr>
          <w:rFonts w:hint="eastAsia" w:ascii="Times New Roman" w:hAnsi="Times New Roman"/>
          <w:highlight w:val="none"/>
          <w:lang w:val="en-US" w:eastAsia="zh-CN"/>
        </w:rPr>
        <w:t>深化疾控监督融合发展与机制创新，强化疫情防控和卫生健康行政执法职能。优化多点触发传染病监测预警体系，</w:t>
      </w:r>
      <w:r>
        <w:rPr>
          <w:rFonts w:hint="eastAsia" w:ascii="仿宋_GB2312" w:hAnsi="仿宋_GB2312" w:cs="仿宋_GB2312"/>
          <w:color w:val="auto"/>
          <w:w w:val="100"/>
          <w:sz w:val="32"/>
          <w:szCs w:val="32"/>
          <w:highlight w:val="none"/>
          <w:lang w:val="en-US" w:eastAsia="zh-CN"/>
        </w:rPr>
        <w:t>提升</w:t>
      </w:r>
      <w:r>
        <w:rPr>
          <w:rFonts w:hint="eastAsia" w:ascii="仿宋_GB2312" w:hAnsi="仿宋_GB2312" w:eastAsia="仿宋_GB2312" w:cs="仿宋_GB2312"/>
          <w:color w:val="auto"/>
          <w:w w:val="100"/>
          <w:sz w:val="32"/>
          <w:szCs w:val="32"/>
          <w:highlight w:val="none"/>
          <w:lang w:val="en-US" w:eastAsia="zh-CN"/>
        </w:rPr>
        <w:t>多渠道监测数据共享</w:t>
      </w:r>
      <w:r>
        <w:rPr>
          <w:rFonts w:hint="eastAsia" w:ascii="仿宋_GB2312" w:hAnsi="仿宋_GB2312" w:cs="仿宋_GB2312"/>
          <w:color w:val="auto"/>
          <w:w w:val="100"/>
          <w:sz w:val="32"/>
          <w:szCs w:val="32"/>
          <w:highlight w:val="none"/>
          <w:lang w:val="en-US" w:eastAsia="zh-CN"/>
        </w:rPr>
        <w:t>和深度分析能力，构建“监测-预警-响应-处置”高效管理闭环。</w:t>
      </w:r>
      <w:r>
        <w:rPr>
          <w:rFonts w:hint="eastAsia" w:ascii="Times New Roman" w:hAnsi="Times New Roman"/>
          <w:highlight w:val="none"/>
          <w:lang w:val="en-US" w:eastAsia="zh-CN"/>
        </w:rPr>
        <w:t>优化疾控职能，规范化推动面向社会提供核心业务相关技术服务。推动区疾控中心规范化建设。建立健全传染病预防控制、应急处置、医疗救治、物资保障和监督管理体系。</w:t>
      </w:r>
    </w:p>
    <w:p w14:paraId="246B6F67">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134" w:name="_Toc1869359809"/>
      <w:bookmarkStart w:id="135" w:name="_Toc214594298"/>
      <w:bookmarkStart w:id="136" w:name="_Toc552794610"/>
      <w:bookmarkStart w:id="137" w:name="_Toc64851966"/>
      <w:r>
        <w:rPr>
          <w:rFonts w:hint="eastAsia" w:ascii="Times New Roman" w:hAnsi="Times New Roman" w:cs="宋体"/>
          <w:highlight w:val="none"/>
          <w:lang w:val="en-US" w:eastAsia="zh-CN"/>
        </w:rPr>
        <w:t>2.强化传染病防控效能</w:t>
      </w:r>
      <w:bookmarkEnd w:id="134"/>
      <w:bookmarkEnd w:id="135"/>
      <w:bookmarkEnd w:id="136"/>
      <w:bookmarkEnd w:id="137"/>
    </w:p>
    <w:p w14:paraId="0E26718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color w:val="auto"/>
          <w:highlight w:val="none"/>
          <w:lang w:val="en-US" w:eastAsia="zh-CN"/>
        </w:rPr>
      </w:pPr>
      <w:r>
        <w:rPr>
          <w:rFonts w:hint="eastAsia" w:ascii="Times New Roman" w:hAnsi="Times New Roman"/>
          <w:highlight w:val="none"/>
          <w:lang w:val="en-US" w:eastAsia="zh-CN"/>
        </w:rPr>
        <w:t>健全新发、突发传染病报告和处置工作机制，统筹推进重大传染病防控救治与应急体系建设，搭建艾滋病、结核病等重大传染病全周期闭环管理体系，落实多病共防综合干预措施。强化实验室生物安全监管。统筹推进数智疾控建设。</w:t>
      </w:r>
      <w:r>
        <w:rPr>
          <w:rFonts w:hint="eastAsia" w:ascii="Times New Roman" w:hAnsi="Times New Roman" w:eastAsia="仿宋_GB2312" w:cstheme="minorBidi"/>
          <w:i w:val="0"/>
          <w:iCs w:val="0"/>
          <w:caps w:val="0"/>
          <w:spacing w:val="0"/>
          <w:kern w:val="2"/>
          <w:sz w:val="32"/>
          <w:szCs w:val="24"/>
          <w:highlight w:val="none"/>
          <w:u w:val="none"/>
          <w:shd w:val="clear"/>
          <w:lang w:val="en-US" w:eastAsia="zh-CN" w:bidi="ar"/>
        </w:rPr>
        <w:t>促进医防协同，</w:t>
      </w:r>
      <w:r>
        <w:rPr>
          <w:rFonts w:hint="eastAsia" w:ascii="Times New Roman" w:hAnsi="Times New Roman"/>
          <w:highlight w:val="none"/>
          <w:lang w:val="en-US" w:eastAsia="zh-CN"/>
        </w:rPr>
        <w:t>落实医疗机构疾控监督员派驻，压实医疗机构公共卫生主体责任。以科研项目为驱动，培育高素质、专业化公共卫生人才梯队。</w:t>
      </w:r>
    </w:p>
    <w:p w14:paraId="17CE012C">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138" w:name="_Toc1751730460"/>
      <w:bookmarkStart w:id="139" w:name="_Toc1025080263"/>
      <w:bookmarkStart w:id="140" w:name="_Toc1610879473"/>
      <w:bookmarkStart w:id="141" w:name="_Toc1838502559"/>
      <w:r>
        <w:rPr>
          <w:rFonts w:hint="eastAsia" w:ascii="Times New Roman" w:hAnsi="Times New Roman" w:cs="宋体"/>
          <w:highlight w:val="none"/>
          <w:lang w:val="en-US" w:eastAsia="zh-CN"/>
        </w:rPr>
        <w:t>3.提升公共卫生干预能力</w:t>
      </w:r>
      <w:bookmarkEnd w:id="138"/>
      <w:bookmarkEnd w:id="139"/>
      <w:bookmarkEnd w:id="140"/>
      <w:bookmarkEnd w:id="141"/>
    </w:p>
    <w:p w14:paraId="20AEFA2F">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olor w:val="auto"/>
          <w:highlight w:val="none"/>
          <w:lang w:val="en-US" w:eastAsia="zh-CN"/>
        </w:rPr>
      </w:pPr>
      <w:r>
        <w:rPr>
          <w:rFonts w:hint="eastAsia" w:ascii="Times New Roman" w:hAnsi="Times New Roman"/>
          <w:color w:val="auto"/>
          <w:highlight w:val="none"/>
        </w:rPr>
        <w:t>推进规范化预防接种门诊提档升级，探索数字化门诊建设，推动医疗机构开展疫苗处方工作。持续巩固国家慢性病综合示范区建设成效，</w:t>
      </w:r>
      <w:r>
        <w:rPr>
          <w:rFonts w:hint="eastAsia" w:ascii="Times New Roman" w:hAnsi="Times New Roman"/>
          <w:color w:val="auto"/>
          <w:highlight w:val="none"/>
          <w:lang w:eastAsia="zh-CN"/>
        </w:rPr>
        <w:t>加强危险因素监测，发展防治康管</w:t>
      </w:r>
      <w:r>
        <w:rPr>
          <w:rFonts w:hint="eastAsia" w:ascii="Times New Roman" w:hAnsi="Times New Roman"/>
          <w:color w:val="auto"/>
          <w:highlight w:val="none"/>
        </w:rPr>
        <w:t>全链条</w:t>
      </w:r>
      <w:r>
        <w:rPr>
          <w:rFonts w:hint="eastAsia" w:ascii="Times New Roman" w:hAnsi="Times New Roman"/>
          <w:color w:val="auto"/>
          <w:highlight w:val="none"/>
          <w:lang w:eastAsia="zh-CN"/>
        </w:rPr>
        <w:t>服务。加强对慢性病、青少年等重点人群常见病的</w:t>
      </w:r>
      <w:r>
        <w:rPr>
          <w:rFonts w:hint="eastAsia" w:ascii="Times New Roman" w:hAnsi="Times New Roman"/>
          <w:color w:val="auto"/>
          <w:highlight w:val="none"/>
        </w:rPr>
        <w:t>健康危险因素监测与综合干预</w:t>
      </w:r>
      <w:r>
        <w:rPr>
          <w:rFonts w:hint="eastAsia" w:ascii="Times New Roman" w:hAnsi="Times New Roman"/>
          <w:color w:val="auto"/>
          <w:highlight w:val="none"/>
          <w:lang w:eastAsia="zh-CN"/>
        </w:rPr>
        <w:t>，推进慢性病一体化门诊建设。科学推进过敏原治理。</w:t>
      </w:r>
      <w:r>
        <w:rPr>
          <w:rFonts w:hint="eastAsia" w:ascii="Times New Roman" w:hAnsi="Times New Roman"/>
          <w:color w:val="auto"/>
          <w:highlight w:val="none"/>
        </w:rPr>
        <w:t>强化职业卫生、放射卫生、环境卫生和食品卫生风险监测</w:t>
      </w:r>
      <w:r>
        <w:rPr>
          <w:rFonts w:hint="eastAsia" w:ascii="Times New Roman" w:hAnsi="Times New Roman"/>
          <w:color w:val="auto"/>
          <w:highlight w:val="none"/>
          <w:lang w:eastAsia="zh-CN"/>
        </w:rPr>
        <w:t>等工作</w:t>
      </w:r>
      <w:r>
        <w:rPr>
          <w:rFonts w:hint="eastAsia" w:ascii="Times New Roman" w:hAnsi="Times New Roman"/>
          <w:color w:val="auto"/>
          <w:highlight w:val="none"/>
        </w:rPr>
        <w:t>。</w:t>
      </w:r>
    </w:p>
    <w:p w14:paraId="6E74DF4C">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142" w:name="_Toc480631740"/>
      <w:bookmarkStart w:id="143" w:name="_Toc954717791"/>
      <w:bookmarkStart w:id="144" w:name="_Toc1856678339"/>
      <w:bookmarkStart w:id="145" w:name="_Toc1813288379"/>
      <w:r>
        <w:rPr>
          <w:rFonts w:hint="eastAsia" w:ascii="Times New Roman" w:hAnsi="Times New Roman" w:cs="宋体"/>
          <w:highlight w:val="none"/>
          <w:lang w:val="en-US" w:eastAsia="zh-CN"/>
        </w:rPr>
        <w:t>4.健全公共卫生应急管理体系</w:t>
      </w:r>
      <w:bookmarkEnd w:id="142"/>
      <w:bookmarkEnd w:id="143"/>
      <w:bookmarkEnd w:id="144"/>
      <w:bookmarkEnd w:id="145"/>
    </w:p>
    <w:p w14:paraId="57C9AC51">
      <w:pPr>
        <w:spacing w:line="560" w:lineRule="exact"/>
        <w:ind w:firstLine="640" w:firstLineChars="200"/>
        <w:rPr>
          <w:rFonts w:hint="eastAsia" w:ascii="Times New Roman" w:hAnsi="Times New Roman"/>
          <w:color w:val="auto"/>
          <w:highlight w:val="none"/>
          <w:lang w:val="en-US" w:eastAsia="zh-CN"/>
        </w:rPr>
      </w:pPr>
      <w:r>
        <w:rPr>
          <w:rFonts w:hint="eastAsia" w:ascii="Times New Roman" w:hAnsi="Times New Roman" w:eastAsia="仿宋_GB2312"/>
          <w:color w:val="auto"/>
          <w:sz w:val="32"/>
          <w:szCs w:val="24"/>
          <w:highlight w:val="none"/>
          <w:lang w:eastAsia="zh-CN"/>
        </w:rPr>
        <w:t>健全公共卫生应急指挥机制，</w:t>
      </w:r>
      <w:r>
        <w:rPr>
          <w:rFonts w:hint="eastAsia" w:ascii="Times New Roman" w:hAnsi="Times New Roman" w:eastAsia="仿宋_GB2312" w:cstheme="minorBidi"/>
          <w:color w:val="auto"/>
          <w:highlight w:val="none"/>
          <w:vertAlign w:val="baseline"/>
          <w:lang w:val="en-US" w:eastAsia="zh-CN"/>
        </w:rPr>
        <w:t>完善院前急救网络布局，</w:t>
      </w:r>
      <w:r>
        <w:rPr>
          <w:rFonts w:hint="eastAsia" w:ascii="Times New Roman" w:hAnsi="Times New Roman" w:eastAsia="仿宋_GB2312"/>
          <w:color w:val="auto"/>
          <w:sz w:val="32"/>
          <w:szCs w:val="24"/>
          <w:highlight w:val="none"/>
          <w:lang w:eastAsia="zh-CN"/>
        </w:rPr>
        <w:t>加强卫生应急队伍建设，强化医用物资应急保障</w:t>
      </w:r>
      <w:r>
        <w:rPr>
          <w:rFonts w:hint="eastAsia" w:ascii="Times New Roman" w:hAnsi="Times New Roman"/>
          <w:color w:val="auto"/>
          <w:sz w:val="32"/>
          <w:szCs w:val="24"/>
          <w:highlight w:val="none"/>
          <w:lang w:eastAsia="zh-CN"/>
        </w:rPr>
        <w:t>和急救资源管理</w:t>
      </w:r>
      <w:r>
        <w:rPr>
          <w:rFonts w:hint="eastAsia" w:ascii="Times New Roman" w:hAnsi="Times New Roman" w:eastAsia="仿宋_GB2312"/>
          <w:color w:val="auto"/>
          <w:sz w:val="32"/>
          <w:szCs w:val="24"/>
          <w:highlight w:val="none"/>
          <w:lang w:eastAsia="zh-CN"/>
        </w:rPr>
        <w:t>，</w:t>
      </w:r>
      <w:r>
        <w:rPr>
          <w:rFonts w:hint="eastAsia" w:ascii="Times New Roman" w:hAnsi="Times New Roman" w:eastAsia="仿宋_GB2312" w:cstheme="minorBidi"/>
          <w:color w:val="auto"/>
          <w:kern w:val="2"/>
          <w:sz w:val="32"/>
          <w:szCs w:val="24"/>
          <w:highlight w:val="none"/>
          <w:vertAlign w:val="baseline"/>
          <w:lang w:val="en-US" w:eastAsia="zh-CN" w:bidi="ar-SA"/>
        </w:rPr>
        <w:t>加强人员、车辆等调度信息共享联动</w:t>
      </w:r>
      <w:r>
        <w:rPr>
          <w:rFonts w:hint="eastAsia" w:ascii="Times New Roman" w:hAnsi="Times New Roman" w:eastAsia="仿宋_GB2312"/>
          <w:color w:val="auto"/>
          <w:sz w:val="32"/>
          <w:szCs w:val="24"/>
          <w:highlight w:val="none"/>
          <w:lang w:eastAsia="zh-CN"/>
        </w:rPr>
        <w:t>。加强社会急救能力建设，完善重点公共场所AED等急救设施配置，扩大急救技能培训覆盖面。</w:t>
      </w:r>
      <w:r>
        <w:rPr>
          <w:rFonts w:hint="eastAsia" w:ascii="Times New Roman" w:hAnsi="Times New Roman"/>
          <w:color w:val="auto"/>
          <w:highlight w:val="none"/>
        </w:rPr>
        <w:t>优化采血点布局，加强无偿献血宣传，推动团体无偿献血工作，强化献血者权益保障，保障区域内采供血平衡。</w:t>
      </w:r>
    </w:p>
    <w:p w14:paraId="02559B0E">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r>
        <w:rPr>
          <w:rFonts w:hint="eastAsia" w:ascii="Times New Roman" w:hAnsi="Times New Roman" w:cs="宋体"/>
          <w:highlight w:val="none"/>
          <w:lang w:val="en-US" w:eastAsia="zh-CN"/>
        </w:rPr>
        <w:t xml:space="preserve"> </w:t>
      </w:r>
      <w:bookmarkStart w:id="146" w:name="_Toc1590324697"/>
      <w:bookmarkStart w:id="147" w:name="_Toc1842148340"/>
      <w:bookmarkStart w:id="148" w:name="_Toc421612905"/>
      <w:bookmarkStart w:id="149" w:name="_Toc519531186"/>
      <w:r>
        <w:rPr>
          <w:rFonts w:hint="eastAsia" w:ascii="Times New Roman" w:hAnsi="Times New Roman" w:cs="宋体"/>
          <w:highlight w:val="none"/>
          <w:lang w:val="en-US" w:eastAsia="zh-CN"/>
        </w:rPr>
        <w:t>5.提升行政执法质效</w:t>
      </w:r>
      <w:bookmarkEnd w:id="146"/>
      <w:bookmarkEnd w:id="147"/>
      <w:bookmarkEnd w:id="148"/>
      <w:bookmarkEnd w:id="149"/>
    </w:p>
    <w:p w14:paraId="2CED1CFE">
      <w:pPr>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highlight w:val="none"/>
          <w:lang w:val="en-US" w:eastAsia="zh-CN"/>
        </w:rPr>
      </w:pPr>
      <w:r>
        <w:rPr>
          <w:rFonts w:hint="eastAsia" w:ascii="Times New Roman" w:hAnsi="Times New Roman"/>
          <w:highlight w:val="none"/>
          <w:lang w:val="en-US" w:eastAsia="zh-CN"/>
        </w:rPr>
        <w:t>以“扫码检查”为契机，推动形成事前调度、事中规范、事后督查的闭环监管。落实“双随机、一公开”监管，加强执法队伍规范化、专业化建设，主动接受社会监督。深化数字赋能监管，提升非现场执法效能，推动监管处置向事前预防转型，营造透明高效、无事不扰的营商环境。</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29CB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59C20BB9">
            <w:pPr>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eastAsia="zh-CN"/>
              </w:rPr>
              <w:t>专栏</w:t>
            </w:r>
            <w:r>
              <w:rPr>
                <w:rFonts w:hint="eastAsia" w:ascii="Times New Roman" w:hAnsi="Times New Roman"/>
                <w:color w:val="auto"/>
                <w:highlight w:val="none"/>
                <w:vertAlign w:val="baseline"/>
                <w:lang w:val="en-US" w:eastAsia="zh-CN"/>
              </w:rPr>
              <w:t>3  公共卫生服务体系现代化建设专项</w:t>
            </w:r>
          </w:p>
        </w:tc>
      </w:tr>
      <w:tr w14:paraId="5D0B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0E10290">
            <w:pPr>
              <w:pageBreakBefore w:val="0"/>
              <w:widowControl/>
              <w:numPr>
                <w:ilvl w:val="-1"/>
                <w:numId w:val="0"/>
              </w:numPr>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仿宋_GB2312"/>
                <w:color w:val="auto"/>
                <w:highlight w:val="none"/>
                <w:vertAlign w:val="baseline"/>
                <w:lang w:val="en-US" w:eastAsia="zh-CN"/>
              </w:rPr>
            </w:pPr>
            <w:r>
              <w:rPr>
                <w:rFonts w:hint="eastAsia" w:ascii="Times New Roman" w:hAnsi="Times New Roman"/>
                <w:highlight w:val="none"/>
                <w:lang w:val="en-US" w:eastAsia="zh-CN"/>
              </w:rPr>
              <w:t>1.区疾控中心规范化建设：优化</w:t>
            </w:r>
            <w:r>
              <w:rPr>
                <w:rFonts w:hint="eastAsia" w:ascii="Times New Roman" w:hAnsi="Times New Roman"/>
                <w:highlight w:val="none"/>
              </w:rPr>
              <w:t>基本用房</w:t>
            </w:r>
            <w:r>
              <w:rPr>
                <w:rFonts w:hint="eastAsia" w:ascii="Times New Roman" w:hAnsi="Times New Roman"/>
                <w:highlight w:val="none"/>
                <w:lang w:eastAsia="zh-CN"/>
              </w:rPr>
              <w:t>面积，提升</w:t>
            </w:r>
            <w:r>
              <w:rPr>
                <w:rFonts w:hint="eastAsia" w:ascii="Times New Roman" w:hAnsi="Times New Roman"/>
                <w:highlight w:val="none"/>
              </w:rPr>
              <w:t>实验室A类设备配备率</w:t>
            </w:r>
            <w:r>
              <w:rPr>
                <w:rFonts w:hint="eastAsia" w:ascii="Times New Roman" w:hAnsi="Times New Roman"/>
                <w:highlight w:val="none"/>
                <w:lang w:eastAsia="zh-CN"/>
              </w:rPr>
              <w:t>，夯实硬件基础设施</w:t>
            </w:r>
            <w:r>
              <w:rPr>
                <w:rFonts w:hint="eastAsia" w:ascii="Times New Roman" w:hAnsi="Times New Roman"/>
                <w:highlight w:val="none"/>
              </w:rPr>
              <w:t>。</w:t>
            </w:r>
          </w:p>
        </w:tc>
      </w:tr>
      <w:tr w14:paraId="2FE0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AA2E456">
            <w:pPr>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val="en-US" w:eastAsia="zh-CN"/>
              </w:rPr>
              <w:t>2.院前急救能力提升：畅通院前院内绿色通道，推行急诊急救一体化建设，强化院前院内救治衔接，实现上车即入院。</w:t>
            </w:r>
          </w:p>
        </w:tc>
      </w:tr>
      <w:bookmarkEnd w:id="130"/>
      <w:bookmarkEnd w:id="131"/>
      <w:bookmarkEnd w:id="132"/>
      <w:bookmarkEnd w:id="133"/>
    </w:tbl>
    <w:p w14:paraId="5C6085CF">
      <w:pPr>
        <w:pStyle w:val="5"/>
        <w:pageBreakBefore w:val="0"/>
        <w:kinsoku/>
        <w:wordWrap/>
        <w:overflowPunct/>
        <w:topLinePunct w:val="0"/>
        <w:autoSpaceDE/>
        <w:autoSpaceDN/>
        <w:bidi w:val="0"/>
        <w:adjustRightInd/>
        <w:snapToGrid/>
        <w:spacing w:beforeLines="0" w:afterLines="0" w:line="560" w:lineRule="exact"/>
        <w:ind w:left="0" w:leftChars="0"/>
        <w:jc w:val="both"/>
        <w:textAlignment w:val="auto"/>
        <w:outlineLvl w:val="1"/>
        <w:rPr>
          <w:rFonts w:hint="eastAsia" w:ascii="楷体_GB2312" w:hAnsi="楷体_GB2312" w:eastAsia="楷体_GB2312" w:cs="楷体_GB2312"/>
          <w:color w:val="auto"/>
          <w:highlight w:val="none"/>
          <w:lang w:val="en-US" w:eastAsia="zh-CN"/>
        </w:rPr>
      </w:pPr>
      <w:bookmarkStart w:id="150" w:name="_Toc23914"/>
      <w:bookmarkStart w:id="151" w:name="_Toc243431500"/>
      <w:bookmarkStart w:id="152" w:name="_Toc3491"/>
      <w:bookmarkStart w:id="153" w:name="_Toc1259354028"/>
      <w:bookmarkStart w:id="154" w:name="_Toc1939989992"/>
      <w:bookmarkStart w:id="155" w:name="_Toc1022970377"/>
      <w:bookmarkStart w:id="156" w:name="_Toc961057105"/>
      <w:bookmarkStart w:id="157" w:name="_Toc481"/>
      <w:r>
        <w:rPr>
          <w:rFonts w:hint="eastAsia" w:ascii="楷体_GB2312" w:hAnsi="楷体_GB2312" w:eastAsia="楷体_GB2312" w:cs="楷体_GB2312"/>
          <w:color w:val="auto"/>
          <w:highlight w:val="none"/>
          <w:lang w:val="en-US" w:eastAsia="zh-CN"/>
        </w:rPr>
        <w:t>（四）固本强基，夯实规范便捷的社区卫生服务体系</w:t>
      </w:r>
      <w:bookmarkEnd w:id="150"/>
      <w:bookmarkEnd w:id="151"/>
      <w:bookmarkEnd w:id="152"/>
      <w:bookmarkEnd w:id="153"/>
      <w:bookmarkEnd w:id="154"/>
      <w:bookmarkEnd w:id="155"/>
      <w:bookmarkEnd w:id="156"/>
      <w:bookmarkEnd w:id="157"/>
    </w:p>
    <w:p w14:paraId="1FB8C461">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eastAsia" w:ascii="Times New Roman" w:hAnsi="Times New Roman" w:cs="宋体"/>
          <w:highlight w:val="none"/>
          <w:lang w:val="en-US" w:eastAsia="zh-CN"/>
        </w:rPr>
      </w:pPr>
      <w:bookmarkStart w:id="158" w:name="_Toc133031156"/>
      <w:bookmarkStart w:id="159" w:name="_Toc875303307"/>
      <w:bookmarkStart w:id="160" w:name="_Toc1202838171"/>
      <w:bookmarkStart w:id="161" w:name="_Toc4694"/>
      <w:bookmarkStart w:id="162" w:name="_Toc16386"/>
      <w:bookmarkStart w:id="163" w:name="_Toc1908164339"/>
      <w:bookmarkStart w:id="164" w:name="_Toc1388503216"/>
      <w:r>
        <w:rPr>
          <w:rFonts w:hint="eastAsia" w:ascii="Times New Roman" w:hAnsi="Times New Roman" w:cs="宋体"/>
          <w:highlight w:val="none"/>
          <w:lang w:val="en-US" w:eastAsia="zh-CN"/>
        </w:rPr>
        <w:t>1.优化社区资源布局</w:t>
      </w:r>
      <w:bookmarkEnd w:id="158"/>
      <w:bookmarkEnd w:id="159"/>
      <w:bookmarkEnd w:id="160"/>
      <w:bookmarkEnd w:id="161"/>
      <w:bookmarkEnd w:id="162"/>
      <w:bookmarkEnd w:id="163"/>
      <w:bookmarkEnd w:id="164"/>
    </w:p>
    <w:p w14:paraId="785CECDB">
      <w:pPr>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Cs w:val="32"/>
          <w:highlight w:val="none"/>
          <w:lang w:val="en-US" w:eastAsia="zh-CN" w:bidi="ar-SA"/>
        </w:rPr>
        <w:t>落实政府办医主体责任，逐步提高政府办社区卫生服务机构比例，推进五里坨、苹果园社区卫生服务中心新址投用，北辛安、衙门口社区卫生服务中心等新建项目</w:t>
      </w:r>
      <w:r>
        <w:rPr>
          <w:rFonts w:hint="eastAsia" w:ascii="Times New Roman" w:hAnsi="Times New Roman" w:cs="仿宋_GB2312"/>
          <w:color w:val="auto"/>
          <w:szCs w:val="32"/>
          <w:highlight w:val="none"/>
          <w:lang w:val="en-US" w:eastAsia="zh-CN" w:bidi="ar-SA"/>
        </w:rPr>
        <w:t>。</w:t>
      </w:r>
      <w:r>
        <w:rPr>
          <w:rFonts w:hint="eastAsia" w:ascii="Times New Roman" w:hAnsi="Times New Roman" w:eastAsia="仿宋_GB2312" w:cs="仿宋_GB2312"/>
          <w:color w:val="auto"/>
          <w:sz w:val="32"/>
          <w:szCs w:val="32"/>
          <w:highlight w:val="none"/>
          <w:lang w:val="en-US" w:eastAsia="zh-CN"/>
        </w:rPr>
        <w:t>探索创新社区卫生服务管理模式，推进按照属地管理的原则不断理顺中心和站的关系</w:t>
      </w:r>
      <w:r>
        <w:rPr>
          <w:rFonts w:hint="eastAsia" w:ascii="Times New Roman" w:hAnsi="Times New Roman" w:cs="仿宋_GB2312"/>
          <w:color w:val="auto"/>
          <w:sz w:val="32"/>
          <w:szCs w:val="32"/>
          <w:highlight w:val="none"/>
          <w:lang w:val="en-US" w:eastAsia="zh-CN"/>
        </w:rPr>
        <w:t>。持续开展“优质服务基层行”活动，</w:t>
      </w:r>
      <w:r>
        <w:rPr>
          <w:rFonts w:hint="eastAsia" w:ascii="Times New Roman" w:hAnsi="Times New Roman" w:cs="仿宋_GB2312"/>
          <w:color w:val="auto"/>
          <w:szCs w:val="32"/>
          <w:highlight w:val="none"/>
          <w:lang w:val="en-US" w:eastAsia="zh-CN" w:bidi="ar-SA"/>
        </w:rPr>
        <w:t>优化15分钟基本医疗卫生服务圈，</w:t>
      </w:r>
      <w:r>
        <w:rPr>
          <w:rFonts w:hint="eastAsia" w:ascii="Times New Roman" w:hAnsi="Times New Roman" w:cs="仿宋_GB2312"/>
          <w:color w:val="auto"/>
          <w:sz w:val="32"/>
          <w:szCs w:val="32"/>
          <w:highlight w:val="none"/>
          <w:lang w:val="en-US" w:eastAsia="zh-CN"/>
        </w:rPr>
        <w:t>落实基层提供</w:t>
      </w:r>
      <w:r>
        <w:rPr>
          <w:rFonts w:hint="eastAsia" w:ascii="Times New Roman" w:hAnsi="Times New Roman" w:cs="仿宋_GB2312"/>
          <w:color w:val="auto"/>
          <w:szCs w:val="32"/>
          <w:highlight w:val="none"/>
        </w:rPr>
        <w:t>常见病诊疗和慢性病管理</w:t>
      </w:r>
      <w:r>
        <w:rPr>
          <w:rFonts w:hint="eastAsia" w:ascii="Times New Roman" w:hAnsi="Times New Roman" w:cs="仿宋_GB2312"/>
          <w:color w:val="auto"/>
          <w:szCs w:val="32"/>
          <w:highlight w:val="none"/>
          <w:lang w:eastAsia="zh-CN"/>
        </w:rPr>
        <w:t>服务功能定位。</w:t>
      </w:r>
    </w:p>
    <w:p w14:paraId="4F11A6E2">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default" w:ascii="Times New Roman" w:hAnsi="Times New Roman" w:cs="宋体"/>
          <w:highlight w:val="none"/>
          <w:lang w:val="en-US" w:eastAsia="zh-CN"/>
        </w:rPr>
      </w:pPr>
      <w:bookmarkStart w:id="165" w:name="_Toc392552073"/>
      <w:bookmarkStart w:id="166" w:name="_Toc55270507"/>
      <w:bookmarkStart w:id="167" w:name="_Toc1530881819"/>
      <w:bookmarkStart w:id="168" w:name="_Toc1275788105"/>
      <w:bookmarkStart w:id="169" w:name="_Toc743025631"/>
      <w:bookmarkStart w:id="170" w:name="_Toc16307"/>
      <w:bookmarkStart w:id="171" w:name="_Toc16471"/>
      <w:r>
        <w:rPr>
          <w:rFonts w:hint="eastAsia" w:ascii="Times New Roman" w:hAnsi="Times New Roman" w:cs="宋体"/>
          <w:highlight w:val="none"/>
          <w:lang w:val="en-US" w:eastAsia="zh-CN"/>
        </w:rPr>
        <w:t>2.拓展提升服务能力</w:t>
      </w:r>
      <w:bookmarkEnd w:id="165"/>
      <w:bookmarkEnd w:id="166"/>
      <w:bookmarkEnd w:id="167"/>
      <w:bookmarkEnd w:id="168"/>
    </w:p>
    <w:p w14:paraId="25E7D549">
      <w:pPr>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cs="仿宋_GB2312"/>
          <w:b w:val="0"/>
          <w:bCs w:val="0"/>
          <w:color w:val="auto"/>
          <w:sz w:val="32"/>
          <w:szCs w:val="32"/>
          <w:highlight w:val="none"/>
          <w:lang w:val="en-US" w:eastAsia="zh-CN" w:bidi="ar-SA"/>
        </w:rPr>
      </w:pPr>
      <w:r>
        <w:rPr>
          <w:rFonts w:hint="eastAsia" w:ascii="Times New Roman" w:hAnsi="Times New Roman"/>
          <w:color w:val="auto"/>
          <w:highlight w:val="none"/>
          <w:lang w:val="en-US" w:eastAsia="zh-CN"/>
        </w:rPr>
        <w:t>优化基本公共卫生服务经费人均财政补助标准，优化服务项目，提升慢病健康管理水平。</w:t>
      </w:r>
      <w:r>
        <w:rPr>
          <w:rFonts w:hint="eastAsia" w:ascii="Times New Roman" w:hAnsi="Times New Roman"/>
          <w:color w:val="auto"/>
          <w:highlight w:val="none"/>
          <w:lang w:bidi="ar"/>
        </w:rPr>
        <w:t>加强特色科室建设，提升专病专科服务能力和老年人群多病共防共治能力。</w:t>
      </w:r>
      <w:r>
        <w:rPr>
          <w:rFonts w:hint="eastAsia" w:ascii="Times New Roman" w:hAnsi="Times New Roman"/>
          <w:color w:val="auto"/>
          <w:highlight w:val="none"/>
          <w:lang w:val="en-US" w:eastAsia="zh-CN"/>
        </w:rPr>
        <w:t>支持上级医院专科医生在社区设立工作室，推广适宜新技术、新项目。加强数智化赋能，推进医学人工智能辅助诊断等场景应用，提高医务人员诊疗效率。</w:t>
      </w:r>
    </w:p>
    <w:p w14:paraId="205CCB5E">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default" w:ascii="Times New Roman" w:hAnsi="Times New Roman" w:cs="宋体"/>
          <w:highlight w:val="none"/>
          <w:lang w:val="en-US" w:eastAsia="zh-CN"/>
        </w:rPr>
      </w:pPr>
      <w:bookmarkStart w:id="172" w:name="_Toc173212123"/>
      <w:bookmarkStart w:id="173" w:name="_Toc179756086"/>
      <w:bookmarkStart w:id="174" w:name="_Toc1635883300"/>
      <w:bookmarkStart w:id="175" w:name="_Toc1515831657"/>
      <w:bookmarkStart w:id="176" w:name="OLE_LINK1"/>
      <w:r>
        <w:rPr>
          <w:rFonts w:hint="eastAsia" w:ascii="Times New Roman" w:hAnsi="Times New Roman" w:cs="宋体"/>
          <w:highlight w:val="none"/>
          <w:lang w:val="en-US" w:eastAsia="zh-CN"/>
        </w:rPr>
        <w:t>3.</w:t>
      </w:r>
      <w:r>
        <w:rPr>
          <w:rFonts w:hint="default" w:ascii="Times New Roman" w:hAnsi="Times New Roman" w:cs="宋体"/>
          <w:highlight w:val="none"/>
          <w:lang w:val="en-US" w:eastAsia="zh-CN"/>
        </w:rPr>
        <w:t>深化家医签约服务内涵</w:t>
      </w:r>
      <w:bookmarkEnd w:id="169"/>
      <w:bookmarkEnd w:id="170"/>
      <w:bookmarkEnd w:id="172"/>
      <w:bookmarkEnd w:id="173"/>
      <w:bookmarkEnd w:id="174"/>
      <w:bookmarkEnd w:id="175"/>
    </w:p>
    <w:bookmarkEnd w:id="176"/>
    <w:p w14:paraId="1F373649">
      <w:pPr>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rPr>
        <w:t>推进家庭医生签约服务高质量发展</w:t>
      </w:r>
      <w:r>
        <w:rPr>
          <w:rFonts w:hint="eastAsia" w:ascii="Times New Roman" w:hAnsi="Times New Roman"/>
          <w:color w:val="auto"/>
          <w:highlight w:val="none"/>
          <w:lang w:val="en-US" w:eastAsia="zh-CN"/>
        </w:rPr>
        <w:t>，推广“全专结合”服务模式，</w:t>
      </w:r>
      <w:r>
        <w:rPr>
          <w:rFonts w:hint="eastAsia" w:ascii="Times New Roman" w:hAnsi="Times New Roman" w:eastAsia="仿宋_GB2312" w:cs="仿宋_GB2312"/>
          <w:color w:val="auto"/>
          <w:sz w:val="32"/>
          <w:szCs w:val="32"/>
          <w:highlight w:val="none"/>
          <w:lang w:val="en-US" w:eastAsia="zh-CN" w:bidi="ar-SA"/>
        </w:rPr>
        <w:t>打造医社协同的社区网格化管理。</w:t>
      </w:r>
      <w:r>
        <w:rPr>
          <w:rFonts w:hint="eastAsia" w:ascii="Times New Roman" w:hAnsi="Times New Roman" w:cs="仿宋_GB2312"/>
          <w:color w:val="auto"/>
          <w:sz w:val="32"/>
          <w:szCs w:val="32"/>
          <w:highlight w:val="none"/>
          <w:lang w:val="en-US" w:eastAsia="zh-CN" w:bidi="ar-SA"/>
        </w:rPr>
        <w:t>做实重点人群签约服务</w:t>
      </w:r>
      <w:r>
        <w:rPr>
          <w:rFonts w:hint="eastAsia" w:ascii="Times New Roman" w:hAnsi="Times New Roman"/>
          <w:color w:val="auto"/>
          <w:highlight w:val="none"/>
          <w:lang w:val="en-US" w:eastAsia="zh-CN"/>
        </w:rPr>
        <w:t>，强化孕产妇、0—6岁儿童、65岁及以上老年人以及高血压、2型糖尿病、慢阻肺病患者等重点人群系统连续服务，加强基层多病共防、多病共管和医防融合。增强签约服务精准度，</w:t>
      </w:r>
      <w:r>
        <w:rPr>
          <w:rFonts w:hint="eastAsia" w:ascii="Times New Roman" w:hAnsi="Times New Roman" w:cs="仿宋_GB2312"/>
          <w:color w:val="auto"/>
          <w:sz w:val="32"/>
          <w:szCs w:val="32"/>
          <w:highlight w:val="none"/>
          <w:lang w:val="en-US" w:eastAsia="zh-CN" w:bidi="ar-SA"/>
        </w:rPr>
        <w:t>优化</w:t>
      </w:r>
      <w:r>
        <w:rPr>
          <w:rFonts w:hint="eastAsia" w:ascii="Times New Roman" w:hAnsi="Times New Roman" w:eastAsia="仿宋_GB2312" w:cs="仿宋_GB2312"/>
          <w:color w:val="auto"/>
          <w:sz w:val="32"/>
          <w:szCs w:val="32"/>
          <w:highlight w:val="none"/>
          <w:lang w:val="en-US" w:eastAsia="zh-CN" w:bidi="ar-SA"/>
        </w:rPr>
        <w:t>拓展特色服务包清单</w:t>
      </w:r>
      <w:r>
        <w:rPr>
          <w:rFonts w:hint="eastAsia" w:ascii="Times New Roman" w:hAnsi="Times New Roman"/>
          <w:color w:val="auto"/>
          <w:highlight w:val="none"/>
          <w:lang w:val="en-US" w:eastAsia="zh-CN"/>
        </w:rPr>
        <w:t>。建立签约服务质量评价体系，强化结果应用。</w:t>
      </w:r>
    </w:p>
    <w:p w14:paraId="063BE127">
      <w:pPr>
        <w:pStyle w:val="6"/>
        <w:pageBreakBefore w:val="0"/>
        <w:widowControl w:val="0"/>
        <w:kinsoku/>
        <w:wordWrap/>
        <w:overflowPunct/>
        <w:topLinePunct w:val="0"/>
        <w:autoSpaceDE/>
        <w:autoSpaceDN/>
        <w:bidi w:val="0"/>
        <w:adjustRightInd/>
        <w:snapToGrid/>
        <w:spacing w:before="0" w:after="0"/>
        <w:ind w:firstLine="880"/>
        <w:textAlignment w:val="auto"/>
        <w:outlineLvl w:val="2"/>
        <w:rPr>
          <w:rFonts w:hint="default" w:ascii="Times New Roman" w:hAnsi="Times New Roman" w:cs="宋体"/>
          <w:highlight w:val="none"/>
          <w:lang w:val="en-US" w:eastAsia="zh-CN"/>
        </w:rPr>
      </w:pPr>
      <w:bookmarkStart w:id="177" w:name="_Toc533522088"/>
      <w:bookmarkStart w:id="178" w:name="_Toc653257129"/>
      <w:bookmarkStart w:id="179" w:name="_Toc1396642411"/>
      <w:bookmarkStart w:id="180" w:name="_Toc1218807127"/>
      <w:bookmarkStart w:id="181" w:name="_Toc18329"/>
      <w:bookmarkStart w:id="182" w:name="_Toc639096859"/>
      <w:r>
        <w:rPr>
          <w:rFonts w:hint="eastAsia" w:ascii="Times New Roman" w:hAnsi="Times New Roman" w:cs="宋体"/>
          <w:highlight w:val="none"/>
          <w:lang w:val="en-US" w:eastAsia="zh-CN"/>
        </w:rPr>
        <w:t>4.夯实社区人才根基</w:t>
      </w:r>
      <w:bookmarkEnd w:id="177"/>
      <w:bookmarkEnd w:id="178"/>
      <w:bookmarkEnd w:id="179"/>
      <w:bookmarkEnd w:id="180"/>
    </w:p>
    <w:p w14:paraId="19EDE82B">
      <w:pPr>
        <w:pageBreakBefore w:val="0"/>
        <w:widowControl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Theme="minorAscii" w:hAnsiTheme="minorAscii"/>
          <w:color w:val="auto"/>
          <w:highlight w:val="none"/>
          <w:lang w:val="en-US" w:eastAsia="zh-CN"/>
        </w:rPr>
      </w:pPr>
      <w:r>
        <w:rPr>
          <w:rFonts w:hint="default" w:eastAsia="仿宋_GB2312" w:asciiTheme="minorAscii" w:hAnsiTheme="minorAscii"/>
          <w:color w:val="auto"/>
          <w:highlight w:val="none"/>
          <w:lang w:bidi="ar"/>
        </w:rPr>
        <w:t>依托紧密型城市医疗集团，</w:t>
      </w:r>
      <w:bookmarkEnd w:id="181"/>
      <w:bookmarkEnd w:id="182"/>
      <w:bookmarkStart w:id="183" w:name="OLE_LINK27"/>
      <w:r>
        <w:rPr>
          <w:rFonts w:hint="eastAsia" w:eastAsia="仿宋_GB2312" w:asciiTheme="minorAscii" w:hAnsiTheme="minorAscii" w:cstheme="minorBidi"/>
          <w:i w:val="0"/>
          <w:iCs w:val="0"/>
          <w:caps w:val="0"/>
          <w:color w:val="auto"/>
          <w:spacing w:val="0"/>
          <w:kern w:val="2"/>
          <w:sz w:val="32"/>
          <w:szCs w:val="24"/>
          <w:highlight w:val="none"/>
          <w:shd w:val="clear"/>
          <w:lang w:val="en-US" w:eastAsia="zh-CN" w:bidi="ar"/>
        </w:rPr>
        <w:t>推动以人员为核心的资源下沉基层，</w:t>
      </w:r>
      <w:r>
        <w:rPr>
          <w:rFonts w:hint="eastAsia" w:asciiTheme="minorAscii" w:hAnsiTheme="minorAscii" w:cstheme="minorBidi"/>
          <w:i w:val="0"/>
          <w:iCs w:val="0"/>
          <w:caps w:val="0"/>
          <w:color w:val="auto"/>
          <w:spacing w:val="0"/>
          <w:kern w:val="2"/>
          <w:sz w:val="32"/>
          <w:szCs w:val="24"/>
          <w:highlight w:val="none"/>
          <w:shd w:val="clear"/>
          <w:lang w:val="en-US" w:eastAsia="zh-CN" w:bidi="ar"/>
        </w:rPr>
        <w:t>健全长效帮扶机制，</w:t>
      </w:r>
      <w:r>
        <w:rPr>
          <w:rFonts w:hint="eastAsia" w:eastAsia="仿宋_GB2312" w:asciiTheme="minorAscii" w:hAnsiTheme="minorAscii" w:cstheme="minorBidi"/>
          <w:i w:val="0"/>
          <w:iCs w:val="0"/>
          <w:caps w:val="0"/>
          <w:color w:val="auto"/>
          <w:spacing w:val="0"/>
          <w:kern w:val="2"/>
          <w:sz w:val="32"/>
          <w:szCs w:val="24"/>
          <w:highlight w:val="none"/>
          <w:shd w:val="clear"/>
          <w:lang w:val="en-US" w:eastAsia="zh-CN" w:bidi="ar"/>
        </w:rPr>
        <w:t>实现各社区卫生服务中心均有上级医院中高级职称医师派驻</w:t>
      </w:r>
      <w:r>
        <w:rPr>
          <w:rFonts w:hint="eastAsia" w:asciiTheme="minorAscii" w:hAnsiTheme="minorAscii" w:cstheme="minorBidi"/>
          <w:i w:val="0"/>
          <w:iCs w:val="0"/>
          <w:caps w:val="0"/>
          <w:color w:val="auto"/>
          <w:spacing w:val="0"/>
          <w:kern w:val="2"/>
          <w:sz w:val="32"/>
          <w:szCs w:val="24"/>
          <w:highlight w:val="none"/>
          <w:shd w:val="clear"/>
          <w:lang w:val="en-US" w:eastAsia="zh-CN" w:bidi="ar"/>
        </w:rPr>
        <w:t>，全面开展</w:t>
      </w:r>
      <w:r>
        <w:rPr>
          <w:rFonts w:hint="eastAsia" w:asciiTheme="minorAscii" w:hAnsiTheme="minorAscii"/>
          <w:color w:val="auto"/>
          <w:highlight w:val="none"/>
          <w:lang w:val="en-US" w:eastAsia="zh-CN"/>
        </w:rPr>
        <w:t>“专家驻点”模式</w:t>
      </w:r>
      <w:r>
        <w:rPr>
          <w:rFonts w:hint="eastAsia" w:asciiTheme="minorAscii" w:hAnsiTheme="minorAscii" w:cstheme="minorBidi"/>
          <w:i w:val="0"/>
          <w:iCs w:val="0"/>
          <w:caps w:val="0"/>
          <w:color w:val="auto"/>
          <w:spacing w:val="0"/>
          <w:kern w:val="2"/>
          <w:sz w:val="32"/>
          <w:szCs w:val="24"/>
          <w:highlight w:val="none"/>
          <w:shd w:val="clear"/>
          <w:lang w:val="en-US" w:eastAsia="zh-CN" w:bidi="ar"/>
        </w:rPr>
        <w:t>。</w:t>
      </w:r>
      <w:r>
        <w:rPr>
          <w:rFonts w:hint="eastAsia" w:asciiTheme="minorAscii" w:hAnsiTheme="minorAscii"/>
          <w:color w:val="auto"/>
          <w:highlight w:val="none"/>
          <w:lang w:val="en-US" w:eastAsia="zh-CN"/>
        </w:rPr>
        <w:t>健全社区卫生人才培养培训体系，开展卫生技术人员岗位练兵活动，提升专业技术水平与职称层次。</w:t>
      </w:r>
      <w:bookmarkEnd w:id="183"/>
      <w:r>
        <w:rPr>
          <w:rFonts w:hint="eastAsia" w:asciiTheme="minorAscii" w:hAnsiTheme="minorAscii"/>
          <w:color w:val="auto"/>
          <w:highlight w:val="none"/>
          <w:lang w:val="en-US" w:eastAsia="zh-CN"/>
        </w:rPr>
        <w:t>推动政府办社区卫生服务机构落实“两个允许”政策，激发</w:t>
      </w:r>
      <w:r>
        <w:rPr>
          <w:rFonts w:hint="eastAsia"/>
          <w:color w:val="auto"/>
          <w:highlight w:val="none"/>
          <w:lang w:val="en-US" w:eastAsia="zh-CN"/>
        </w:rPr>
        <w:t>内生</w:t>
      </w:r>
      <w:r>
        <w:rPr>
          <w:rFonts w:hint="eastAsia" w:asciiTheme="minorAscii" w:hAnsiTheme="minorAscii"/>
          <w:color w:val="auto"/>
          <w:highlight w:val="none"/>
          <w:lang w:val="en-US" w:eastAsia="zh-CN"/>
        </w:rPr>
        <w:t>动力。</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865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21E66C1">
            <w:pPr>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eastAsia="zh-CN"/>
              </w:rPr>
              <w:t>专栏</w:t>
            </w:r>
            <w:r>
              <w:rPr>
                <w:rFonts w:hint="eastAsia" w:ascii="Times New Roman" w:hAnsi="Times New Roman"/>
                <w:color w:val="auto"/>
                <w:highlight w:val="none"/>
                <w:vertAlign w:val="baseline"/>
                <w:lang w:val="en-US" w:eastAsia="zh-CN"/>
              </w:rPr>
              <w:t>4  强基工程建设专项</w:t>
            </w:r>
          </w:p>
        </w:tc>
      </w:tr>
      <w:tr w14:paraId="6048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2AE5EB54">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olor w:val="auto"/>
                <w:highlight w:val="none"/>
                <w:vertAlign w:val="baseline"/>
                <w:lang w:val="en-US" w:eastAsia="zh-CN"/>
              </w:rPr>
            </w:pPr>
            <w:r>
              <w:rPr>
                <w:rFonts w:hint="eastAsia" w:ascii="Times New Roman" w:hAnsi="Times New Roman"/>
                <w:color w:val="auto"/>
                <w:highlight w:val="none"/>
                <w:vertAlign w:val="baseline"/>
                <w:lang w:val="en-US" w:eastAsia="zh-CN"/>
              </w:rPr>
              <w:t>1.专病特色科室建设：持续推进社区专病特色科室建设，</w:t>
            </w:r>
            <w:r>
              <w:rPr>
                <w:rFonts w:hint="eastAsia" w:ascii="Times New Roman" w:hAnsi="Times New Roman"/>
                <w:color w:val="auto"/>
                <w:highlight w:val="none"/>
              </w:rPr>
              <w:t>发挥三级核心医院专家“传帮带”作用，</w:t>
            </w:r>
            <w:r>
              <w:rPr>
                <w:rFonts w:hint="eastAsia" w:ascii="Times New Roman" w:hAnsi="Times New Roman"/>
                <w:color w:val="auto"/>
                <w:highlight w:val="none"/>
                <w:lang w:eastAsia="zh-CN"/>
              </w:rPr>
              <w:t>巩固</w:t>
            </w:r>
            <w:r>
              <w:rPr>
                <w:rFonts w:hint="eastAsia" w:ascii="Times New Roman" w:hAnsi="Times New Roman"/>
                <w:color w:val="auto"/>
                <w:highlight w:val="none"/>
              </w:rPr>
              <w:t>高血压、2型糖尿病、康复、记忆门诊等18个专病特色科室</w:t>
            </w:r>
            <w:r>
              <w:rPr>
                <w:rFonts w:hint="eastAsia" w:ascii="Times New Roman" w:hAnsi="Times New Roman"/>
                <w:color w:val="auto"/>
                <w:highlight w:val="none"/>
                <w:lang w:eastAsia="zh-CN"/>
              </w:rPr>
              <w:t>建设成果，扩大覆盖机构范围</w:t>
            </w:r>
            <w:r>
              <w:rPr>
                <w:rFonts w:hint="eastAsia" w:ascii="Times New Roman" w:hAnsi="Times New Roman"/>
                <w:color w:val="auto"/>
                <w:highlight w:val="none"/>
              </w:rPr>
              <w:t>。</w:t>
            </w:r>
          </w:p>
        </w:tc>
      </w:tr>
      <w:tr w14:paraId="12E3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4E81B842">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val="en-US" w:eastAsia="zh-CN"/>
              </w:rPr>
              <w:t>2.家庭医生健康管理中心建设：</w:t>
            </w:r>
            <w:r>
              <w:rPr>
                <w:rFonts w:hint="eastAsia" w:ascii="Times New Roman" w:hAnsi="Times New Roman"/>
                <w:color w:val="auto"/>
                <w:highlight w:val="none"/>
              </w:rPr>
              <w:t>依托</w:t>
            </w:r>
            <w:r>
              <w:rPr>
                <w:rFonts w:hint="eastAsia" w:ascii="Times New Roman" w:hAnsi="Times New Roman"/>
                <w:color w:val="auto"/>
                <w:highlight w:val="none"/>
                <w:lang w:val="en-US" w:eastAsia="zh-CN"/>
              </w:rPr>
              <w:t>家庭医生</w:t>
            </w:r>
            <w:r>
              <w:rPr>
                <w:rFonts w:hint="eastAsia" w:ascii="Times New Roman" w:hAnsi="Times New Roman"/>
                <w:color w:val="auto"/>
                <w:highlight w:val="none"/>
              </w:rPr>
              <w:t>健康管理中心数智化建设</w:t>
            </w:r>
            <w:r>
              <w:rPr>
                <w:rFonts w:hint="eastAsia" w:ascii="Times New Roman" w:hAnsi="Times New Roman"/>
                <w:color w:val="auto"/>
                <w:highlight w:val="none"/>
                <w:lang w:eastAsia="zh-CN"/>
              </w:rPr>
              <w:t>，提高</w:t>
            </w:r>
            <w:r>
              <w:rPr>
                <w:rFonts w:hint="eastAsia" w:ascii="Times New Roman" w:hAnsi="Times New Roman"/>
                <w:color w:val="auto"/>
                <w:highlight w:val="none"/>
              </w:rPr>
              <w:t>家庭医生管理服务的精准化、智能化水平，推动服务从基本医疗、慢性病管理向全生命周期健康服务拓展</w:t>
            </w:r>
            <w:r>
              <w:rPr>
                <w:rFonts w:hint="eastAsia" w:ascii="Times New Roman" w:hAnsi="Times New Roman"/>
                <w:color w:val="auto"/>
                <w:highlight w:val="none"/>
                <w:lang w:eastAsia="zh-CN"/>
              </w:rPr>
              <w:t>。</w:t>
            </w:r>
          </w:p>
        </w:tc>
      </w:tr>
      <w:tr w14:paraId="50B1D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trPr>
        <w:tc>
          <w:tcPr>
            <w:tcW w:w="8522" w:type="dxa"/>
            <w:vAlign w:val="top"/>
          </w:tcPr>
          <w:p w14:paraId="5E82DF71">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val="en-US" w:eastAsia="zh-CN"/>
              </w:rPr>
              <w:t>3.强化人才队伍梯队：通过开展“全专结合”家庭医生团队工作模式，实践促学，带动人员能力提升，</w:t>
            </w:r>
            <w:r>
              <w:rPr>
                <w:rFonts w:hint="eastAsia" w:ascii="Times New Roman" w:hAnsi="Times New Roman" w:eastAsia="仿宋_GB2312" w:cstheme="minorBidi"/>
                <w:i w:val="0"/>
                <w:iCs w:val="0"/>
                <w:caps w:val="0"/>
                <w:color w:val="auto"/>
                <w:spacing w:val="0"/>
                <w:kern w:val="2"/>
                <w:sz w:val="32"/>
                <w:szCs w:val="24"/>
                <w:highlight w:val="none"/>
                <w:shd w:val="clear"/>
                <w:lang w:val="en-US" w:eastAsia="zh-CN" w:bidi="ar"/>
              </w:rPr>
              <w:t>加强全科医生、薄弱学科和紧缺专业人才、公共卫生医师培养培训，发展壮大护士、康复人才队伍</w:t>
            </w:r>
            <w:r>
              <w:rPr>
                <w:rFonts w:hint="eastAsia" w:ascii="Times New Roman" w:hAnsi="Times New Roman"/>
                <w:color w:val="auto"/>
                <w:highlight w:val="none"/>
                <w:vertAlign w:val="baseline"/>
                <w:lang w:val="en-US" w:eastAsia="zh-CN"/>
              </w:rPr>
              <w:t>，</w:t>
            </w:r>
            <w:r>
              <w:rPr>
                <w:rFonts w:hint="eastAsia" w:cstheme="minorBidi"/>
                <w:i w:val="0"/>
                <w:iCs w:val="0"/>
                <w:caps w:val="0"/>
                <w:color w:val="auto"/>
                <w:spacing w:val="0"/>
                <w:kern w:val="2"/>
                <w:sz w:val="32"/>
                <w:szCs w:val="24"/>
                <w:highlight w:val="none"/>
                <w:shd w:val="clear"/>
                <w:lang w:val="en-US" w:eastAsia="zh-CN" w:bidi="ar"/>
              </w:rPr>
              <w:t>支持“银龄”医务人员服务社区。</w:t>
            </w:r>
          </w:p>
        </w:tc>
      </w:tr>
      <w:tr w14:paraId="5EF43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9D4A3C1">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val="en-US" w:eastAsia="zh-CN"/>
              </w:rPr>
              <w:t>4.增强药事管理能力：</w:t>
            </w:r>
            <w:r>
              <w:rPr>
                <w:rFonts w:hint="eastAsia" w:ascii="Times New Roman" w:hAnsi="Times New Roman"/>
                <w:color w:val="auto"/>
                <w:highlight w:val="none"/>
                <w:lang w:bidi="ar"/>
              </w:rPr>
              <w:t>健全用药衔接联动机制，加强基层药品保障，</w:t>
            </w:r>
            <w:r>
              <w:rPr>
                <w:rFonts w:hint="eastAsia" w:ascii="Times New Roman" w:hAnsi="Times New Roman"/>
                <w:color w:val="auto"/>
                <w:highlight w:val="none"/>
                <w:lang w:eastAsia="zh-CN" w:bidi="ar"/>
              </w:rPr>
              <w:t>合理增加药品品种配备，提高用药连续性，提升</w:t>
            </w:r>
            <w:r>
              <w:rPr>
                <w:rFonts w:hint="eastAsia" w:ascii="Times New Roman" w:hAnsi="Times New Roman"/>
                <w:color w:val="auto"/>
                <w:highlight w:val="none"/>
                <w:lang w:bidi="ar"/>
              </w:rPr>
              <w:t>药学服务能力</w:t>
            </w:r>
            <w:r>
              <w:rPr>
                <w:rFonts w:hint="eastAsia" w:ascii="Times New Roman" w:hAnsi="Times New Roman"/>
                <w:color w:val="auto"/>
                <w:highlight w:val="none"/>
                <w:lang w:eastAsia="zh-CN" w:bidi="ar"/>
              </w:rPr>
              <w:t>。</w:t>
            </w:r>
          </w:p>
        </w:tc>
      </w:tr>
      <w:bookmarkEnd w:id="171"/>
    </w:tbl>
    <w:p w14:paraId="35578C65">
      <w:pPr>
        <w:pStyle w:val="5"/>
        <w:pageBreakBefore w:val="0"/>
        <w:kinsoku/>
        <w:wordWrap/>
        <w:overflowPunct/>
        <w:topLinePunct w:val="0"/>
        <w:autoSpaceDE/>
        <w:autoSpaceDN/>
        <w:bidi w:val="0"/>
        <w:adjustRightInd/>
        <w:snapToGrid/>
        <w:spacing w:beforeLines="0" w:afterLines="0" w:line="560" w:lineRule="exact"/>
        <w:ind w:left="0" w:leftChars="0"/>
        <w:jc w:val="both"/>
        <w:textAlignment w:val="auto"/>
        <w:outlineLvl w:val="1"/>
        <w:rPr>
          <w:rFonts w:hint="eastAsia" w:ascii="楷体_GB2312" w:hAnsi="楷体_GB2312" w:eastAsia="楷体_GB2312" w:cs="楷体_GB2312"/>
          <w:color w:val="auto"/>
          <w:highlight w:val="none"/>
          <w:lang w:val="en-US" w:eastAsia="zh-CN"/>
        </w:rPr>
      </w:pPr>
      <w:bookmarkStart w:id="184" w:name="_Toc9066"/>
      <w:bookmarkStart w:id="185" w:name="_Toc728642430"/>
      <w:bookmarkStart w:id="186" w:name="_Toc212991741"/>
      <w:bookmarkStart w:id="187" w:name="_Toc1719622893"/>
      <w:bookmarkStart w:id="188" w:name="_Toc798826406"/>
      <w:bookmarkStart w:id="189" w:name="_Toc2624"/>
      <w:bookmarkStart w:id="190" w:name="_Toc797213301"/>
      <w:bookmarkStart w:id="191" w:name="_Toc30291"/>
      <w:r>
        <w:rPr>
          <w:rFonts w:hint="eastAsia" w:ascii="楷体_GB2312" w:hAnsi="楷体_GB2312" w:eastAsia="楷体_GB2312" w:cs="楷体_GB2312"/>
          <w:color w:val="auto"/>
          <w:highlight w:val="none"/>
          <w:lang w:val="en-US" w:eastAsia="zh-CN"/>
        </w:rPr>
        <w:t>（五）协同赋能，做强传承创新中医药服务体系</w:t>
      </w:r>
      <w:bookmarkEnd w:id="184"/>
      <w:bookmarkEnd w:id="185"/>
      <w:bookmarkEnd w:id="186"/>
      <w:bookmarkEnd w:id="187"/>
      <w:bookmarkEnd w:id="188"/>
      <w:bookmarkEnd w:id="189"/>
      <w:bookmarkEnd w:id="190"/>
      <w:bookmarkEnd w:id="191"/>
    </w:p>
    <w:p w14:paraId="195E84F4">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192" w:name="_Toc581374835"/>
      <w:bookmarkStart w:id="193" w:name="_Toc853222131"/>
      <w:bookmarkStart w:id="194" w:name="_Toc15511"/>
      <w:bookmarkStart w:id="195" w:name="_Toc209405561"/>
      <w:bookmarkStart w:id="196" w:name="_Toc5446"/>
      <w:bookmarkStart w:id="197" w:name="_Toc172113569"/>
      <w:bookmarkStart w:id="198" w:name="_Toc1527709125"/>
      <w:bookmarkStart w:id="199" w:name="OLE_LINK8"/>
      <w:r>
        <w:rPr>
          <w:rFonts w:hint="eastAsia" w:ascii="Times New Roman" w:hAnsi="Times New Roman" w:cs="宋体"/>
          <w:highlight w:val="none"/>
          <w:lang w:val="en-US" w:eastAsia="zh-CN"/>
        </w:rPr>
        <w:t>1.完善中医药服务网络</w:t>
      </w:r>
      <w:bookmarkEnd w:id="192"/>
      <w:bookmarkEnd w:id="193"/>
      <w:bookmarkEnd w:id="194"/>
      <w:bookmarkEnd w:id="195"/>
      <w:bookmarkEnd w:id="196"/>
      <w:bookmarkEnd w:id="197"/>
      <w:bookmarkEnd w:id="198"/>
    </w:p>
    <w:p w14:paraId="2856B555">
      <w:pPr>
        <w:pageBreakBefore w:val="0"/>
        <w:kinsoku/>
        <w:wordWrap/>
        <w:overflowPunct/>
        <w:topLinePunct w:val="0"/>
        <w:autoSpaceDE/>
        <w:autoSpaceDN/>
        <w:bidi w:val="0"/>
        <w:adjustRightInd/>
        <w:snapToGrid/>
        <w:spacing w:line="560" w:lineRule="exact"/>
        <w:ind w:leftChars="0" w:firstLine="640" w:firstLineChars="200"/>
        <w:jc w:val="left"/>
        <w:textAlignment w:val="auto"/>
        <w:rPr>
          <w:rFonts w:hint="eastAsia" w:ascii="Times New Roman" w:hAnsi="Times New Roman" w:eastAsia="仿宋_GB2312" w:cs="仿宋_GB2312"/>
          <w:color w:val="auto"/>
          <w:kern w:val="0"/>
          <w:sz w:val="32"/>
          <w:szCs w:val="32"/>
          <w:highlight w:val="none"/>
          <w:lang w:val="en-US" w:eastAsia="zh-CN" w:bidi="ar-SA"/>
        </w:rPr>
      </w:pPr>
      <w:bookmarkStart w:id="200" w:name="OLE_LINK9"/>
      <w:r>
        <w:rPr>
          <w:rFonts w:hint="eastAsia" w:eastAsia="仿宋_GB2312" w:asciiTheme="minorAscii" w:hAnsiTheme="minorAscii" w:cstheme="minorBidi"/>
          <w:color w:val="auto"/>
          <w:sz w:val="32"/>
          <w:szCs w:val="24"/>
          <w:highlight w:val="none"/>
        </w:rPr>
        <w:t>健全</w:t>
      </w:r>
      <w:r>
        <w:rPr>
          <w:rFonts w:hint="eastAsia" w:cstheme="minorBidi"/>
          <w:color w:val="auto"/>
          <w:sz w:val="32"/>
          <w:szCs w:val="24"/>
          <w:highlight w:val="none"/>
          <w:lang w:eastAsia="zh-CN"/>
        </w:rPr>
        <w:t>紧密型</w:t>
      </w:r>
      <w:r>
        <w:rPr>
          <w:rFonts w:hint="eastAsia" w:eastAsia="仿宋_GB2312" w:asciiTheme="minorAscii" w:hAnsiTheme="minorAscii" w:cstheme="minorBidi"/>
          <w:color w:val="auto"/>
          <w:sz w:val="32"/>
          <w:szCs w:val="24"/>
          <w:highlight w:val="none"/>
        </w:rPr>
        <w:t>中医医联体建设，支持中医医院</w:t>
      </w:r>
      <w:r>
        <w:rPr>
          <w:rFonts w:hint="eastAsia" w:eastAsia="仿宋_GB2312" w:asciiTheme="minorAscii" w:hAnsiTheme="minorAscii" w:cstheme="minorBidi"/>
          <w:color w:val="auto"/>
          <w:sz w:val="32"/>
          <w:szCs w:val="24"/>
          <w:highlight w:val="none"/>
          <w:lang w:eastAsia="zh-CN"/>
        </w:rPr>
        <w:t>建设</w:t>
      </w:r>
      <w:r>
        <w:rPr>
          <w:rFonts w:hint="eastAsia" w:eastAsia="仿宋_GB2312" w:asciiTheme="minorAscii" w:hAnsiTheme="minorAscii" w:cstheme="minorBidi"/>
          <w:color w:val="auto"/>
          <w:sz w:val="32"/>
          <w:szCs w:val="24"/>
          <w:highlight w:val="none"/>
        </w:rPr>
        <w:t>研究型病房。完善全场景中医药服务体系，推动中医药深度融入疾病预防、慢病管控、康复护理、老年健康等领域，深入实施中医“治未病”工程。开展具有中医药特色的传承工作室</w:t>
      </w:r>
      <w:r>
        <w:rPr>
          <w:rFonts w:hint="eastAsia" w:eastAsia="仿宋_GB2312" w:asciiTheme="minorAscii" w:hAnsiTheme="minorAscii" w:cstheme="minorBidi"/>
          <w:color w:val="auto"/>
          <w:sz w:val="32"/>
          <w:szCs w:val="24"/>
          <w:highlight w:val="none"/>
          <w:lang w:eastAsia="zh-CN"/>
        </w:rPr>
        <w:t>，</w:t>
      </w:r>
      <w:r>
        <w:rPr>
          <w:rFonts w:hint="eastAsia" w:eastAsia="仿宋_GB2312" w:asciiTheme="minorAscii" w:hAnsiTheme="minorAscii" w:cstheme="minorBidi"/>
          <w:color w:val="auto"/>
          <w:sz w:val="32"/>
          <w:szCs w:val="24"/>
          <w:highlight w:val="none"/>
        </w:rPr>
        <w:t>推动名中医工作室优质资源下沉基层。</w:t>
      </w:r>
    </w:p>
    <w:bookmarkEnd w:id="199"/>
    <w:bookmarkEnd w:id="200"/>
    <w:p w14:paraId="4A4DD85C">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01" w:name="_Toc1581017258"/>
      <w:bookmarkStart w:id="202" w:name="_Toc382319885"/>
      <w:bookmarkStart w:id="203" w:name="_Toc868191390"/>
      <w:bookmarkStart w:id="204" w:name="_Toc854503666"/>
      <w:bookmarkStart w:id="205" w:name="_Toc446673285"/>
      <w:bookmarkStart w:id="206" w:name="_Toc8555"/>
      <w:bookmarkStart w:id="207" w:name="_Toc30992"/>
      <w:bookmarkStart w:id="208" w:name="OLE_LINK10"/>
      <w:r>
        <w:rPr>
          <w:rFonts w:hint="eastAsia" w:ascii="Times New Roman" w:hAnsi="Times New Roman" w:cs="宋体"/>
          <w:highlight w:val="none"/>
          <w:lang w:val="en-US" w:eastAsia="zh-CN"/>
        </w:rPr>
        <w:t>2.提升基层中医药服务能力</w:t>
      </w:r>
      <w:bookmarkEnd w:id="201"/>
      <w:bookmarkEnd w:id="202"/>
      <w:bookmarkEnd w:id="203"/>
      <w:bookmarkEnd w:id="204"/>
    </w:p>
    <w:p w14:paraId="2F37D862">
      <w:pPr>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olor w:val="auto"/>
          <w:highlight w:val="none"/>
          <w:lang w:val="en-US" w:eastAsia="zh-CN"/>
        </w:rPr>
      </w:pPr>
      <w:r>
        <w:rPr>
          <w:rFonts w:hint="eastAsia"/>
          <w:color w:val="auto"/>
          <w:highlight w:val="none"/>
          <w:lang w:eastAsia="zh-CN"/>
        </w:rPr>
        <w:t>加强高位统筹，</w:t>
      </w:r>
      <w:r>
        <w:rPr>
          <w:rFonts w:hint="eastAsia"/>
          <w:color w:val="auto"/>
          <w:highlight w:val="none"/>
        </w:rPr>
        <w:t>推进创建全国基层中医药工作示范市</w:t>
      </w:r>
      <w:r>
        <w:rPr>
          <w:rFonts w:hint="eastAsia"/>
          <w:color w:val="auto"/>
          <w:highlight w:val="none"/>
          <w:lang w:eastAsia="zh-CN"/>
        </w:rPr>
        <w:t>。完善中医科和中药房设置，鼓励社区卫生服务中心开设中医特色优势专科（专病）。</w:t>
      </w:r>
      <w:r>
        <w:rPr>
          <w:rFonts w:hint="eastAsia" w:eastAsia="仿宋_GB2312" w:asciiTheme="minorAscii" w:hAnsiTheme="minorAscii" w:cstheme="minorBidi"/>
          <w:color w:val="auto"/>
          <w:sz w:val="32"/>
          <w:szCs w:val="24"/>
          <w:highlight w:val="none"/>
        </w:rPr>
        <w:t>推进社区中医馆、中医阁标准化提质，推广中医适宜技术</w:t>
      </w:r>
      <w:r>
        <w:rPr>
          <w:rFonts w:hint="eastAsia" w:cstheme="minorBidi"/>
          <w:color w:val="auto"/>
          <w:sz w:val="32"/>
          <w:szCs w:val="24"/>
          <w:highlight w:val="none"/>
          <w:lang w:eastAsia="zh-CN"/>
        </w:rPr>
        <w:t>在基层的应用</w:t>
      </w:r>
      <w:r>
        <w:rPr>
          <w:rFonts w:hint="eastAsia" w:eastAsia="仿宋_GB2312" w:asciiTheme="minorAscii" w:hAnsiTheme="minorAscii" w:cstheme="minorBidi"/>
          <w:color w:val="auto"/>
          <w:sz w:val="32"/>
          <w:szCs w:val="24"/>
          <w:highlight w:val="none"/>
        </w:rPr>
        <w:t>，实现</w:t>
      </w:r>
      <w:r>
        <w:rPr>
          <w:rFonts w:hint="eastAsia" w:cstheme="minorBidi"/>
          <w:color w:val="auto"/>
          <w:sz w:val="32"/>
          <w:szCs w:val="24"/>
          <w:highlight w:val="none"/>
          <w:lang w:eastAsia="zh-CN"/>
        </w:rPr>
        <w:t>社区卫生服务中心中医症状门诊</w:t>
      </w:r>
      <w:r>
        <w:rPr>
          <w:rFonts w:hint="eastAsia" w:eastAsia="仿宋_GB2312" w:asciiTheme="minorAscii" w:hAnsiTheme="minorAscii" w:cstheme="minorBidi"/>
          <w:color w:val="auto"/>
          <w:sz w:val="32"/>
          <w:szCs w:val="24"/>
          <w:highlight w:val="none"/>
        </w:rPr>
        <w:t>全覆盖。</w:t>
      </w:r>
      <w:r>
        <w:rPr>
          <w:rFonts w:hint="eastAsia"/>
          <w:color w:val="auto"/>
          <w:highlight w:val="none"/>
          <w:lang w:eastAsia="zh-CN"/>
        </w:rPr>
        <w:t>加强社区人员配备与人才培养，开展</w:t>
      </w:r>
      <w:r>
        <w:rPr>
          <w:rFonts w:hint="eastAsia"/>
          <w:color w:val="auto"/>
          <w:highlight w:val="none"/>
        </w:rPr>
        <w:t>中医药知识和技能的培训</w:t>
      </w:r>
      <w:r>
        <w:rPr>
          <w:rFonts w:hint="eastAsia"/>
          <w:color w:val="auto"/>
          <w:highlight w:val="none"/>
          <w:lang w:eastAsia="zh-CN"/>
        </w:rPr>
        <w:t>。</w:t>
      </w:r>
    </w:p>
    <w:p w14:paraId="3EFC909D">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09" w:name="_Toc1955974135"/>
      <w:bookmarkStart w:id="210" w:name="_Toc779151155"/>
      <w:bookmarkStart w:id="211" w:name="_Toc1366927230"/>
      <w:bookmarkStart w:id="212" w:name="_Toc309997839"/>
      <w:r>
        <w:rPr>
          <w:rFonts w:hint="eastAsia" w:ascii="Times New Roman" w:hAnsi="Times New Roman" w:cs="宋体"/>
          <w:highlight w:val="none"/>
          <w:lang w:val="en-US" w:eastAsia="zh-CN"/>
        </w:rPr>
        <w:t>3.加强中医药文化传播</w:t>
      </w:r>
      <w:bookmarkEnd w:id="205"/>
      <w:bookmarkEnd w:id="206"/>
      <w:bookmarkEnd w:id="209"/>
      <w:bookmarkEnd w:id="210"/>
      <w:bookmarkEnd w:id="211"/>
      <w:bookmarkEnd w:id="212"/>
    </w:p>
    <w:bookmarkEnd w:id="207"/>
    <w:p w14:paraId="60DD21B2">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left"/>
        <w:textAlignment w:val="auto"/>
        <w:outlineLvl w:val="9"/>
        <w:rPr>
          <w:rFonts w:hint="eastAsia" w:ascii="Times New Roman" w:hAnsi="Times New Roman"/>
          <w:color w:val="auto"/>
          <w:highlight w:val="none"/>
          <w:lang w:val="en-US" w:eastAsia="zh-CN"/>
        </w:rPr>
      </w:pPr>
      <w:bookmarkStart w:id="213" w:name="OLE_LINK11"/>
      <w:r>
        <w:rPr>
          <w:rFonts w:hint="eastAsia" w:eastAsia="仿宋_GB2312" w:asciiTheme="minorAscii" w:hAnsiTheme="minorAscii" w:cstheme="minorBidi"/>
          <w:color w:val="auto"/>
          <w:sz w:val="32"/>
          <w:szCs w:val="24"/>
          <w:highlight w:val="none"/>
        </w:rPr>
        <w:t>实施中医药文化传播行动，深耕“北京·西山中医药文化季”特色品牌活动，打造覆盖学术交流、文化传承、</w:t>
      </w:r>
      <w:r>
        <w:rPr>
          <w:rFonts w:hint="eastAsia" w:eastAsia="仿宋_GB2312" w:asciiTheme="minorAscii" w:hAnsiTheme="minorAscii" w:cstheme="minorBidi"/>
          <w:color w:val="auto"/>
          <w:sz w:val="32"/>
          <w:szCs w:val="24"/>
          <w:highlight w:val="none"/>
          <w:lang w:eastAsia="zh-CN"/>
        </w:rPr>
        <w:t>医旅消费、</w:t>
      </w:r>
      <w:r>
        <w:rPr>
          <w:rFonts w:hint="eastAsia" w:eastAsia="仿宋_GB2312" w:asciiTheme="minorAscii" w:hAnsiTheme="minorAscii" w:cstheme="minorBidi"/>
          <w:color w:val="auto"/>
          <w:sz w:val="32"/>
          <w:szCs w:val="24"/>
          <w:highlight w:val="none"/>
        </w:rPr>
        <w:t>产业融合的综合性展示平台。推进中医药科普阵地建设，常态化开展健康讲座、义诊咨询等科普活动，</w:t>
      </w:r>
      <w:r>
        <w:rPr>
          <w:rFonts w:hint="eastAsia" w:cstheme="minorBidi"/>
          <w:color w:val="auto"/>
          <w:sz w:val="32"/>
          <w:szCs w:val="24"/>
          <w:highlight w:val="none"/>
          <w:lang w:eastAsia="zh-CN"/>
        </w:rPr>
        <w:t>让中医药知识浸润日常生活</w:t>
      </w:r>
      <w:r>
        <w:rPr>
          <w:rFonts w:hint="eastAsia" w:eastAsia="仿宋_GB2312" w:asciiTheme="minorAscii" w:hAnsiTheme="minorAscii" w:cstheme="minorBidi"/>
          <w:color w:val="auto"/>
          <w:sz w:val="32"/>
          <w:szCs w:val="24"/>
          <w:highlight w:val="none"/>
        </w:rPr>
        <w:t>。深度挖掘本土中医药文化底蕴，打造区域特色中医药文化IP。</w:t>
      </w:r>
    </w:p>
    <w:bookmarkEnd w:id="208"/>
    <w:bookmarkEnd w:id="213"/>
    <w:p w14:paraId="14402CE0">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14" w:name="_Toc967377658"/>
      <w:bookmarkStart w:id="215" w:name="_Toc1129628312"/>
      <w:bookmarkStart w:id="216" w:name="_Toc66437326"/>
      <w:bookmarkStart w:id="217" w:name="_Toc238605063"/>
      <w:bookmarkStart w:id="218" w:name="_Toc734173913"/>
      <w:bookmarkStart w:id="219" w:name="OLE_LINK12"/>
      <w:r>
        <w:rPr>
          <w:rFonts w:hint="eastAsia" w:ascii="Times New Roman" w:hAnsi="Times New Roman" w:cs="宋体"/>
          <w:highlight w:val="none"/>
          <w:lang w:val="en-US" w:eastAsia="zh-CN"/>
        </w:rPr>
        <w:t>4.推动中医药产业高质量发展</w:t>
      </w:r>
      <w:bookmarkEnd w:id="214"/>
      <w:bookmarkEnd w:id="215"/>
      <w:bookmarkEnd w:id="216"/>
      <w:bookmarkEnd w:id="217"/>
      <w:bookmarkEnd w:id="218"/>
    </w:p>
    <w:p w14:paraId="1C9265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color w:val="auto"/>
          <w:highlight w:val="none"/>
          <w:lang w:val="en-US" w:eastAsia="zh-CN"/>
        </w:rPr>
      </w:pPr>
      <w:r>
        <w:rPr>
          <w:rFonts w:hint="eastAsia"/>
          <w:color w:val="auto"/>
          <w:highlight w:val="none"/>
          <w:lang w:val="en-US" w:eastAsia="zh-CN"/>
        </w:rPr>
        <w:t>推动传统中药产业创新升级，支持医疗机构与中医药企业组建创新联合体，进行中药制剂、中医医疗器械及中医药大健康产品开发转化。强化中医药科技创新驱动，推动 AI 技术与中医药传承、产业制造、健康服务深度融合，支持智能四诊、智慧中药房、专病诊疗大模型等场景应用。</w:t>
      </w:r>
    </w:p>
    <w:bookmarkEnd w:id="219"/>
    <w:p w14:paraId="4CA7B516">
      <w:pPr>
        <w:pStyle w:val="5"/>
        <w:pageBreakBefore w:val="0"/>
        <w:kinsoku/>
        <w:wordWrap/>
        <w:overflowPunct/>
        <w:topLinePunct w:val="0"/>
        <w:autoSpaceDE/>
        <w:autoSpaceDN/>
        <w:bidi w:val="0"/>
        <w:adjustRightInd/>
        <w:snapToGrid/>
        <w:spacing w:beforeLines="0" w:afterLines="0" w:line="560" w:lineRule="exact"/>
        <w:ind w:left="0" w:leftChars="0"/>
        <w:jc w:val="both"/>
        <w:textAlignment w:val="auto"/>
        <w:outlineLvl w:val="1"/>
        <w:rPr>
          <w:rFonts w:hint="eastAsia" w:ascii="楷体_GB2312" w:hAnsi="楷体_GB2312" w:eastAsia="楷体_GB2312" w:cs="楷体_GB2312"/>
          <w:color w:val="auto"/>
          <w:highlight w:val="none"/>
          <w:lang w:val="en-US" w:eastAsia="zh-CN"/>
        </w:rPr>
      </w:pPr>
      <w:bookmarkStart w:id="220" w:name="_Toc21280"/>
      <w:bookmarkStart w:id="221" w:name="_Toc25345"/>
      <w:bookmarkStart w:id="222" w:name="_Toc339185600"/>
      <w:bookmarkStart w:id="223" w:name="_Toc150389916"/>
      <w:bookmarkStart w:id="224" w:name="_Toc1244130475"/>
      <w:bookmarkStart w:id="225" w:name="_Toc1245252036"/>
      <w:bookmarkStart w:id="226" w:name="_Toc15245"/>
      <w:bookmarkStart w:id="227" w:name="_Toc2109288750"/>
      <w:bookmarkStart w:id="228" w:name="OLE_LINK4"/>
      <w:r>
        <w:rPr>
          <w:rFonts w:hint="eastAsia" w:ascii="楷体_GB2312" w:hAnsi="楷体_GB2312" w:eastAsia="楷体_GB2312" w:cs="楷体_GB2312"/>
          <w:color w:val="auto"/>
          <w:highlight w:val="none"/>
          <w:lang w:val="en-US" w:eastAsia="zh-CN"/>
        </w:rPr>
        <w:t>（六）立足全域，构建普惠可及全周期保障体系</w:t>
      </w:r>
      <w:bookmarkEnd w:id="220"/>
      <w:bookmarkEnd w:id="221"/>
      <w:bookmarkEnd w:id="222"/>
      <w:bookmarkEnd w:id="223"/>
      <w:bookmarkEnd w:id="224"/>
      <w:bookmarkEnd w:id="225"/>
      <w:bookmarkEnd w:id="226"/>
      <w:bookmarkEnd w:id="227"/>
    </w:p>
    <w:bookmarkEnd w:id="228"/>
    <w:p w14:paraId="45DE6A6E">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29" w:name="_Toc1584143674"/>
      <w:bookmarkStart w:id="230" w:name="_Toc846123491"/>
      <w:bookmarkStart w:id="231" w:name="_Toc1073249607"/>
      <w:bookmarkStart w:id="232" w:name="_Toc2029076571"/>
      <w:bookmarkStart w:id="233" w:name="_Toc17047"/>
      <w:bookmarkStart w:id="234" w:name="_Toc1193839587"/>
      <w:bookmarkStart w:id="235" w:name="_Toc12894"/>
      <w:r>
        <w:rPr>
          <w:rFonts w:hint="eastAsia" w:ascii="Times New Roman" w:hAnsi="Times New Roman" w:cs="宋体"/>
          <w:highlight w:val="none"/>
          <w:lang w:val="en-US" w:eastAsia="zh-CN"/>
        </w:rPr>
        <w:t>1.夯实全民健康保障环境</w:t>
      </w:r>
      <w:bookmarkEnd w:id="229"/>
      <w:bookmarkEnd w:id="230"/>
      <w:bookmarkEnd w:id="231"/>
      <w:bookmarkEnd w:id="232"/>
    </w:p>
    <w:p w14:paraId="0AE31AA9">
      <w:pPr>
        <w:pStyle w:val="9"/>
        <w:pageBreakBefore w:val="0"/>
        <w:kinsoku/>
        <w:wordWrap/>
        <w:overflowPunct/>
        <w:topLinePunct w:val="0"/>
        <w:autoSpaceDE/>
        <w:autoSpaceDN/>
        <w:bidi w:val="0"/>
        <w:adjustRightInd/>
        <w:snapToGrid/>
        <w:spacing w:line="560" w:lineRule="exact"/>
        <w:ind w:firstLine="640" w:firstLineChars="200"/>
        <w:textAlignment w:val="auto"/>
        <w:rPr>
          <w:rFonts w:hint="eastAsia"/>
          <w:strike w:val="0"/>
          <w:highlight w:val="none"/>
          <w:lang w:val="en-US" w:eastAsia="zh-CN"/>
        </w:rPr>
      </w:pPr>
      <w:r>
        <w:rPr>
          <w:rFonts w:hint="eastAsia" w:asciiTheme="minorAscii" w:hAnsiTheme="minorAscii" w:cstheme="minorBidi"/>
          <w:color w:val="auto"/>
          <w:kern w:val="2"/>
          <w:sz w:val="32"/>
          <w:szCs w:val="24"/>
          <w:highlight w:val="none"/>
          <w:lang w:val="en-US" w:eastAsia="zh-CN" w:bidi="ar-SA"/>
        </w:rPr>
        <w:t>筑牢</w:t>
      </w:r>
      <w:r>
        <w:rPr>
          <w:rFonts w:hint="eastAsia" w:eastAsia="仿宋_GB2312" w:asciiTheme="minorAscii" w:hAnsiTheme="minorAscii" w:cstheme="minorBidi"/>
          <w:color w:val="auto"/>
          <w:kern w:val="2"/>
          <w:sz w:val="32"/>
          <w:szCs w:val="24"/>
          <w:highlight w:val="none"/>
          <w:lang w:val="en-US" w:eastAsia="zh-CN" w:bidi="ar-SA"/>
        </w:rPr>
        <w:t>健康优先发展制度</w:t>
      </w:r>
      <w:r>
        <w:rPr>
          <w:rFonts w:hint="eastAsia" w:asciiTheme="minorAscii" w:hAnsiTheme="minorAscii" w:cstheme="minorBidi"/>
          <w:color w:val="auto"/>
          <w:kern w:val="2"/>
          <w:sz w:val="32"/>
          <w:szCs w:val="24"/>
          <w:highlight w:val="none"/>
          <w:lang w:val="en-US" w:eastAsia="zh-CN" w:bidi="ar-SA"/>
        </w:rPr>
        <w:t>保障</w:t>
      </w:r>
      <w:r>
        <w:rPr>
          <w:rFonts w:hint="eastAsia" w:eastAsia="仿宋_GB2312" w:asciiTheme="minorAscii" w:hAnsiTheme="minorAscii" w:cstheme="minorBidi"/>
          <w:color w:val="auto"/>
          <w:kern w:val="2"/>
          <w:sz w:val="32"/>
          <w:szCs w:val="24"/>
          <w:highlight w:val="none"/>
          <w:lang w:val="en-US" w:eastAsia="zh-CN" w:bidi="ar-SA"/>
        </w:rPr>
        <w:t>。深化爱国卫生运动。加强健康科普专家库建设，建立全媒体健康科普发布传播机制</w:t>
      </w:r>
      <w:r>
        <w:rPr>
          <w:rFonts w:hint="eastAsia" w:asciiTheme="minorAscii" w:hAnsiTheme="minorAscii" w:cstheme="minorBidi"/>
          <w:color w:val="auto"/>
          <w:kern w:val="2"/>
          <w:sz w:val="32"/>
          <w:szCs w:val="24"/>
          <w:highlight w:val="none"/>
          <w:lang w:val="en-US" w:eastAsia="zh-CN" w:bidi="ar-SA"/>
        </w:rPr>
        <w:t>，</w:t>
      </w:r>
      <w:r>
        <w:rPr>
          <w:rFonts w:hint="eastAsia" w:eastAsia="仿宋_GB2312" w:asciiTheme="minorAscii" w:hAnsiTheme="minorAscii" w:cstheme="minorBidi"/>
          <w:i w:val="0"/>
          <w:iCs w:val="0"/>
          <w:caps w:val="0"/>
          <w:color w:val="auto"/>
          <w:spacing w:val="0"/>
          <w:kern w:val="2"/>
          <w:sz w:val="32"/>
          <w:szCs w:val="24"/>
          <w:highlight w:val="none"/>
          <w:shd w:val="clear"/>
          <w:lang w:val="en-US" w:eastAsia="zh-CN" w:bidi="ar-SA"/>
        </w:rPr>
        <w:t>持续推进健康科普“五进”活动</w:t>
      </w:r>
      <w:r>
        <w:rPr>
          <w:rFonts w:hint="eastAsia" w:asciiTheme="minorAscii" w:hAnsiTheme="minorAscii" w:cstheme="minorBidi"/>
          <w:i w:val="0"/>
          <w:iCs w:val="0"/>
          <w:caps w:val="0"/>
          <w:color w:val="auto"/>
          <w:spacing w:val="0"/>
          <w:kern w:val="2"/>
          <w:sz w:val="32"/>
          <w:szCs w:val="24"/>
          <w:highlight w:val="none"/>
          <w:shd w:val="clear"/>
          <w:lang w:val="en-US" w:eastAsia="zh-CN" w:bidi="ar-SA"/>
        </w:rPr>
        <w:t>，</w:t>
      </w:r>
      <w:r>
        <w:rPr>
          <w:rFonts w:hint="eastAsia" w:eastAsia="仿宋_GB2312" w:asciiTheme="minorAscii" w:hAnsiTheme="minorAscii" w:cstheme="minorBidi"/>
          <w:color w:val="auto"/>
          <w:kern w:val="2"/>
          <w:sz w:val="32"/>
          <w:szCs w:val="24"/>
          <w:highlight w:val="none"/>
          <w:lang w:val="en-US" w:eastAsia="zh-CN" w:bidi="ar-SA"/>
        </w:rPr>
        <w:t>打造健康教育阵地与健康支持性环境，加强</w:t>
      </w:r>
      <w:r>
        <w:rPr>
          <w:rFonts w:hint="eastAsia" w:asciiTheme="minorAscii" w:hAnsiTheme="minorAscii" w:cstheme="minorBidi"/>
          <w:color w:val="auto"/>
          <w:kern w:val="2"/>
          <w:sz w:val="32"/>
          <w:szCs w:val="24"/>
          <w:highlight w:val="none"/>
          <w:lang w:val="en-US" w:eastAsia="zh-CN" w:bidi="ar-SA"/>
        </w:rPr>
        <w:t>居民</w:t>
      </w:r>
      <w:r>
        <w:rPr>
          <w:rFonts w:hint="eastAsia" w:eastAsia="仿宋_GB2312" w:asciiTheme="minorAscii" w:hAnsiTheme="minorAscii" w:cstheme="minorBidi"/>
          <w:color w:val="auto"/>
          <w:kern w:val="2"/>
          <w:sz w:val="32"/>
          <w:szCs w:val="24"/>
          <w:highlight w:val="none"/>
          <w:lang w:val="en-US" w:eastAsia="zh-CN" w:bidi="ar-SA"/>
        </w:rPr>
        <w:t>健康科普</w:t>
      </w:r>
      <w:r>
        <w:rPr>
          <w:rFonts w:hint="eastAsia" w:asciiTheme="minorAscii" w:hAnsiTheme="minorAscii" w:cstheme="minorBidi"/>
          <w:color w:val="auto"/>
          <w:kern w:val="2"/>
          <w:sz w:val="32"/>
          <w:szCs w:val="24"/>
          <w:highlight w:val="none"/>
          <w:lang w:val="en-US" w:eastAsia="zh-CN" w:bidi="ar-SA"/>
        </w:rPr>
        <w:t>宣传</w:t>
      </w:r>
      <w:r>
        <w:rPr>
          <w:rFonts w:hint="eastAsia" w:eastAsia="仿宋_GB2312" w:asciiTheme="minorAscii" w:hAnsiTheme="minorAscii" w:cstheme="minorBidi"/>
          <w:color w:val="auto"/>
          <w:kern w:val="2"/>
          <w:sz w:val="32"/>
          <w:szCs w:val="24"/>
          <w:highlight w:val="none"/>
          <w:lang w:val="en-US" w:eastAsia="zh-CN" w:bidi="ar-SA"/>
        </w:rPr>
        <w:t>，</w:t>
      </w:r>
      <w:r>
        <w:rPr>
          <w:rFonts w:hint="eastAsia" w:asciiTheme="minorAscii" w:hAnsiTheme="minorAscii" w:cstheme="minorBidi"/>
          <w:color w:val="auto"/>
          <w:kern w:val="2"/>
          <w:sz w:val="32"/>
          <w:szCs w:val="24"/>
          <w:highlight w:val="none"/>
          <w:lang w:val="en-US" w:eastAsia="zh-CN" w:bidi="ar-SA"/>
        </w:rPr>
        <w:t>树牢“健康第一责任人”理念。</w:t>
      </w:r>
      <w:r>
        <w:rPr>
          <w:rFonts w:hint="eastAsia" w:eastAsia="仿宋_GB2312" w:asciiTheme="minorAscii" w:hAnsiTheme="minorAscii" w:cstheme="minorBidi"/>
          <w:color w:val="auto"/>
          <w:kern w:val="2"/>
          <w:sz w:val="32"/>
          <w:szCs w:val="24"/>
          <w:highlight w:val="none"/>
          <w:lang w:val="en-US" w:eastAsia="zh-CN" w:bidi="ar-SA"/>
        </w:rPr>
        <w:t>推进</w:t>
      </w:r>
      <w:r>
        <w:rPr>
          <w:rFonts w:hint="eastAsia"/>
          <w:highlight w:val="none"/>
          <w:lang w:eastAsia="zh-CN"/>
        </w:rPr>
        <w:t>开展</w:t>
      </w:r>
      <w:r>
        <w:rPr>
          <w:rFonts w:hint="eastAsia" w:eastAsia="仿宋_GB2312" w:asciiTheme="minorAscii" w:hAnsiTheme="minorAscii" w:cstheme="minorBidi"/>
          <w:color w:val="auto"/>
          <w:kern w:val="2"/>
          <w:sz w:val="32"/>
          <w:szCs w:val="24"/>
          <w:highlight w:val="none"/>
          <w:lang w:val="en-US" w:eastAsia="zh-CN" w:bidi="ar-SA"/>
        </w:rPr>
        <w:t>无烟环境建设、健康体重</w:t>
      </w:r>
      <w:r>
        <w:rPr>
          <w:rFonts w:hint="eastAsia" w:asciiTheme="minorAscii" w:hAnsiTheme="minorAscii" w:cstheme="minorBidi"/>
          <w:color w:val="auto"/>
          <w:kern w:val="2"/>
          <w:sz w:val="32"/>
          <w:szCs w:val="24"/>
          <w:highlight w:val="none"/>
          <w:lang w:val="en-US" w:eastAsia="zh-CN" w:bidi="ar-SA"/>
        </w:rPr>
        <w:t>管理、合理膳食</w:t>
      </w:r>
      <w:r>
        <w:rPr>
          <w:rFonts w:hint="eastAsia" w:eastAsia="仿宋_GB2312" w:asciiTheme="minorAscii" w:hAnsiTheme="minorAscii" w:cstheme="minorBidi"/>
          <w:color w:val="auto"/>
          <w:kern w:val="2"/>
          <w:sz w:val="32"/>
          <w:szCs w:val="24"/>
          <w:highlight w:val="none"/>
          <w:lang w:val="en-US" w:eastAsia="zh-CN" w:bidi="ar-SA"/>
        </w:rPr>
        <w:t>等行动，稳步提升居民健康素养水平</w:t>
      </w:r>
      <w:r>
        <w:rPr>
          <w:rFonts w:hint="eastAsia" w:asciiTheme="minorAscii" w:hAnsiTheme="minorAscii" w:cstheme="minorBidi"/>
          <w:color w:val="auto"/>
          <w:kern w:val="2"/>
          <w:sz w:val="32"/>
          <w:szCs w:val="24"/>
          <w:highlight w:val="none"/>
          <w:lang w:val="en-US" w:eastAsia="zh-CN" w:bidi="ar-SA"/>
        </w:rPr>
        <w:t>。</w:t>
      </w:r>
    </w:p>
    <w:p w14:paraId="1452EFFE">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36" w:name="_Toc320547073"/>
      <w:bookmarkStart w:id="237" w:name="_Toc379722551"/>
      <w:bookmarkStart w:id="238" w:name="_Toc1497196746"/>
      <w:r>
        <w:rPr>
          <w:rFonts w:hint="eastAsia" w:ascii="Times New Roman" w:hAnsi="Times New Roman" w:cs="宋体"/>
          <w:highlight w:val="none"/>
          <w:lang w:val="en-US" w:eastAsia="zh-CN"/>
        </w:rPr>
        <w:t>2.优化生育支持和服务体系</w:t>
      </w:r>
      <w:bookmarkEnd w:id="236"/>
      <w:bookmarkEnd w:id="237"/>
      <w:bookmarkEnd w:id="238"/>
    </w:p>
    <w:p w14:paraId="0D4AADE6">
      <w:pPr>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推进生育友好型社会建设。加强优生优育知识科普，拓展生育全程优质服务供给。深入实施早孕关爱行动、孕育和出生缺陷防治能力提升计划。完善妇幼健康服务网络，实施生育友好医院、儿童友好医院建设，提高危重孕产妇和新生儿救治能力，保障母婴安全。落实生育补贴与生育保险优化政策。强化医育结合和科学育儿服务，推进区级医育结合指导中心建设。</w:t>
      </w:r>
    </w:p>
    <w:p w14:paraId="1D917050">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39" w:name="_Toc1086118615"/>
      <w:bookmarkStart w:id="240" w:name="_Toc1511411321"/>
      <w:bookmarkStart w:id="241" w:name="_Toc155903650"/>
      <w:r>
        <w:rPr>
          <w:rFonts w:hint="eastAsia" w:ascii="Times New Roman" w:hAnsi="Times New Roman" w:cs="宋体"/>
          <w:highlight w:val="none"/>
          <w:lang w:val="en-US" w:eastAsia="zh-CN"/>
        </w:rPr>
        <w:t>3.完善妇幼健康服务体系</w:t>
      </w:r>
      <w:bookmarkEnd w:id="239"/>
      <w:bookmarkEnd w:id="240"/>
      <w:bookmarkEnd w:id="241"/>
    </w:p>
    <w:p w14:paraId="07EFBF0A">
      <w:pPr>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推进区妇幼保健院规范化管理，推动基层儿童保健与妇女保健门诊标准化建设，加强妇幼健康专科建设。围绕青春期、育龄期、更老年期健康服务需求，完善妇女全生命周期健康服务。推进加速消除宫颈癌行动计划，推行适龄女童HPV疫苗免费接种。实施儿童青少年“五健”促进行动计划。加强儿童心理行为发育监测和健康指导，完善儿童青少年健康服务网络，提升儿童青少年身心健康水平。</w:t>
      </w:r>
    </w:p>
    <w:p w14:paraId="2117F54A">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42" w:name="_Toc1834039592"/>
      <w:bookmarkStart w:id="243" w:name="_Toc1488661412"/>
      <w:bookmarkStart w:id="244" w:name="_Toc863028866"/>
      <w:r>
        <w:rPr>
          <w:rFonts w:hint="eastAsia" w:ascii="Times New Roman" w:hAnsi="Times New Roman" w:cs="宋体"/>
          <w:highlight w:val="none"/>
          <w:lang w:val="en-US" w:eastAsia="zh-CN"/>
        </w:rPr>
        <w:t>4.提高老年健康服务能力</w:t>
      </w:r>
      <w:bookmarkEnd w:id="242"/>
      <w:bookmarkEnd w:id="243"/>
      <w:bookmarkEnd w:id="244"/>
    </w:p>
    <w:p w14:paraId="7810E0A6">
      <w:pPr>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深化医养结合，优化服务模式，鼓励医养结合机构纳入医联体建设。完善老年人分级服务，鼓励基层医疗机构提供家庭病床、巡诊等居家医疗服务。深化老年友善医疗机构建设，推进医疗机构适老化改造，完善助医陪诊等便民措施。加强老年医学科建设，强化安宁疗护服务供给。发展“互联网+老年健康”服务等智慧健康养老服务。开展老年健康促进行动。</w:t>
      </w:r>
    </w:p>
    <w:p w14:paraId="05640CF2">
      <w:pPr>
        <w:pStyle w:val="6"/>
        <w:pageBreakBefore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45" w:name="_Toc1756828899"/>
      <w:bookmarkStart w:id="246" w:name="_Toc1612853158"/>
      <w:bookmarkStart w:id="247" w:name="_Toc1570686802"/>
      <w:r>
        <w:rPr>
          <w:rFonts w:hint="eastAsia" w:ascii="Times New Roman" w:hAnsi="Times New Roman" w:cs="宋体"/>
          <w:highlight w:val="none"/>
          <w:lang w:val="en-US" w:eastAsia="zh-CN"/>
        </w:rPr>
        <w:t>5.</w:t>
      </w:r>
      <w:r>
        <w:rPr>
          <w:rFonts w:hint="eastAsia" w:cs="宋体"/>
          <w:highlight w:val="none"/>
          <w:lang w:val="en-US" w:eastAsia="zh-CN"/>
        </w:rPr>
        <w:t>扩大</w:t>
      </w:r>
      <w:r>
        <w:rPr>
          <w:rFonts w:hint="eastAsia" w:ascii="Times New Roman" w:hAnsi="Times New Roman" w:cs="宋体"/>
          <w:highlight w:val="none"/>
          <w:lang w:val="en-US" w:eastAsia="zh-CN"/>
        </w:rPr>
        <w:t>健康保障</w:t>
      </w:r>
      <w:bookmarkEnd w:id="245"/>
      <w:r>
        <w:rPr>
          <w:rFonts w:hint="eastAsia" w:cs="宋体"/>
          <w:highlight w:val="none"/>
          <w:lang w:val="en-US" w:eastAsia="zh-CN"/>
        </w:rPr>
        <w:t>覆盖范围</w:t>
      </w:r>
      <w:bookmarkEnd w:id="246"/>
      <w:bookmarkEnd w:id="247"/>
    </w:p>
    <w:p w14:paraId="21E2A5B0">
      <w:pPr>
        <w:pStyle w:val="9"/>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color w:val="FF0000"/>
          <w:highlight w:val="none"/>
          <w:lang w:val="en-US" w:eastAsia="zh-CN"/>
        </w:rPr>
      </w:pPr>
      <w:r>
        <w:rPr>
          <w:rFonts w:hint="eastAsia" w:ascii="Times New Roman" w:hAnsi="Times New Roman" w:cstheme="minorBidi"/>
          <w:i w:val="0"/>
          <w:iCs w:val="0"/>
          <w:caps w:val="0"/>
          <w:color w:val="auto"/>
          <w:spacing w:val="0"/>
          <w:kern w:val="2"/>
          <w:sz w:val="32"/>
          <w:szCs w:val="24"/>
          <w:highlight w:val="none"/>
          <w:shd w:val="clear"/>
          <w:lang w:val="en-US" w:eastAsia="zh-CN" w:bidi="ar"/>
        </w:rPr>
        <w:t>持续扩容康复、护理服务供给。</w:t>
      </w:r>
      <w:r>
        <w:rPr>
          <w:rFonts w:hint="eastAsia" w:ascii="Times New Roman" w:hAnsi="Times New Roman"/>
          <w:color w:val="auto"/>
          <w:highlight w:val="none"/>
          <w:lang w:bidi="ar"/>
        </w:rPr>
        <w:t>建立健全三级康复服务网络</w:t>
      </w:r>
      <w:r>
        <w:rPr>
          <w:rFonts w:hint="eastAsia" w:ascii="Times New Roman" w:hAnsi="Times New Roman"/>
          <w:color w:val="auto"/>
          <w:highlight w:val="none"/>
          <w:lang w:eastAsia="zh-CN" w:bidi="ar"/>
        </w:rPr>
        <w:t>，</w:t>
      </w:r>
      <w:r>
        <w:rPr>
          <w:rFonts w:hint="eastAsia" w:ascii="Times New Roman" w:hAnsi="Times New Roman"/>
          <w:color w:val="auto"/>
          <w:highlight w:val="none"/>
          <w:lang w:bidi="ar"/>
        </w:rPr>
        <w:t>深化多学科协同，强化康复早期介入与全程化管理。规范护理服务流程，扩大优质护理服务覆盖面。</w:t>
      </w:r>
      <w:r>
        <w:rPr>
          <w:rFonts w:hint="eastAsia" w:ascii="Times New Roman" w:hAnsi="Times New Roman"/>
          <w:color w:val="auto"/>
          <w:highlight w:val="none"/>
          <w:lang w:val="en-US" w:eastAsia="zh-CN" w:bidi="ar"/>
        </w:rPr>
        <w:t>强化</w:t>
      </w:r>
      <w:r>
        <w:rPr>
          <w:rFonts w:hint="eastAsia" w:ascii="Times New Roman" w:hAnsi="Times New Roman"/>
          <w:color w:val="auto"/>
          <w:highlight w:val="none"/>
          <w:lang w:eastAsia="zh-CN" w:bidi="ar"/>
        </w:rPr>
        <w:t>残疾人健康管理。</w:t>
      </w:r>
      <w:r>
        <w:rPr>
          <w:rFonts w:hint="eastAsia" w:ascii="Times New Roman" w:hAnsi="Times New Roman"/>
          <w:color w:val="auto"/>
          <w:highlight w:val="none"/>
        </w:rPr>
        <w:t>加强严重精神障碍患者管理</w:t>
      </w:r>
      <w:r>
        <w:rPr>
          <w:rFonts w:hint="eastAsia" w:ascii="Times New Roman" w:hAnsi="Times New Roman"/>
          <w:color w:val="auto"/>
          <w:highlight w:val="none"/>
          <w:lang w:eastAsia="zh-CN"/>
        </w:rPr>
        <w:t>。</w:t>
      </w:r>
      <w:r>
        <w:rPr>
          <w:rFonts w:hint="eastAsia" w:ascii="Times New Roman" w:hAnsi="Times New Roman"/>
          <w:color w:val="auto"/>
          <w:highlight w:val="none"/>
        </w:rPr>
        <w:t>健全社会心理服务体系和危机干预机制，加强12356心理援助热线应用。</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88A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B4D2F45">
            <w:pPr>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eastAsia="zh-CN"/>
              </w:rPr>
              <w:t>专栏</w:t>
            </w:r>
            <w:r>
              <w:rPr>
                <w:rFonts w:hint="eastAsia" w:ascii="Times New Roman" w:hAnsi="Times New Roman"/>
                <w:color w:val="auto"/>
                <w:highlight w:val="none"/>
                <w:vertAlign w:val="baseline"/>
                <w:lang w:val="en-US" w:eastAsia="zh-CN"/>
              </w:rPr>
              <w:t>5  健康促进与支持建设专项</w:t>
            </w:r>
          </w:p>
        </w:tc>
      </w:tr>
      <w:tr w14:paraId="5785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1CA5FE45">
            <w:pPr>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olor w:val="auto"/>
                <w:highlight w:val="none"/>
                <w:vertAlign w:val="baseline"/>
                <w:lang w:val="en-US" w:eastAsia="zh-CN"/>
              </w:rPr>
            </w:pPr>
            <w:r>
              <w:rPr>
                <w:rFonts w:hint="eastAsia" w:ascii="Times New Roman" w:hAnsi="Times New Roman"/>
                <w:color w:val="auto"/>
                <w:highlight w:val="none"/>
                <w:vertAlign w:val="baseline"/>
                <w:lang w:val="en-US" w:eastAsia="zh-CN"/>
              </w:rPr>
              <w:t>1.深化</w:t>
            </w:r>
            <w:r>
              <w:rPr>
                <w:rFonts w:hint="eastAsia" w:ascii="Times New Roman" w:hAnsi="Times New Roman"/>
                <w:color w:val="auto"/>
                <w:highlight w:val="none"/>
                <w:lang w:val="en-US" w:eastAsia="zh-CN"/>
              </w:rPr>
              <w:t>爱国卫生运动：深入推进健康石景山建设，发挥基层网底作用，</w:t>
            </w:r>
            <w:r>
              <w:rPr>
                <w:rFonts w:hint="eastAsia" w:eastAsia="仿宋_GB2312" w:asciiTheme="minorAscii" w:hAnsiTheme="minorAscii" w:cstheme="minorBidi"/>
                <w:color w:val="auto"/>
                <w:kern w:val="2"/>
                <w:sz w:val="32"/>
                <w:szCs w:val="24"/>
                <w:highlight w:val="none"/>
                <w:lang w:val="en-US" w:eastAsia="zh-CN" w:bidi="ar-SA"/>
              </w:rPr>
              <w:t>加强公共卫生基础设施建设，开展环境卫生整治，强化病媒生物防制，推进无蚊害城区建设。加强社会健康管理</w:t>
            </w:r>
            <w:r>
              <w:rPr>
                <w:rFonts w:hint="eastAsia" w:asciiTheme="minorAscii" w:hAnsiTheme="minorAscii" w:cstheme="minorBidi"/>
                <w:color w:val="auto"/>
                <w:kern w:val="2"/>
                <w:sz w:val="32"/>
                <w:szCs w:val="24"/>
                <w:highlight w:val="none"/>
                <w:lang w:val="en-US" w:eastAsia="zh-CN" w:bidi="ar-SA"/>
              </w:rPr>
              <w:t>，</w:t>
            </w:r>
            <w:r>
              <w:rPr>
                <w:rFonts w:hint="eastAsia" w:eastAsia="仿宋_GB2312" w:asciiTheme="minorAscii" w:hAnsiTheme="minorAscii" w:cstheme="minorBidi"/>
                <w:color w:val="auto"/>
                <w:kern w:val="2"/>
                <w:sz w:val="32"/>
                <w:szCs w:val="24"/>
                <w:highlight w:val="none"/>
                <w:lang w:val="en-US" w:eastAsia="zh-CN" w:bidi="ar-SA"/>
              </w:rPr>
              <w:t>积极创建全国健康城市</w:t>
            </w:r>
            <w:r>
              <w:rPr>
                <w:rFonts w:hint="eastAsia" w:cstheme="minorBidi"/>
                <w:color w:val="auto"/>
                <w:kern w:val="2"/>
                <w:sz w:val="32"/>
                <w:szCs w:val="24"/>
                <w:highlight w:val="none"/>
                <w:lang w:val="en-US" w:eastAsia="zh-CN" w:bidi="ar-SA"/>
              </w:rPr>
              <w:t>。</w:t>
            </w:r>
          </w:p>
        </w:tc>
      </w:tr>
      <w:tr w14:paraId="2651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top"/>
          </w:tcPr>
          <w:p w14:paraId="49747AFB">
            <w:pPr>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vertAlign w:val="baseline"/>
                <w:lang w:val="en-US" w:eastAsia="zh-CN"/>
              </w:rPr>
              <w:t>2.</w:t>
            </w:r>
            <w:r>
              <w:rPr>
                <w:rFonts w:hint="eastAsia" w:ascii="Times New Roman" w:hAnsi="Times New Roman"/>
                <w:color w:val="auto"/>
                <w:highlight w:val="none"/>
              </w:rPr>
              <w:t>康复护理服务扩容提升项目</w:t>
            </w:r>
            <w:r>
              <w:rPr>
                <w:rFonts w:hint="eastAsia" w:ascii="Times New Roman" w:hAnsi="Times New Roman"/>
                <w:color w:val="auto"/>
                <w:highlight w:val="none"/>
                <w:lang w:eastAsia="zh-CN"/>
              </w:rPr>
              <w:t>：</w:t>
            </w:r>
            <w:r>
              <w:rPr>
                <w:rFonts w:hint="eastAsia" w:ascii="Times New Roman" w:hAnsi="Times New Roman"/>
                <w:color w:val="auto"/>
                <w:highlight w:val="none"/>
              </w:rPr>
              <w:t>加强康复护理人才队伍建设。基层医疗机构全面实现普遍提供基本康复护理服务。鼓励开展居家护理服务，扩大老年护理、康复护理、中医护理等服务供给。推</w:t>
            </w:r>
            <w:r>
              <w:rPr>
                <w:rFonts w:hint="eastAsia" w:ascii="Times New Roman" w:hAnsi="Times New Roman"/>
                <w:color w:val="auto"/>
                <w:highlight w:val="none"/>
                <w:lang w:eastAsia="zh-CN"/>
              </w:rPr>
              <w:t>广</w:t>
            </w:r>
            <w:r>
              <w:rPr>
                <w:rFonts w:hint="eastAsia" w:ascii="Times New Roman" w:hAnsi="Times New Roman"/>
                <w:color w:val="auto"/>
                <w:highlight w:val="none"/>
              </w:rPr>
              <w:t>无陪护病房建设。</w:t>
            </w:r>
          </w:p>
        </w:tc>
      </w:tr>
      <w:tr w14:paraId="4C53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vAlign w:val="top"/>
          </w:tcPr>
          <w:p w14:paraId="1F3DE33C">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default" w:ascii="Times New Roman" w:hAnsi="Times New Roman"/>
                <w:color w:val="auto"/>
                <w:highlight w:val="none"/>
                <w:vertAlign w:val="baseline"/>
                <w:lang w:val="en-US" w:eastAsia="zh-CN"/>
              </w:rPr>
            </w:pPr>
            <w:r>
              <w:rPr>
                <w:rFonts w:hint="eastAsia" w:ascii="Times New Roman" w:hAnsi="Times New Roman"/>
                <w:color w:val="auto"/>
                <w:highlight w:val="none"/>
                <w:lang w:val="en-US" w:eastAsia="zh-CN"/>
              </w:rPr>
              <w:t>3.</w:t>
            </w:r>
            <w:r>
              <w:rPr>
                <w:rFonts w:hint="eastAsia" w:ascii="Times New Roman" w:hAnsi="Times New Roman"/>
                <w:color w:val="auto"/>
                <w:highlight w:val="none"/>
              </w:rPr>
              <w:t>心理健康与精神卫生服务能力提升项目</w:t>
            </w:r>
            <w:r>
              <w:rPr>
                <w:rFonts w:hint="eastAsia" w:ascii="Times New Roman" w:hAnsi="Times New Roman"/>
                <w:color w:val="auto"/>
                <w:highlight w:val="none"/>
                <w:lang w:eastAsia="zh-CN"/>
              </w:rPr>
              <w:t>：</w:t>
            </w:r>
            <w:r>
              <w:rPr>
                <w:rFonts w:hint="eastAsia" w:ascii="Times New Roman" w:hAnsi="Times New Roman"/>
                <w:color w:val="auto"/>
                <w:highlight w:val="none"/>
              </w:rPr>
              <w:t>推进区级精保所改革，强化精防医生和社工队伍建设，优化精神卫生项目考核评价体系。加强精神专科建设。加强严重精神障碍患者协同管理，巩固“社区医生-街道社工-公安民警”三方协同联动服务管理机制。</w:t>
            </w:r>
            <w:r>
              <w:rPr>
                <w:rFonts w:hint="eastAsia" w:ascii="Times New Roman" w:hAnsi="Times New Roman"/>
                <w:color w:val="auto"/>
                <w:highlight w:val="none"/>
                <w:lang w:eastAsia="zh-CN"/>
              </w:rPr>
              <w:t>聚焦青少年等重点人群，整合社会资源，营造有利于身心健康的支持环境，加强引导干预</w:t>
            </w:r>
            <w:r>
              <w:rPr>
                <w:rFonts w:hint="eastAsia" w:ascii="Times New Roman" w:hAnsi="Times New Roman"/>
                <w:color w:val="auto"/>
                <w:highlight w:val="none"/>
              </w:rPr>
              <w:t>。</w:t>
            </w:r>
          </w:p>
        </w:tc>
      </w:tr>
      <w:bookmarkEnd w:id="233"/>
      <w:bookmarkEnd w:id="234"/>
      <w:bookmarkEnd w:id="235"/>
    </w:tbl>
    <w:p w14:paraId="41B3876F">
      <w:pPr>
        <w:pStyle w:val="5"/>
        <w:pageBreakBefore w:val="0"/>
        <w:kinsoku/>
        <w:wordWrap/>
        <w:overflowPunct/>
        <w:topLinePunct w:val="0"/>
        <w:autoSpaceDE/>
        <w:autoSpaceDN/>
        <w:bidi w:val="0"/>
        <w:adjustRightInd/>
        <w:snapToGrid/>
        <w:spacing w:beforeLines="0" w:afterLines="0" w:line="560" w:lineRule="exact"/>
        <w:ind w:left="0" w:leftChars="0"/>
        <w:jc w:val="both"/>
        <w:textAlignment w:val="auto"/>
        <w:outlineLvl w:val="1"/>
        <w:rPr>
          <w:rFonts w:hint="eastAsia" w:ascii="楷体_GB2312" w:hAnsi="楷体_GB2312" w:eastAsia="楷体_GB2312" w:cs="楷体_GB2312"/>
          <w:color w:val="auto"/>
          <w:highlight w:val="none"/>
          <w:lang w:val="en-US" w:eastAsia="zh-CN"/>
        </w:rPr>
      </w:pPr>
      <w:bookmarkStart w:id="248" w:name="_Toc444820840"/>
      <w:bookmarkStart w:id="249" w:name="_Toc1199530910"/>
      <w:bookmarkStart w:id="250" w:name="_Toc1274293089"/>
      <w:bookmarkStart w:id="251" w:name="_Toc887484945"/>
      <w:bookmarkStart w:id="252" w:name="_Toc1516134737"/>
      <w:bookmarkStart w:id="253" w:name="_Toc19956"/>
      <w:r>
        <w:rPr>
          <w:rFonts w:hint="eastAsia" w:ascii="楷体_GB2312" w:hAnsi="楷体_GB2312" w:eastAsia="楷体_GB2312" w:cs="楷体_GB2312"/>
          <w:color w:val="auto"/>
          <w:highlight w:val="none"/>
          <w:lang w:val="en-US" w:eastAsia="zh-CN"/>
        </w:rPr>
        <w:t>（七）夯实保障，强化多元支撑体系建设</w:t>
      </w:r>
      <w:bookmarkEnd w:id="248"/>
      <w:bookmarkEnd w:id="249"/>
      <w:bookmarkEnd w:id="250"/>
      <w:bookmarkEnd w:id="251"/>
      <w:bookmarkEnd w:id="252"/>
      <w:bookmarkEnd w:id="253"/>
    </w:p>
    <w:p w14:paraId="78F7BB87">
      <w:pPr>
        <w:pStyle w:val="6"/>
        <w:pageBreakBefore w:val="0"/>
        <w:widowControl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54" w:name="_Toc292430190"/>
      <w:bookmarkStart w:id="255" w:name="_Toc905923821"/>
      <w:bookmarkStart w:id="256" w:name="_Toc1733770832"/>
      <w:bookmarkStart w:id="257" w:name="_Toc2031087001"/>
      <w:bookmarkStart w:id="258" w:name="_Toc802203936"/>
      <w:r>
        <w:rPr>
          <w:rFonts w:hint="eastAsia" w:ascii="Times New Roman" w:hAnsi="Times New Roman" w:cs="宋体"/>
          <w:highlight w:val="none"/>
          <w:lang w:val="en-US" w:eastAsia="zh-CN"/>
        </w:rPr>
        <w:t>1.</w:t>
      </w:r>
      <w:bookmarkEnd w:id="254"/>
      <w:bookmarkEnd w:id="255"/>
      <w:bookmarkEnd w:id="256"/>
      <w:r>
        <w:rPr>
          <w:rFonts w:hint="eastAsia" w:cs="宋体"/>
          <w:highlight w:val="none"/>
          <w:lang w:val="en-US" w:eastAsia="zh-CN"/>
        </w:rPr>
        <w:t>强化数智赋能</w:t>
      </w:r>
      <w:bookmarkEnd w:id="257"/>
      <w:bookmarkEnd w:id="258"/>
    </w:p>
    <w:p w14:paraId="662B2CC3">
      <w:pPr>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完善区域卫生健康信息平台建设，新建医保基金综合管理平台，推动实现电子病历、健康档案、检查检验结果、医保基金使用等信息互通共享。拓展人工智能技术在卫生健康领域的应用场景，鼓励医疗机构引入AI辅助诊疗、手术机器人等设备设施，支持建设智能化手术室、智慧病房等示范单元。</w:t>
      </w:r>
    </w:p>
    <w:p w14:paraId="3DABA578">
      <w:pPr>
        <w:pStyle w:val="6"/>
        <w:pageBreakBefore w:val="0"/>
        <w:widowControl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59" w:name="_Toc596173504"/>
      <w:bookmarkStart w:id="260" w:name="_Toc28637"/>
      <w:bookmarkStart w:id="261" w:name="_Toc1181954950"/>
      <w:bookmarkStart w:id="262" w:name="_Toc172655511"/>
      <w:bookmarkStart w:id="263" w:name="_Toc1907727759"/>
      <w:bookmarkStart w:id="264" w:name="_Toc1712276111"/>
      <w:r>
        <w:rPr>
          <w:rFonts w:hint="eastAsia" w:ascii="Times New Roman" w:hAnsi="Times New Roman" w:cs="宋体"/>
          <w:highlight w:val="none"/>
          <w:lang w:val="en-US" w:eastAsia="zh-CN"/>
        </w:rPr>
        <w:t>2.加强人才引育</w:t>
      </w:r>
      <w:bookmarkEnd w:id="259"/>
      <w:bookmarkEnd w:id="260"/>
      <w:bookmarkEnd w:id="261"/>
      <w:bookmarkEnd w:id="262"/>
      <w:bookmarkEnd w:id="263"/>
      <w:bookmarkEnd w:id="264"/>
    </w:p>
    <w:p w14:paraId="0631D8B2">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健全人才队伍保障机制。加大区级人才项目扶持力度，在“景贤计划”等重点人才项目中，定向加大对医疗创新、成果转化类人才的培育与资助力度。深化“医产学研用”人才协同机制，搭建医疗机构、高等院校、科研院所及生物医药机构间人才交流合作平台，引进“医学+X”多学科交叉融合领军人才、优秀学科带头人和复合型人才。强化重点紧缺人才保障，完善医务人员薪酬待遇、职称晋升等激励政策。</w:t>
      </w:r>
    </w:p>
    <w:p w14:paraId="37B9A3F6">
      <w:pPr>
        <w:pStyle w:val="6"/>
        <w:pageBreakBefore w:val="0"/>
        <w:widowControl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65" w:name="_Toc863136881"/>
      <w:bookmarkStart w:id="266" w:name="_Toc1161017457"/>
      <w:bookmarkStart w:id="267" w:name="_Toc1855592239"/>
      <w:r>
        <w:rPr>
          <w:rFonts w:hint="eastAsia" w:cs="宋体"/>
          <w:highlight w:val="none"/>
          <w:lang w:val="en-US" w:eastAsia="zh-CN"/>
        </w:rPr>
        <w:t>3</w:t>
      </w:r>
      <w:r>
        <w:rPr>
          <w:rFonts w:hint="eastAsia" w:ascii="Times New Roman" w:hAnsi="Times New Roman" w:cs="宋体"/>
          <w:highlight w:val="none"/>
          <w:lang w:val="en-US" w:eastAsia="zh-CN"/>
        </w:rPr>
        <w:t>.</w:t>
      </w:r>
      <w:r>
        <w:rPr>
          <w:rFonts w:hint="eastAsia" w:cs="宋体"/>
          <w:highlight w:val="none"/>
          <w:lang w:val="en-US" w:eastAsia="zh-CN"/>
        </w:rPr>
        <w:t>加强法治化建设</w:t>
      </w:r>
      <w:bookmarkEnd w:id="265"/>
      <w:bookmarkEnd w:id="266"/>
      <w:bookmarkEnd w:id="267"/>
    </w:p>
    <w:p w14:paraId="68D8839D">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highlight w:val="none"/>
          <w:lang w:val="en-US" w:eastAsia="zh-CN"/>
        </w:rPr>
        <w:t>深入法治宣传教育，</w:t>
      </w:r>
      <w:r>
        <w:rPr>
          <w:rFonts w:hint="eastAsia" w:ascii="Times New Roman" w:hAnsi="Times New Roman"/>
          <w:color w:val="auto"/>
          <w:highlight w:val="none"/>
          <w:lang w:val="en-US" w:eastAsia="zh-CN"/>
        </w:rPr>
        <w:t>规范医疗卫生机构和医务人员执业行为，推动法治医院建设</w:t>
      </w:r>
      <w:r>
        <w:rPr>
          <w:rFonts w:hint="eastAsia" w:ascii="Times New Roman" w:hAnsi="Times New Roman"/>
          <w:highlight w:val="none"/>
          <w:lang w:val="en-US" w:eastAsia="zh-CN"/>
        </w:rPr>
        <w:t>。</w:t>
      </w:r>
      <w:r>
        <w:rPr>
          <w:rFonts w:hint="eastAsia" w:ascii="Times New Roman" w:hAnsi="Times New Roman"/>
          <w:color w:val="auto"/>
          <w:highlight w:val="none"/>
          <w:lang w:val="en-US" w:eastAsia="zh-CN"/>
        </w:rPr>
        <w:t>持续推进行风建设与医德医风管理，大力整治群众身边不正之风和腐败问题，弘扬优良医德医风，营造风清气正的行业环境</w:t>
      </w:r>
      <w:r>
        <w:rPr>
          <w:rFonts w:hint="eastAsia" w:ascii="Times New Roman" w:hAnsi="Times New Roman"/>
          <w:color w:val="auto"/>
          <w:highlight w:val="none"/>
          <w:lang w:eastAsia="zh-CN"/>
        </w:rPr>
        <w:t>。</w:t>
      </w:r>
      <w:r>
        <w:rPr>
          <w:rFonts w:hint="eastAsia" w:ascii="Times New Roman" w:hAnsi="Times New Roman"/>
          <w:color w:val="auto"/>
          <w:highlight w:val="none"/>
          <w:lang w:val="en-US" w:eastAsia="zh-CN"/>
        </w:rPr>
        <w:t>落实</w:t>
      </w:r>
      <w:r>
        <w:rPr>
          <w:rFonts w:hint="eastAsia" w:ascii="Times New Roman" w:hAnsi="Times New Roman"/>
          <w:color w:val="auto"/>
          <w:highlight w:val="none"/>
        </w:rPr>
        <w:t>“高效办成一件事”</w:t>
      </w:r>
      <w:r>
        <w:rPr>
          <w:rFonts w:hint="eastAsia" w:ascii="Times New Roman" w:hAnsi="Times New Roman"/>
          <w:color w:val="auto"/>
          <w:highlight w:val="none"/>
          <w:lang w:eastAsia="zh-CN"/>
        </w:rPr>
        <w:t>，</w:t>
      </w:r>
      <w:r>
        <w:rPr>
          <w:rFonts w:hint="eastAsia" w:ascii="Times New Roman" w:hAnsi="Times New Roman"/>
          <w:color w:val="auto"/>
          <w:highlight w:val="none"/>
          <w:lang w:val="en-US" w:eastAsia="zh-CN"/>
        </w:rPr>
        <w:t>推广政务服务“网上办、掌上办、就近办”，提升服务效能。</w:t>
      </w:r>
    </w:p>
    <w:p w14:paraId="5D41BA70">
      <w:pPr>
        <w:pStyle w:val="6"/>
        <w:pageBreakBefore w:val="0"/>
        <w:widowControl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68" w:name="_Toc1303242317"/>
      <w:bookmarkStart w:id="269" w:name="_Toc72108362"/>
      <w:bookmarkStart w:id="270" w:name="_Toc1128879198"/>
      <w:bookmarkStart w:id="271" w:name="_Toc905202337"/>
      <w:r>
        <w:rPr>
          <w:rFonts w:hint="eastAsia" w:cs="宋体"/>
          <w:highlight w:val="none"/>
          <w:lang w:val="en-US" w:eastAsia="zh-CN"/>
        </w:rPr>
        <w:t>4</w:t>
      </w:r>
      <w:r>
        <w:rPr>
          <w:rFonts w:hint="eastAsia" w:ascii="Times New Roman" w:hAnsi="Times New Roman" w:cs="宋体"/>
          <w:highlight w:val="none"/>
          <w:lang w:val="en-US" w:eastAsia="zh-CN"/>
        </w:rPr>
        <w:t>.巩固安全防线</w:t>
      </w:r>
      <w:bookmarkEnd w:id="268"/>
      <w:bookmarkEnd w:id="269"/>
      <w:bookmarkEnd w:id="270"/>
      <w:bookmarkEnd w:id="271"/>
    </w:p>
    <w:p w14:paraId="59424063">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牢固树立安全发展理念，全面压实安全生产和消防安全责任。健全突发安全事件处置预案，强化从业人员安全实操培训与应急演练，推进智慧安全监管体系建设。加强医院安全秩序管理，完善人防、物防、技防一体化建设，深化警医联动，严厉打击暴力伤医、网络医闹等违法行为。搭建医疗纠纷多元化解体系，减少涉医冲突隐患。健全医疗数据分类分级规范管理机制，强化</w:t>
      </w:r>
      <w:r>
        <w:rPr>
          <w:rFonts w:hint="eastAsia" w:ascii="Times New Roman" w:hAnsi="Times New Roman"/>
          <w:color w:val="auto"/>
          <w:highlight w:val="none"/>
        </w:rPr>
        <w:t>医疗数据安全管理</w:t>
      </w:r>
      <w:r>
        <w:rPr>
          <w:rFonts w:hint="eastAsia" w:ascii="Times New Roman" w:hAnsi="Times New Roman"/>
          <w:color w:val="auto"/>
          <w:highlight w:val="none"/>
          <w:lang w:eastAsia="zh-CN"/>
        </w:rPr>
        <w:t>。</w:t>
      </w:r>
    </w:p>
    <w:p w14:paraId="7DAE4E12">
      <w:pPr>
        <w:pStyle w:val="5"/>
        <w:pageBreakBefore w:val="0"/>
        <w:kinsoku/>
        <w:wordWrap/>
        <w:overflowPunct/>
        <w:topLinePunct w:val="0"/>
        <w:autoSpaceDE/>
        <w:autoSpaceDN/>
        <w:bidi w:val="0"/>
        <w:adjustRightInd/>
        <w:snapToGrid/>
        <w:spacing w:beforeLines="0" w:afterLines="0" w:line="560" w:lineRule="exact"/>
        <w:ind w:left="0" w:leftChars="0"/>
        <w:jc w:val="both"/>
        <w:textAlignment w:val="auto"/>
        <w:outlineLvl w:val="1"/>
        <w:rPr>
          <w:rFonts w:hint="eastAsia" w:ascii="楷体_GB2312" w:hAnsi="楷体_GB2312" w:eastAsia="楷体_GB2312" w:cs="楷体_GB2312"/>
          <w:color w:val="auto"/>
          <w:highlight w:val="none"/>
          <w:lang w:val="en-US" w:eastAsia="zh-CN"/>
        </w:rPr>
      </w:pPr>
      <w:bookmarkStart w:id="272" w:name="_Toc1960248005"/>
      <w:bookmarkStart w:id="273" w:name="_Toc2014164383"/>
      <w:bookmarkStart w:id="274" w:name="_Toc17029"/>
      <w:bookmarkStart w:id="275" w:name="_Toc673638035"/>
      <w:bookmarkStart w:id="276" w:name="_Toc695830068"/>
      <w:bookmarkStart w:id="277" w:name="_Toc621749533"/>
      <w:r>
        <w:rPr>
          <w:rFonts w:hint="eastAsia" w:ascii="楷体_GB2312" w:hAnsi="楷体_GB2312" w:eastAsia="楷体_GB2312" w:cs="楷体_GB2312"/>
          <w:color w:val="auto"/>
          <w:highlight w:val="none"/>
          <w:lang w:val="en-US" w:eastAsia="zh-CN"/>
        </w:rPr>
        <w:t>（八）创新驱动，推进未来健康产业发展</w:t>
      </w:r>
      <w:bookmarkEnd w:id="272"/>
      <w:bookmarkEnd w:id="273"/>
      <w:bookmarkEnd w:id="274"/>
      <w:bookmarkEnd w:id="275"/>
      <w:bookmarkEnd w:id="276"/>
      <w:bookmarkEnd w:id="277"/>
    </w:p>
    <w:p w14:paraId="3B1EC9E9">
      <w:pPr>
        <w:pStyle w:val="6"/>
        <w:pageBreakBefore w:val="0"/>
        <w:widowControl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78" w:name="_Toc376681846"/>
      <w:bookmarkStart w:id="279" w:name="_Toc499835501"/>
      <w:bookmarkStart w:id="280" w:name="_Toc1069262704"/>
      <w:bookmarkStart w:id="281" w:name="_Toc1654329994"/>
      <w:bookmarkStart w:id="282" w:name="_Toc27726"/>
      <w:bookmarkStart w:id="283" w:name="_Toc201089835"/>
      <w:r>
        <w:rPr>
          <w:rFonts w:hint="eastAsia" w:ascii="Times New Roman" w:hAnsi="Times New Roman" w:cs="宋体"/>
          <w:highlight w:val="none"/>
          <w:lang w:val="en-US" w:eastAsia="zh-CN"/>
        </w:rPr>
        <w:t>1.优化产业空间布局</w:t>
      </w:r>
      <w:bookmarkEnd w:id="278"/>
      <w:bookmarkEnd w:id="279"/>
      <w:bookmarkEnd w:id="280"/>
      <w:bookmarkEnd w:id="281"/>
      <w:bookmarkEnd w:id="282"/>
      <w:bookmarkEnd w:id="283"/>
    </w:p>
    <w:p w14:paraId="4FC1A8EE">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依托区域产业基础，构建多点协同产业发展格局。加大招商引资力度，实施企业梯度培育计划，出台具有比较优势的未来健康产业专项政策，重点招引AI+医疗、智能医疗设备、再生医学等领域领军企业。</w:t>
      </w:r>
      <w:r>
        <w:rPr>
          <w:rFonts w:hint="eastAsia" w:ascii="Times New Roman" w:hAnsi="Times New Roman"/>
          <w:color w:val="auto"/>
          <w:highlight w:val="none"/>
        </w:rPr>
        <w:t>探索引入专业化未来健康产业孵化器，培育高新技术企业和专精特新企业。支持企业迭代升级，发挥龙头企业引领作用，带动中小企业融通发展</w:t>
      </w:r>
      <w:r>
        <w:rPr>
          <w:rFonts w:hint="eastAsia" w:ascii="Times New Roman" w:hAnsi="Times New Roman"/>
          <w:color w:val="auto"/>
          <w:highlight w:val="none"/>
          <w:lang w:eastAsia="zh-CN"/>
        </w:rPr>
        <w:t>。</w:t>
      </w:r>
    </w:p>
    <w:p w14:paraId="211C7278">
      <w:pPr>
        <w:pStyle w:val="6"/>
        <w:pageBreakBefore w:val="0"/>
        <w:widowControl w:val="0"/>
        <w:kinsoku/>
        <w:wordWrap/>
        <w:overflowPunct/>
        <w:topLinePunct w:val="0"/>
        <w:autoSpaceDE/>
        <w:autoSpaceDN/>
        <w:bidi w:val="0"/>
        <w:adjustRightInd/>
        <w:snapToGrid/>
        <w:spacing w:before="0" w:after="0"/>
        <w:ind w:firstLine="643" w:firstLineChars="200"/>
        <w:textAlignment w:val="auto"/>
        <w:outlineLvl w:val="2"/>
        <w:rPr>
          <w:rFonts w:hint="eastAsia" w:ascii="Times New Roman" w:hAnsi="Times New Roman" w:cs="宋体"/>
          <w:highlight w:val="none"/>
          <w:lang w:val="en-US" w:eastAsia="zh-CN"/>
        </w:rPr>
      </w:pPr>
      <w:bookmarkStart w:id="284" w:name="_Toc457"/>
      <w:bookmarkStart w:id="285" w:name="_Toc100923788"/>
      <w:bookmarkStart w:id="286" w:name="_Toc2051817077"/>
      <w:bookmarkStart w:id="287" w:name="_Toc1493336632"/>
      <w:bookmarkStart w:id="288" w:name="_Toc663714864"/>
      <w:bookmarkStart w:id="289" w:name="_Toc1781502104"/>
      <w:r>
        <w:rPr>
          <w:rFonts w:hint="eastAsia" w:ascii="Times New Roman" w:hAnsi="Times New Roman" w:cs="宋体"/>
          <w:highlight w:val="none"/>
          <w:lang w:val="en-US" w:eastAsia="zh-CN"/>
        </w:rPr>
        <w:t>2.推动医药成果转化</w:t>
      </w:r>
      <w:bookmarkEnd w:id="284"/>
      <w:bookmarkEnd w:id="285"/>
      <w:bookmarkEnd w:id="286"/>
      <w:bookmarkEnd w:id="287"/>
      <w:bookmarkEnd w:id="288"/>
      <w:bookmarkEnd w:id="289"/>
    </w:p>
    <w:p w14:paraId="0F48D198">
      <w:pPr>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完善医药创新发展生态，加强区医药卫生科技创新成果转化基地建设。推动医疗机构临床需求与企业研发能力精准对接，集聚创新资源开展关键核心技术攻关，重点推动大数据、人工智能与生物技术交叉融合，孵化具有自主知识产权的创新产品。推动创新成果与市场精准对接，加速产业数字转型和创新升级。培育区域特色产业品牌，提升产业核心竞争力。</w:t>
      </w:r>
    </w:p>
    <w:p w14:paraId="718025D2">
      <w:pPr>
        <w:pStyle w:val="3"/>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eastAsia" w:ascii="Times New Roman" w:hAnsi="Times New Roman"/>
          <w:color w:val="auto"/>
          <w:highlight w:val="none"/>
          <w:lang w:val="en-US" w:eastAsia="zh-CN"/>
        </w:rPr>
      </w:pPr>
      <w:bookmarkStart w:id="290" w:name="_Toc2003693945"/>
      <w:bookmarkStart w:id="291" w:name="_Toc1290826063"/>
      <w:bookmarkStart w:id="292" w:name="_Toc397894756"/>
      <w:bookmarkStart w:id="293" w:name="_Toc1833457815"/>
      <w:bookmarkStart w:id="294" w:name="_Toc26118"/>
      <w:bookmarkStart w:id="295" w:name="_Toc1190339643"/>
      <w:r>
        <w:rPr>
          <w:rStyle w:val="30"/>
          <w:rFonts w:hint="eastAsia"/>
          <w:highlight w:val="none"/>
          <w:lang w:val="en-US" w:eastAsia="zh-CN"/>
        </w:rPr>
        <w:t>三、保障措施</w:t>
      </w:r>
      <w:bookmarkEnd w:id="290"/>
      <w:bookmarkEnd w:id="291"/>
      <w:bookmarkEnd w:id="292"/>
      <w:bookmarkEnd w:id="293"/>
      <w:bookmarkEnd w:id="294"/>
      <w:bookmarkEnd w:id="295"/>
    </w:p>
    <w:p w14:paraId="63CE2524">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ighlight w:val="none"/>
          <w:lang w:val="en-US" w:eastAsia="zh-CN"/>
        </w:rPr>
      </w:pPr>
      <w:bookmarkStart w:id="296" w:name="_Toc29616"/>
      <w:bookmarkStart w:id="297" w:name="_Toc1640671695"/>
      <w:r>
        <w:rPr>
          <w:rFonts w:hint="eastAsia" w:ascii="Times New Roman" w:hAnsi="Times New Roman" w:eastAsia="仿宋_GB2312"/>
          <w:color w:val="auto"/>
          <w:highlight w:val="none"/>
          <w:lang w:val="en-US" w:eastAsia="zh-CN"/>
        </w:rPr>
        <w:t>加强组织领导</w:t>
      </w:r>
      <w:bookmarkEnd w:id="296"/>
      <w:bookmarkEnd w:id="297"/>
      <w:r>
        <w:rPr>
          <w:rFonts w:hint="eastAsia" w:ascii="Times New Roman" w:hAnsi="Times New Roman"/>
          <w:color w:val="auto"/>
          <w:highlight w:val="none"/>
          <w:lang w:val="en-US" w:eastAsia="zh-CN"/>
        </w:rPr>
        <w:t>，强化党对卫生健康工作的全面领导，推动将健康融入所有政策；制定任务分工方案，建立健全常态化协商调度机制，增强工作合力。</w:t>
      </w:r>
      <w:bookmarkStart w:id="298" w:name="_Toc25150"/>
      <w:bookmarkStart w:id="299" w:name="_Toc603219506"/>
      <w:r>
        <w:rPr>
          <w:rFonts w:hint="eastAsia" w:ascii="Times New Roman" w:hAnsi="Times New Roman" w:eastAsia="仿宋_GB2312"/>
          <w:color w:val="auto"/>
          <w:highlight w:val="none"/>
          <w:lang w:val="en-US" w:eastAsia="zh-CN"/>
        </w:rPr>
        <w:t>加强综合保障</w:t>
      </w:r>
      <w:bookmarkEnd w:id="298"/>
      <w:bookmarkEnd w:id="299"/>
      <w:r>
        <w:rPr>
          <w:rFonts w:hint="eastAsia" w:ascii="Times New Roman" w:hAnsi="Times New Roman"/>
          <w:color w:val="auto"/>
          <w:highlight w:val="none"/>
          <w:lang w:val="en-US" w:eastAsia="zh-CN"/>
        </w:rPr>
        <w:t>，强化财政投入、土地划拨、信息化支撑等相关配套政策支持，滚动推进卫生健康项目建设。</w:t>
      </w:r>
      <w:r>
        <w:rPr>
          <w:rFonts w:hint="eastAsia" w:ascii="Times New Roman" w:hAnsi="Times New Roman" w:cstheme="minorBidi"/>
          <w:color w:val="auto"/>
          <w:highlight w:val="none"/>
          <w:lang w:val="en-US" w:eastAsia="zh-CN"/>
        </w:rPr>
        <w:t>加强宣传引导，</w:t>
      </w:r>
      <w:r>
        <w:rPr>
          <w:rFonts w:hint="eastAsia" w:ascii="Times New Roman" w:hAnsi="Times New Roman"/>
          <w:color w:val="auto"/>
          <w:highlight w:val="none"/>
          <w:lang w:val="en-US" w:eastAsia="zh-CN"/>
        </w:rPr>
        <w:t>及时总结典型经验做法，回应社会关切，营造全社会尊医重卫的良好风气。</w:t>
      </w:r>
      <w:r>
        <w:rPr>
          <w:rFonts w:hint="eastAsia" w:ascii="Times New Roman" w:hAnsi="Times New Roman" w:eastAsia="仿宋_GB2312"/>
          <w:color w:val="auto"/>
          <w:highlight w:val="none"/>
          <w:lang w:val="en-US" w:eastAsia="zh-CN"/>
        </w:rPr>
        <w:t>加强评估督导</w:t>
      </w:r>
      <w:r>
        <w:rPr>
          <w:rFonts w:hint="eastAsia" w:ascii="Times New Roman" w:hAnsi="Times New Roman"/>
          <w:color w:val="auto"/>
          <w:highlight w:val="none"/>
          <w:lang w:val="en-US" w:eastAsia="zh-CN"/>
        </w:rPr>
        <w:t>，建立健全规划监测评估机制，及时发现并研究解决规划实施过程中存在的问题和困难，确保规划各项目标任务。</w:t>
      </w:r>
    </w:p>
    <w:sectPr>
      <w:footerReference r:id="rId4"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Times New Roman Bold">
    <w:altName w:val="Times New Roman"/>
    <w:panose1 w:val="02020603050405020304"/>
    <w:charset w:val="00"/>
    <w:family w:val="auto"/>
    <w:pitch w:val="default"/>
    <w:sig w:usb0="00000000" w:usb1="00000000" w:usb2="00000009" w:usb3="00000000" w:csb0="400001FF" w:csb1="FFFF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auto"/>
    <w:pitch w:val="default"/>
    <w:sig w:usb0="E1002EFF" w:usb1="C000605B" w:usb2="00000029" w:usb3="00000000" w:csb0="200101FF" w:csb1="20280000"/>
  </w:font>
  <w:font w:name="国标宋体">
    <w:panose1 w:val="02000500000000000000"/>
    <w:charset w:val="86"/>
    <w:family w:val="auto"/>
    <w:pitch w:val="default"/>
    <w:sig w:usb0="00000001" w:usb1="28000000" w:usb2="00000000" w:usb3="00000000" w:csb0="00060007"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62EB7">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9D1D3">
                          <w:pPr>
                            <w:pStyle w:val="10"/>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eastAsia="zh-CN"/>
                            </w:rPr>
                            <w:fldChar w:fldCharType="begin"/>
                          </w:r>
                          <w:r>
                            <w:rPr>
                              <w:rFonts w:hint="eastAsia" w:ascii="国标宋体" w:hAnsi="国标宋体" w:eastAsia="国标宋体" w:cs="国标宋体"/>
                              <w:sz w:val="28"/>
                              <w:szCs w:val="28"/>
                              <w:lang w:eastAsia="zh-CN"/>
                            </w:rPr>
                            <w:instrText xml:space="preserve"> PAGE  \* MERGEFORMAT </w:instrText>
                          </w:r>
                          <w:r>
                            <w:rPr>
                              <w:rFonts w:hint="eastAsia" w:ascii="国标宋体" w:hAnsi="国标宋体" w:eastAsia="国标宋体" w:cs="国标宋体"/>
                              <w:sz w:val="28"/>
                              <w:szCs w:val="28"/>
                              <w:lang w:eastAsia="zh-CN"/>
                            </w:rPr>
                            <w:fldChar w:fldCharType="separate"/>
                          </w:r>
                          <w:r>
                            <w:rPr>
                              <w:rFonts w:hint="eastAsia" w:ascii="国标宋体" w:hAnsi="国标宋体" w:eastAsia="国标宋体" w:cs="国标宋体"/>
                              <w:sz w:val="28"/>
                              <w:szCs w:val="28"/>
                              <w:lang w:eastAsia="zh-CN"/>
                            </w:rPr>
                            <w:t>1</w:t>
                          </w:r>
                          <w:r>
                            <w:rPr>
                              <w:rFonts w:hint="eastAsia" w:ascii="国标宋体" w:hAnsi="国标宋体" w:eastAsia="国标宋体" w:cs="国标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19D1D3">
                    <w:pPr>
                      <w:pStyle w:val="10"/>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eastAsia="zh-CN"/>
                      </w:rPr>
                      <w:fldChar w:fldCharType="begin"/>
                    </w:r>
                    <w:r>
                      <w:rPr>
                        <w:rFonts w:hint="eastAsia" w:ascii="国标宋体" w:hAnsi="国标宋体" w:eastAsia="国标宋体" w:cs="国标宋体"/>
                        <w:sz w:val="28"/>
                        <w:szCs w:val="28"/>
                        <w:lang w:eastAsia="zh-CN"/>
                      </w:rPr>
                      <w:instrText xml:space="preserve"> PAGE  \* MERGEFORMAT </w:instrText>
                    </w:r>
                    <w:r>
                      <w:rPr>
                        <w:rFonts w:hint="eastAsia" w:ascii="国标宋体" w:hAnsi="国标宋体" w:eastAsia="国标宋体" w:cs="国标宋体"/>
                        <w:sz w:val="28"/>
                        <w:szCs w:val="28"/>
                        <w:lang w:eastAsia="zh-CN"/>
                      </w:rPr>
                      <w:fldChar w:fldCharType="separate"/>
                    </w:r>
                    <w:r>
                      <w:rPr>
                        <w:rFonts w:hint="eastAsia" w:ascii="国标宋体" w:hAnsi="国标宋体" w:eastAsia="国标宋体" w:cs="国标宋体"/>
                        <w:sz w:val="28"/>
                        <w:szCs w:val="28"/>
                        <w:lang w:eastAsia="zh-CN"/>
                      </w:rPr>
                      <w:t>1</w:t>
                    </w:r>
                    <w:r>
                      <w:rPr>
                        <w:rFonts w:hint="eastAsia" w:ascii="国标宋体" w:hAnsi="国标宋体" w:eastAsia="国标宋体" w:cs="国标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48AC5">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FF4D5"/>
    <w:multiLevelType w:val="singleLevel"/>
    <w:tmpl w:val="FBFFF4D5"/>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xNjc0MDQ3NjQwNTYyOTQ4YjczZjE3ZjUwYzQ3MTIifQ=="/>
  </w:docVars>
  <w:rsids>
    <w:rsidRoot w:val="76566C46"/>
    <w:rsid w:val="008A28FC"/>
    <w:rsid w:val="00C91C98"/>
    <w:rsid w:val="00FC3E1B"/>
    <w:rsid w:val="02445A7A"/>
    <w:rsid w:val="03637C72"/>
    <w:rsid w:val="045FD5BC"/>
    <w:rsid w:val="04761E78"/>
    <w:rsid w:val="05A051FF"/>
    <w:rsid w:val="06997F82"/>
    <w:rsid w:val="07925AA7"/>
    <w:rsid w:val="07A174CB"/>
    <w:rsid w:val="07F12200"/>
    <w:rsid w:val="08F7B31F"/>
    <w:rsid w:val="090728DE"/>
    <w:rsid w:val="090E293E"/>
    <w:rsid w:val="09390BCA"/>
    <w:rsid w:val="098E7D44"/>
    <w:rsid w:val="0ADA51CD"/>
    <w:rsid w:val="0B3151A9"/>
    <w:rsid w:val="0C3E3B91"/>
    <w:rsid w:val="0F194CB3"/>
    <w:rsid w:val="0F566DED"/>
    <w:rsid w:val="0F9271AC"/>
    <w:rsid w:val="0FFB800F"/>
    <w:rsid w:val="0FFD0521"/>
    <w:rsid w:val="10757746"/>
    <w:rsid w:val="11B5604C"/>
    <w:rsid w:val="125C471A"/>
    <w:rsid w:val="13CE33F5"/>
    <w:rsid w:val="142B6A9A"/>
    <w:rsid w:val="16421F49"/>
    <w:rsid w:val="172A4DE7"/>
    <w:rsid w:val="18C079C1"/>
    <w:rsid w:val="18F36F7D"/>
    <w:rsid w:val="19F61558"/>
    <w:rsid w:val="1B6469EA"/>
    <w:rsid w:val="1C821221"/>
    <w:rsid w:val="1CEA2B1D"/>
    <w:rsid w:val="1CFF2872"/>
    <w:rsid w:val="1D4E496C"/>
    <w:rsid w:val="1DA80560"/>
    <w:rsid w:val="1DAF4298"/>
    <w:rsid w:val="1E0F11DA"/>
    <w:rsid w:val="1E251408"/>
    <w:rsid w:val="204B31C7"/>
    <w:rsid w:val="218477E9"/>
    <w:rsid w:val="21CF315A"/>
    <w:rsid w:val="2355768F"/>
    <w:rsid w:val="24390D5F"/>
    <w:rsid w:val="251402A8"/>
    <w:rsid w:val="25FF3151"/>
    <w:rsid w:val="26E64098"/>
    <w:rsid w:val="275F7736"/>
    <w:rsid w:val="278E278E"/>
    <w:rsid w:val="27CB6172"/>
    <w:rsid w:val="292F44DF"/>
    <w:rsid w:val="293D309F"/>
    <w:rsid w:val="2A386425"/>
    <w:rsid w:val="2AD97214"/>
    <w:rsid w:val="2AFD022C"/>
    <w:rsid w:val="2B457FE9"/>
    <w:rsid w:val="2C010A2B"/>
    <w:rsid w:val="2EEF1750"/>
    <w:rsid w:val="2FF6C881"/>
    <w:rsid w:val="2FF9701E"/>
    <w:rsid w:val="2FFD86FF"/>
    <w:rsid w:val="30880D45"/>
    <w:rsid w:val="308C5C70"/>
    <w:rsid w:val="312D7153"/>
    <w:rsid w:val="316311C9"/>
    <w:rsid w:val="32F742BF"/>
    <w:rsid w:val="33A438F1"/>
    <w:rsid w:val="33AE06F6"/>
    <w:rsid w:val="34125129"/>
    <w:rsid w:val="358F6A42"/>
    <w:rsid w:val="36462E68"/>
    <w:rsid w:val="364E510B"/>
    <w:rsid w:val="36C37B5A"/>
    <w:rsid w:val="371A057C"/>
    <w:rsid w:val="376E08C8"/>
    <w:rsid w:val="37C16903"/>
    <w:rsid w:val="37E5B32E"/>
    <w:rsid w:val="37F7B881"/>
    <w:rsid w:val="38E01109"/>
    <w:rsid w:val="391F631E"/>
    <w:rsid w:val="39363667"/>
    <w:rsid w:val="39B822CE"/>
    <w:rsid w:val="3A3D131E"/>
    <w:rsid w:val="3AEBABEA"/>
    <w:rsid w:val="3B81535C"/>
    <w:rsid w:val="3BBEF5FC"/>
    <w:rsid w:val="3BFD6849"/>
    <w:rsid w:val="3CF7F033"/>
    <w:rsid w:val="3CF95770"/>
    <w:rsid w:val="3D530ED5"/>
    <w:rsid w:val="3D74650C"/>
    <w:rsid w:val="3D7F2107"/>
    <w:rsid w:val="3DBDC51E"/>
    <w:rsid w:val="3DD15B38"/>
    <w:rsid w:val="3DFDFE27"/>
    <w:rsid w:val="3E081F73"/>
    <w:rsid w:val="3E8FC1C3"/>
    <w:rsid w:val="3EC3599D"/>
    <w:rsid w:val="3EFB137C"/>
    <w:rsid w:val="3F676589"/>
    <w:rsid w:val="3F7A9FC4"/>
    <w:rsid w:val="40A9471F"/>
    <w:rsid w:val="43056584"/>
    <w:rsid w:val="437B6009"/>
    <w:rsid w:val="43F3462F"/>
    <w:rsid w:val="4439400C"/>
    <w:rsid w:val="44D50A94"/>
    <w:rsid w:val="477EC291"/>
    <w:rsid w:val="48A36757"/>
    <w:rsid w:val="48E94252"/>
    <w:rsid w:val="4A1724E5"/>
    <w:rsid w:val="4A665746"/>
    <w:rsid w:val="4A7713B9"/>
    <w:rsid w:val="4B046FCD"/>
    <w:rsid w:val="4B2C03AC"/>
    <w:rsid w:val="4B7FB874"/>
    <w:rsid w:val="4BA81321"/>
    <w:rsid w:val="4BBA1ED6"/>
    <w:rsid w:val="4C1F3F83"/>
    <w:rsid w:val="4CC26201"/>
    <w:rsid w:val="4D2B308B"/>
    <w:rsid w:val="4DAF4F31"/>
    <w:rsid w:val="4DE82963"/>
    <w:rsid w:val="4E9E163B"/>
    <w:rsid w:val="4EE21297"/>
    <w:rsid w:val="4FDB4DB3"/>
    <w:rsid w:val="502D6917"/>
    <w:rsid w:val="50E35A2B"/>
    <w:rsid w:val="51993548"/>
    <w:rsid w:val="528D27C6"/>
    <w:rsid w:val="538B4884"/>
    <w:rsid w:val="53DB3D07"/>
    <w:rsid w:val="54211353"/>
    <w:rsid w:val="54EA6135"/>
    <w:rsid w:val="54F8E0F7"/>
    <w:rsid w:val="55BA31FE"/>
    <w:rsid w:val="55DD5A84"/>
    <w:rsid w:val="56E16569"/>
    <w:rsid w:val="5749220F"/>
    <w:rsid w:val="585F008D"/>
    <w:rsid w:val="59D30EF8"/>
    <w:rsid w:val="5A034309"/>
    <w:rsid w:val="5AC44B90"/>
    <w:rsid w:val="5AE86A24"/>
    <w:rsid w:val="5B4F0E25"/>
    <w:rsid w:val="5BA069F2"/>
    <w:rsid w:val="5BEBDC00"/>
    <w:rsid w:val="5DFF735C"/>
    <w:rsid w:val="5E7BB620"/>
    <w:rsid w:val="5EEC44A7"/>
    <w:rsid w:val="5F7BD023"/>
    <w:rsid w:val="5FBF3863"/>
    <w:rsid w:val="5FE516F4"/>
    <w:rsid w:val="5FE7164D"/>
    <w:rsid w:val="61B50D1E"/>
    <w:rsid w:val="62621930"/>
    <w:rsid w:val="652F9FF7"/>
    <w:rsid w:val="67BD0081"/>
    <w:rsid w:val="6A3678AA"/>
    <w:rsid w:val="6BB9327E"/>
    <w:rsid w:val="6BFFBC97"/>
    <w:rsid w:val="6CA2523D"/>
    <w:rsid w:val="6DE44E65"/>
    <w:rsid w:val="6DE7FD37"/>
    <w:rsid w:val="6E4618B1"/>
    <w:rsid w:val="6E77D30E"/>
    <w:rsid w:val="6E880D2F"/>
    <w:rsid w:val="6F7F4EB3"/>
    <w:rsid w:val="6FBDFBA4"/>
    <w:rsid w:val="6FBF869D"/>
    <w:rsid w:val="707D3538"/>
    <w:rsid w:val="70931893"/>
    <w:rsid w:val="71D466D8"/>
    <w:rsid w:val="71F87130"/>
    <w:rsid w:val="71FBBBE5"/>
    <w:rsid w:val="728409C4"/>
    <w:rsid w:val="735878F1"/>
    <w:rsid w:val="73CF2D15"/>
    <w:rsid w:val="74114ED4"/>
    <w:rsid w:val="749712A5"/>
    <w:rsid w:val="74A2C1B0"/>
    <w:rsid w:val="74FF4013"/>
    <w:rsid w:val="75212F16"/>
    <w:rsid w:val="757D43FC"/>
    <w:rsid w:val="757FDF90"/>
    <w:rsid w:val="75E365E8"/>
    <w:rsid w:val="77D53A70"/>
    <w:rsid w:val="77D7F061"/>
    <w:rsid w:val="77F8AC1B"/>
    <w:rsid w:val="77FE638F"/>
    <w:rsid w:val="78656BA2"/>
    <w:rsid w:val="7947D36F"/>
    <w:rsid w:val="794913F7"/>
    <w:rsid w:val="7AD796F9"/>
    <w:rsid w:val="7B1F26DB"/>
    <w:rsid w:val="7DFE35E3"/>
    <w:rsid w:val="7E551C72"/>
    <w:rsid w:val="7E6F56C8"/>
    <w:rsid w:val="7E8C564E"/>
    <w:rsid w:val="7EAE265F"/>
    <w:rsid w:val="7EDA02F7"/>
    <w:rsid w:val="7EF62C61"/>
    <w:rsid w:val="7EFB62DC"/>
    <w:rsid w:val="7EFD9E94"/>
    <w:rsid w:val="7EFF9B42"/>
    <w:rsid w:val="7FBFC493"/>
    <w:rsid w:val="7FE91B0D"/>
    <w:rsid w:val="7FFAEB9C"/>
    <w:rsid w:val="7FFE605E"/>
    <w:rsid w:val="7FFF74FF"/>
    <w:rsid w:val="7FFF7CFF"/>
    <w:rsid w:val="999FF25E"/>
    <w:rsid w:val="99F577B9"/>
    <w:rsid w:val="B2D5BF8B"/>
    <w:rsid w:val="B773E43C"/>
    <w:rsid w:val="BB6467B1"/>
    <w:rsid w:val="BDFFF3F9"/>
    <w:rsid w:val="CC7FE25C"/>
    <w:rsid w:val="CDDCAF38"/>
    <w:rsid w:val="CF5D97FF"/>
    <w:rsid w:val="DBC329D0"/>
    <w:rsid w:val="DDFFBFCB"/>
    <w:rsid w:val="DF3692D3"/>
    <w:rsid w:val="DF3F5225"/>
    <w:rsid w:val="DFCFDDA4"/>
    <w:rsid w:val="DFDE8FF7"/>
    <w:rsid w:val="DFFB490E"/>
    <w:rsid w:val="E2F33C3D"/>
    <w:rsid w:val="E6FF9D36"/>
    <w:rsid w:val="E76B31D7"/>
    <w:rsid w:val="E793D31B"/>
    <w:rsid w:val="E96F20F5"/>
    <w:rsid w:val="E9FF3870"/>
    <w:rsid w:val="EBED1D27"/>
    <w:rsid w:val="EDDF60DB"/>
    <w:rsid w:val="EEDA7B84"/>
    <w:rsid w:val="EEFE3830"/>
    <w:rsid w:val="F1F298E0"/>
    <w:rsid w:val="F27D6F5E"/>
    <w:rsid w:val="F3C7E287"/>
    <w:rsid w:val="F3CF059B"/>
    <w:rsid w:val="F578C12E"/>
    <w:rsid w:val="F597ADFE"/>
    <w:rsid w:val="F5EBE0E8"/>
    <w:rsid w:val="F6BF9043"/>
    <w:rsid w:val="F6E35C84"/>
    <w:rsid w:val="F75F7CF7"/>
    <w:rsid w:val="F7748FE5"/>
    <w:rsid w:val="F77A1276"/>
    <w:rsid w:val="F7DEBF30"/>
    <w:rsid w:val="F7ED5520"/>
    <w:rsid w:val="F93AB894"/>
    <w:rsid w:val="F9BF3134"/>
    <w:rsid w:val="FA8D3606"/>
    <w:rsid w:val="FAF782D6"/>
    <w:rsid w:val="FBED236F"/>
    <w:rsid w:val="FBEF69EF"/>
    <w:rsid w:val="FBFF4B8E"/>
    <w:rsid w:val="FCF95220"/>
    <w:rsid w:val="FCFF06C8"/>
    <w:rsid w:val="FDBD8B3C"/>
    <w:rsid w:val="FEBB75DD"/>
    <w:rsid w:val="FEEDD1FA"/>
    <w:rsid w:val="FEEFFF91"/>
    <w:rsid w:val="FEFFCB1E"/>
    <w:rsid w:val="FF5B13FD"/>
    <w:rsid w:val="FF5F4C11"/>
    <w:rsid w:val="FF772B94"/>
    <w:rsid w:val="FF77C9CB"/>
    <w:rsid w:val="FF77CAE1"/>
    <w:rsid w:val="FF7F13CA"/>
    <w:rsid w:val="FF7F5A9E"/>
    <w:rsid w:val="FF9F1388"/>
    <w:rsid w:val="FFAE8745"/>
    <w:rsid w:val="FFAFB264"/>
    <w:rsid w:val="FFD72C84"/>
    <w:rsid w:val="FFDFA40B"/>
    <w:rsid w:val="FFF3FCB3"/>
    <w:rsid w:val="FFF765DF"/>
    <w:rsid w:val="FFFB0E17"/>
    <w:rsid w:val="FFFCFD41"/>
    <w:rsid w:val="FFFF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99"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_GB2312" w:asciiTheme="minorAscii" w:hAnsiTheme="minorAscii" w:cstheme="minorBidi"/>
      <w:kern w:val="2"/>
      <w:sz w:val="32"/>
      <w:szCs w:val="24"/>
      <w:lang w:val="en-US" w:eastAsia="zh-CN" w:bidi="ar-SA"/>
    </w:rPr>
  </w:style>
  <w:style w:type="paragraph" w:styleId="3">
    <w:name w:val="heading 1"/>
    <w:basedOn w:val="1"/>
    <w:next w:val="1"/>
    <w:link w:val="26"/>
    <w:qFormat/>
    <w:uiPriority w:val="0"/>
    <w:pPr>
      <w:keepNext w:val="0"/>
      <w:keepLines w:val="0"/>
      <w:spacing w:beforeLines="0" w:beforeAutospacing="0" w:afterLines="0" w:afterAutospacing="0" w:line="560" w:lineRule="exact"/>
      <w:ind w:firstLine="420" w:firstLineChars="200"/>
      <w:outlineLvl w:val="0"/>
    </w:pPr>
    <w:rPr>
      <w:rFonts w:eastAsia="方正小标宋简体" w:asciiTheme="minorAscii" w:hAnsiTheme="minorAscii"/>
      <w:kern w:val="44"/>
      <w:sz w:val="44"/>
    </w:rPr>
  </w:style>
  <w:style w:type="paragraph" w:styleId="4">
    <w:name w:val="heading 2"/>
    <w:basedOn w:val="3"/>
    <w:next w:val="1"/>
    <w:link w:val="30"/>
    <w:unhideWhenUsed/>
    <w:qFormat/>
    <w:uiPriority w:val="0"/>
    <w:pPr>
      <w:spacing w:before="0" w:beforeAutospacing="0" w:after="0" w:afterAutospacing="0" w:line="560" w:lineRule="exact"/>
      <w:ind w:firstLine="640" w:firstLineChars="200"/>
      <w:jc w:val="both"/>
      <w:outlineLvl w:val="1"/>
    </w:pPr>
    <w:rPr>
      <w:rFonts w:hint="eastAsia" w:ascii="宋体" w:hAnsi="宋体" w:eastAsia="黑体" w:cs="宋体"/>
      <w:bCs/>
      <w:kern w:val="0"/>
      <w:sz w:val="32"/>
      <w:szCs w:val="36"/>
      <w:lang w:bidi="ar"/>
    </w:rPr>
  </w:style>
  <w:style w:type="paragraph" w:styleId="5">
    <w:name w:val="heading 3"/>
    <w:basedOn w:val="1"/>
    <w:next w:val="1"/>
    <w:unhideWhenUsed/>
    <w:qFormat/>
    <w:uiPriority w:val="0"/>
    <w:pPr>
      <w:keepNext/>
      <w:keepLines/>
      <w:spacing w:beforeLines="0" w:beforeAutospacing="0" w:afterLines="0" w:afterAutospacing="0" w:line="560" w:lineRule="exact"/>
      <w:ind w:firstLine="640" w:firstLineChars="200"/>
      <w:outlineLvl w:val="2"/>
    </w:pPr>
    <w:rPr>
      <w:rFonts w:eastAsia="楷体"/>
    </w:rPr>
  </w:style>
  <w:style w:type="paragraph" w:styleId="6">
    <w:name w:val="heading 4"/>
    <w:basedOn w:val="1"/>
    <w:next w:val="1"/>
    <w:unhideWhenUsed/>
    <w:qFormat/>
    <w:uiPriority w:val="0"/>
    <w:pPr>
      <w:spacing w:before="0" w:beforeAutospacing="0" w:after="0" w:afterAutospacing="0" w:line="560" w:lineRule="exact"/>
      <w:ind w:firstLine="880" w:firstLineChars="200"/>
      <w:jc w:val="left"/>
      <w:outlineLvl w:val="3"/>
    </w:pPr>
    <w:rPr>
      <w:rFonts w:hint="default" w:ascii="Times New Roman" w:hAnsi="Times New Roman" w:cs="宋体"/>
      <w:b/>
      <w:bCs/>
      <w:kern w:val="0"/>
      <w:lang w:bidi="ar"/>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rPr>
  </w:style>
  <w:style w:type="paragraph" w:styleId="7">
    <w:name w:val="annotation text"/>
    <w:basedOn w:val="1"/>
    <w:qFormat/>
    <w:uiPriority w:val="0"/>
    <w:pPr>
      <w:jc w:val="left"/>
    </w:pPr>
  </w:style>
  <w:style w:type="paragraph" w:styleId="8">
    <w:name w:val="toc 3"/>
    <w:basedOn w:val="1"/>
    <w:next w:val="1"/>
    <w:qFormat/>
    <w:uiPriority w:val="0"/>
    <w:pPr>
      <w:ind w:left="840" w:leftChars="400"/>
    </w:pPr>
  </w:style>
  <w:style w:type="paragraph" w:styleId="9">
    <w:name w:val="Plain Text"/>
    <w:basedOn w:val="1"/>
    <w:next w:val="1"/>
    <w:qFormat/>
    <w:uiPriority w:val="0"/>
    <w:rPr>
      <w:rFonts w:ascii="宋体" w:hAnsi="Courier New"/>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footnote text"/>
    <w:basedOn w:val="1"/>
    <w:qFormat/>
    <w:uiPriority w:val="0"/>
    <w:pPr>
      <w:snapToGrid w:val="0"/>
    </w:pPr>
    <w:rPr>
      <w:rFonts w:ascii="等线" w:hAnsi="等线" w:cs="宋体"/>
      <w:kern w:val="2"/>
      <w:sz w:val="18"/>
      <w:szCs w:val="18"/>
    </w:rPr>
  </w:style>
  <w:style w:type="paragraph" w:styleId="14">
    <w:name w:val="index 9"/>
    <w:basedOn w:val="1"/>
    <w:next w:val="1"/>
    <w:unhideWhenUsed/>
    <w:qFormat/>
    <w:uiPriority w:val="99"/>
    <w:pPr>
      <w:spacing w:line="700" w:lineRule="exact"/>
      <w:jc w:val="center"/>
    </w:pPr>
    <w:rPr>
      <w:rFonts w:ascii="仿宋_GB2312" w:eastAsia="仿宋_GB2312"/>
      <w:sz w:val="32"/>
      <w:szCs w:val="32"/>
    </w:rPr>
  </w:style>
  <w:style w:type="paragraph" w:styleId="15">
    <w:name w:val="toc 2"/>
    <w:basedOn w:val="1"/>
    <w:next w:val="1"/>
    <w:qFormat/>
    <w:uiPriority w:val="0"/>
    <w:pPr>
      <w:ind w:left="42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footnote reference"/>
    <w:qFormat/>
    <w:uiPriority w:val="99"/>
    <w:rPr>
      <w:vertAlign w:val="superscript"/>
    </w:rPr>
  </w:style>
  <w:style w:type="paragraph" w:customStyle="1" w:styleId="22">
    <w:name w:val="索引 81"/>
    <w:basedOn w:val="1"/>
    <w:next w:val="1"/>
    <w:qFormat/>
    <w:uiPriority w:val="0"/>
    <w:pPr>
      <w:ind w:left="2940"/>
    </w:p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paragraph" w:customStyle="1" w:styleId="24">
    <w:name w:val="WPSOffice手动目录 2"/>
    <w:qFormat/>
    <w:uiPriority w:val="0"/>
    <w:pPr>
      <w:ind w:leftChars="200"/>
    </w:pPr>
    <w:rPr>
      <w:rFonts w:ascii="Times New Roman" w:hAnsi="Times New Roman" w:eastAsia="宋体" w:cs="Times New Roman"/>
      <w:sz w:val="20"/>
      <w:szCs w:val="20"/>
    </w:rPr>
  </w:style>
  <w:style w:type="paragraph" w:customStyle="1" w:styleId="25">
    <w:name w:val="WPSOffice手动目录 3"/>
    <w:qFormat/>
    <w:uiPriority w:val="0"/>
    <w:pPr>
      <w:ind w:leftChars="400"/>
    </w:pPr>
    <w:rPr>
      <w:rFonts w:ascii="Times New Roman" w:hAnsi="Times New Roman" w:eastAsia="宋体" w:cs="Times New Roman"/>
      <w:sz w:val="20"/>
      <w:szCs w:val="20"/>
    </w:rPr>
  </w:style>
  <w:style w:type="character" w:customStyle="1" w:styleId="26">
    <w:name w:val="标题 1 Char"/>
    <w:link w:val="3"/>
    <w:qFormat/>
    <w:uiPriority w:val="0"/>
    <w:rPr>
      <w:rFonts w:eastAsia="方正小标宋简体" w:asciiTheme="minorAscii" w:hAnsiTheme="minorAscii"/>
      <w:kern w:val="44"/>
      <w:sz w:val="44"/>
    </w:rPr>
  </w:style>
  <w:style w:type="character" w:customStyle="1" w:styleId="27">
    <w:name w:val="NormalCharacter"/>
    <w:link w:val="28"/>
    <w:semiHidden/>
    <w:qFormat/>
    <w:uiPriority w:val="0"/>
    <w:rPr>
      <w:rFonts w:ascii="Tahoma" w:hAnsi="Tahoma"/>
      <w:kern w:val="2"/>
      <w:sz w:val="24"/>
      <w:szCs w:val="20"/>
      <w:lang w:val="en-US" w:eastAsia="zh-CN" w:bidi="ar-SA"/>
    </w:rPr>
  </w:style>
  <w:style w:type="paragraph" w:customStyle="1" w:styleId="28">
    <w:name w:val="UserStyle_7"/>
    <w:basedOn w:val="1"/>
    <w:link w:val="27"/>
    <w:qFormat/>
    <w:uiPriority w:val="0"/>
    <w:pPr>
      <w:jc w:val="both"/>
      <w:textAlignment w:val="baseline"/>
    </w:pPr>
    <w:rPr>
      <w:rFonts w:ascii="Tahoma" w:hAnsi="Tahoma"/>
      <w:kern w:val="2"/>
      <w:sz w:val="24"/>
      <w:szCs w:val="20"/>
      <w:lang w:val="en-US" w:eastAsia="zh-CN" w:bidi="ar-SA"/>
    </w:rPr>
  </w:style>
  <w:style w:type="paragraph" w:customStyle="1" w:styleId="29">
    <w:name w:val="Default"/>
    <w:unhideWhenUsed/>
    <w:qFormat/>
    <w:uiPriority w:val="99"/>
    <w:pPr>
      <w:widowControl w:val="0"/>
      <w:autoSpaceDE w:val="0"/>
      <w:autoSpaceDN w:val="0"/>
      <w:adjustRightInd w:val="0"/>
    </w:pPr>
    <w:rPr>
      <w:rFonts w:hint="eastAsia" w:ascii="仿宋_GB2312" w:hAnsi="仿宋_GB2312" w:eastAsia="仿宋_GB2312" w:cs="黑体"/>
      <w:color w:val="000000"/>
      <w:sz w:val="24"/>
      <w:lang w:val="en-US" w:eastAsia="zh-CN" w:bidi="ar-SA"/>
    </w:rPr>
  </w:style>
  <w:style w:type="character" w:customStyle="1" w:styleId="30">
    <w:name w:val="标题 2 Char1"/>
    <w:link w:val="4"/>
    <w:qFormat/>
    <w:uiPriority w:val="0"/>
    <w:rPr>
      <w:rFonts w:hint="eastAsia" w:ascii="宋体" w:hAnsi="宋体" w:eastAsia="黑体" w:cs="宋体"/>
      <w:bCs/>
      <w:kern w:val="0"/>
      <w:sz w:val="32"/>
      <w:szCs w:val="36"/>
      <w:lang w:bidi="ar"/>
    </w:rPr>
  </w:style>
  <w:style w:type="paragraph" w:customStyle="1" w:styleId="31">
    <w:name w:val="BodyText"/>
    <w:basedOn w:val="1"/>
    <w:qFormat/>
    <w:uiPriority w:val="0"/>
    <w:pPr>
      <w:spacing w:after="120"/>
    </w:pPr>
    <w:rPr>
      <w:sz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9189</Words>
  <Characters>9453</Characters>
  <Lines>0</Lines>
  <Paragraphs>0</Paragraphs>
  <TotalTime>38</TotalTime>
  <ScaleCrop>false</ScaleCrop>
  <LinksUpToDate>false</LinksUpToDate>
  <CharactersWithSpaces>15125</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2025-11-21T21:16:00Z</dcterms:created>
  <dc:creator>dell</dc:creator>
  <cp:lastModifiedBy>于亚航</cp:lastModifiedBy>
  <cp:lastPrinted>2026-07-25T08:18:00Z</cp:lastPrinted>
  <dcterms:modified xsi:type="dcterms:W3CDTF">2026-07-28T09:35:54Z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KSOTemplateDocerSaveRecord">
    <vt:lpwstr>eyJoZGlkIjoiNGM0NjhlZjhmZGViMzI4ZGY2OGU1MGRjMDAxNjRiM2QiLCJ1c2VySWQiOiIzNDEyMzM5MjYifQ==</vt:lpwstr>
  </property>
  <property fmtid="{D5CDD505-2E9C-101B-9397-08002B2CF9AE}" pid="4" name="ICV">
    <vt:lpwstr>62271271631680B8FF91586ADE591150_43</vt:lpwstr>
  </property>
</Properties>
</file>