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北京市石景山区“十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五”一般专项规划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52"/>
          <w:szCs w:val="52"/>
        </w:rPr>
        <w:t>石景山区“十五五”时期</w:t>
      </w:r>
      <w:r>
        <w:rPr>
          <w:rFonts w:hint="eastAsia" w:ascii="Times New Roman" w:hAnsi="Times New Roman" w:eastAsia="方正小标宋简体" w:cs="Times New Roman"/>
          <w:sz w:val="52"/>
          <w:szCs w:val="52"/>
          <w:lang w:val="en-US" w:eastAsia="zh-CN"/>
        </w:rPr>
        <w:t>深化国际消费中心城市建设</w:t>
      </w:r>
      <w:r>
        <w:rPr>
          <w:rFonts w:hint="eastAsia" w:ascii="Times New Roman" w:hAnsi="Times New Roman" w:eastAsia="方正小标宋简体" w:cs="Times New Roman"/>
          <w:sz w:val="52"/>
          <w:szCs w:val="52"/>
        </w:rPr>
        <w:t>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bookmarkStart w:id="314" w:name="_GoBack"/>
      <w:r>
        <w:rPr>
          <w:rFonts w:hint="eastAsia" w:ascii="黑体" w:hAnsi="黑体" w:eastAsia="黑体" w:cs="黑体"/>
          <w:sz w:val="32"/>
          <w:szCs w:val="32"/>
        </w:rPr>
        <w:t>（征求意见稿）</w:t>
      </w:r>
    </w:p>
    <w:bookmarkEnd w:id="314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北京市石景山区商务局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2026年7月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Toc7412"/>
      <w:bookmarkStart w:id="1" w:name="_Toc4612"/>
      <w:bookmarkStart w:id="2" w:name="_Toc27818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 w:start="1"/>
          <w:cols w:space="0" w:num="1"/>
          <w:rtlGutter w:val="0"/>
          <w:docGrid w:type="lines" w:linePitch="319" w:charSpace="0"/>
        </w:sectPr>
      </w:pPr>
      <w:bookmarkStart w:id="3" w:name="_Toc29894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0" w:num="1"/>
          <w:rtlGutter w:val="0"/>
          <w:docGrid w:type="lines" w:linePitch="319" w:charSpace="0"/>
        </w:sectPr>
      </w:pPr>
      <w:bookmarkStart w:id="4" w:name="_Toc29899"/>
    </w:p>
    <w:bookmarkEnd w:id="0"/>
    <w:bookmarkEnd w:id="1"/>
    <w:bookmarkEnd w:id="2"/>
    <w:bookmarkEnd w:id="3"/>
    <w:bookmarkEnd w:id="4"/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5" w:name="_Toc23389"/>
      <w:bookmarkStart w:id="6" w:name="_Toc8002"/>
      <w:bookmarkStart w:id="7" w:name="_Toc27571"/>
      <w:bookmarkStart w:id="8" w:name="_Toc6836"/>
      <w:bookmarkStart w:id="9" w:name="_Toc197"/>
      <w:bookmarkStart w:id="10" w:name="_Toc6035"/>
      <w:bookmarkStart w:id="11" w:name="_Toc31204"/>
      <w:bookmarkStart w:id="12" w:name="_Toc26495"/>
      <w:bookmarkStart w:id="13" w:name="_Toc7957"/>
      <w:bookmarkStart w:id="14" w:name="_Toc8352"/>
      <w:bookmarkStart w:id="15" w:name="_Toc9438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录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instrText xml:space="preserve">TOC \o "1-2" \h \u </w:instrTex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_Toc4594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lang w:val="en-US" w:eastAsia="zh-CN"/>
        </w:rPr>
        <w:t>一、“十五五”时期国际消费中心城市建设总体要求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_Toc4594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- 3 -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instrText xml:space="preserve"> HYPERLINK \l _Toc27015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t>（一）指导思想</w:t>
      </w:r>
      <w:r>
        <w:rPr>
          <w:rFonts w:hint="default" w:ascii="Times New Roman" w:hAnsi="Times New Roman" w:eastAsia="仿宋_GB2312" w:cs="Times New Roman"/>
          <w:sz w:val="30"/>
          <w:szCs w:val="30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</w:rPr>
        <w:instrText xml:space="preserve"> PAGEREF _Toc27015 \h </w:instrText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</w:rPr>
        <w:t>- 3 -</w:t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instrText xml:space="preserve"> HYPERLINK \l _Toc25008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t>（二）发展目标</w:t>
      </w:r>
      <w:r>
        <w:rPr>
          <w:rFonts w:hint="default" w:ascii="Times New Roman" w:hAnsi="Times New Roman" w:eastAsia="仿宋_GB2312" w:cs="Times New Roman"/>
          <w:sz w:val="30"/>
          <w:szCs w:val="30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</w:rPr>
        <w:instrText xml:space="preserve"> PAGEREF _Toc25008 \h </w:instrText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</w:rPr>
        <w:t>- 3 -</w:t>
      </w:r>
      <w:r>
        <w:rPr>
          <w:rFonts w:hint="default"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lang w:val="en-US" w:eastAsia="zh-CN"/>
        </w:rPr>
        <w:fldChar w:fldCharType="end"/>
      </w:r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_Toc12652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shd w:val="clear" w:color="auto" w:fill="auto"/>
          <w:lang w:val="en-US" w:eastAsia="zh-CN"/>
        </w:rPr>
        <w:t>二、培育服务消费升级引领区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_Toc12652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- 4 -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_Toc15043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val="en-US" w:eastAsia="zh-CN"/>
        </w:rPr>
        <w:t>（一）擦亮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</w:rPr>
        <w:t>特色服务消费品牌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_Toc15043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- 4 -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_Toc4490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（二）培育潜力服务消费市场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_Toc4490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- 6 -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_Toc24451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（三）促进文商旅体展深度融合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_Toc24451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- 8 -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_Toc16027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shd w:val="clear" w:color="auto" w:fill="auto"/>
          <w:lang w:val="en-US" w:eastAsia="zh-CN"/>
        </w:rPr>
        <w:t>三、打造</w:t>
      </w:r>
      <w:r>
        <w:rPr>
          <w:rFonts w:hint="default" w:ascii="Times New Roman" w:hAnsi="Times New Roman" w:eastAsia="黑体" w:cs="Times New Roman"/>
          <w:bCs w:val="0"/>
          <w:sz w:val="32"/>
          <w:szCs w:val="32"/>
          <w:highlight w:val="none"/>
          <w:shd w:val="clear" w:color="auto" w:fill="auto"/>
          <w:lang w:val="en-US" w:eastAsia="zh-CN"/>
        </w:rPr>
        <w:t>京西国际品牌聚集区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_Toc16027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- 9 -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_Toc18045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val="en-US" w:eastAsia="zh-CN"/>
        </w:rPr>
        <w:t>（一）加快知名品牌集聚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_Toc18045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- 9 -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_Toc32459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（二）扩大新兴消费供给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_Toc32459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- 10 -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_Toc26547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（三）提升便民商业品质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_Toc26547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- 11 -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_Toc12917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shd w:val="clear" w:color="auto" w:fill="auto"/>
          <w:lang w:val="en-US" w:eastAsia="zh-CN"/>
        </w:rPr>
        <w:t>四、构建全域消费场景先行区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_Toc12917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- 12 -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_Toc20721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（一）优化“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</w:rPr>
        <w:t>一核一廊三圈</w: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”消费格局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_Toc20721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- 12 -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_Toc2981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</w:rPr>
        <w:t>推动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val="en-US" w:eastAsia="zh-CN"/>
        </w:rPr>
        <w:t>两园一河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shd w:val="clear" w:color="auto" w:fill="auto"/>
          <w:lang w:val="en-US" w:eastAsia="zh-CN"/>
        </w:rPr>
        <w:t>协同联动发展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_Toc2981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- 15 -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_Toc8634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shd w:val="clear" w:color="auto" w:fill="auto"/>
          <w:lang w:val="en-US" w:eastAsia="zh-CN"/>
        </w:rPr>
        <w:t>五、建设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auto"/>
        </w:rPr>
        <w:t>国际消费体验示范区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_Toc8634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- 16 -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_Toc13018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（一）促进入境消费扩容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_Toc13018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- 16 -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_Toc21394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（二）完善消费配套服务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_Toc21394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- 17 -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_Toc19094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（三）提升消费市场环境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_Toc19094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- 17 -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0"/>
        <w:tabs>
          <w:tab w:val="right" w:leader="dot" w:pos="8845"/>
        </w:tabs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instrText xml:space="preserve"> HYPERLINK \l _Toc6582 </w:instrText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黑体" w:cs="Times New Roman"/>
          <w:bCs w:val="0"/>
          <w:sz w:val="32"/>
          <w:szCs w:val="32"/>
          <w:shd w:val="clear" w:color="auto" w:fill="auto"/>
          <w:lang w:val="en-US" w:eastAsia="zh-CN"/>
        </w:rPr>
        <w:t>六、规划实施保障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PAGEREF _Toc6582 \h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>
        <w:rPr>
          <w:rFonts w:ascii="Times New Roman" w:hAnsi="Times New Roman" w:cs="Times New Roman"/>
          <w:sz w:val="32"/>
          <w:szCs w:val="32"/>
        </w:rPr>
        <w:t>- 18 -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_Toc4291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（一）落实上位发展部署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_Toc4291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- 18 -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12"/>
        <w:tabs>
          <w:tab w:val="right" w:leader="dot" w:pos="8845"/>
        </w:tabs>
        <w:spacing w:line="56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instrText xml:space="preserve"> HYPERLINK \l _Toc15236 </w:instrText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shd w:val="clear" w:color="auto" w:fill="auto"/>
          <w:lang w:val="en-US" w:eastAsia="zh-CN"/>
        </w:rPr>
        <w:t>（二）加强区级统筹实施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instrText xml:space="preserve"> PAGEREF _Toc15236 \h </w:instrTex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- 19 -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bCs w:val="0"/>
          <w:sz w:val="30"/>
          <w:szCs w:val="30"/>
          <w:highlight w:val="none"/>
          <w:lang w:val="en-US" w:eastAsia="zh-CN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 w:val="0"/>
          <w:sz w:val="32"/>
          <w:szCs w:val="32"/>
          <w:lang w:val="en-US" w:eastAsia="zh-CN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 w:val="0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numberInDash" w:start="1"/>
          <w:cols w:space="0" w:num="1"/>
          <w:rtlGutter w:val="0"/>
          <w:docGrid w:type="lines" w:linePitch="319" w:charSpace="0"/>
        </w:sectPr>
      </w:pPr>
      <w:bookmarkStart w:id="16" w:name="_Toc27446"/>
      <w:bookmarkStart w:id="17" w:name="_Toc9787"/>
    </w:p>
    <w:bookmarkEnd w:id="13"/>
    <w:bookmarkEnd w:id="14"/>
    <w:bookmarkEnd w:id="15"/>
    <w:bookmarkEnd w:id="16"/>
    <w:bookmarkEnd w:id="17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18" w:name="_Toc12443"/>
      <w:bookmarkStart w:id="19" w:name="_Toc7659"/>
      <w:bookmarkStart w:id="20" w:name="_Toc18056"/>
      <w:bookmarkStart w:id="21" w:name="_Toc25727"/>
      <w:bookmarkStart w:id="22" w:name="_Toc21010"/>
      <w:bookmarkStart w:id="23" w:name="_Toc14876"/>
      <w:bookmarkStart w:id="24" w:name="_Toc27278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为贯彻落实党中央国务院关于扩大内需、提振消费决策部署和市委市政府工作要求，全面落实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《北京市石景山区国民经济和社会发展第十五个五年规划纲要》《北京市“十五五”时期深化国际消费中心城市建设规划》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，编制本规划。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25" w:name="_Toc7355"/>
      <w:bookmarkStart w:id="26" w:name="_Toc28592"/>
      <w:bookmarkStart w:id="27" w:name="_Toc4594"/>
      <w:bookmarkStart w:id="28" w:name="_Toc28395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一、“十五五”时期国际消费中心城市建设总体要求</w:t>
      </w:r>
      <w:bookmarkEnd w:id="18"/>
      <w:bookmarkEnd w:id="25"/>
      <w:bookmarkEnd w:id="26"/>
      <w:bookmarkEnd w:id="27"/>
      <w:bookmarkEnd w:id="28"/>
    </w:p>
    <w:bookmarkEnd w:id="19"/>
    <w:bookmarkEnd w:id="20"/>
    <w:bookmarkEnd w:id="2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bookmarkStart w:id="29" w:name="_Toc2448"/>
      <w:bookmarkStart w:id="30" w:name="_Toc27015"/>
      <w:bookmarkStart w:id="31" w:name="_Toc13908"/>
      <w:bookmarkStart w:id="32" w:name="_Toc10475"/>
      <w:bookmarkStart w:id="33" w:name="_Toc4266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（一）指导思想</w:t>
      </w:r>
      <w:bookmarkEnd w:id="22"/>
      <w:bookmarkEnd w:id="23"/>
      <w:bookmarkEnd w:id="24"/>
      <w:bookmarkEnd w:id="29"/>
      <w:bookmarkEnd w:id="30"/>
      <w:bookmarkEnd w:id="31"/>
      <w:bookmarkEnd w:id="32"/>
      <w:bookmarkEnd w:id="3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34" w:name="_Toc25226"/>
      <w:bookmarkStart w:id="35" w:name="_Toc2633"/>
      <w:bookmarkStart w:id="36" w:name="_Toc9356"/>
      <w:bookmarkStart w:id="37" w:name="_Toc29776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入贯彻落实党的二十大和二十届历次全会精神，深入贯彻习近平总书记对北京重要讲话精神，全面落实国家和北京市关于国际消费中心城市建设部署，坚持立足“三区”定位，深入实施“两大战略”，统筹做好“四个融合”文章，把握“两园一河”协同联动发展、会展小镇打造机遇，突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auto"/>
          <w:lang w:val="en-US" w:eastAsia="zh-CN"/>
        </w:rPr>
        <w:t>“扩大供给”与“提振需求”两条主线，坚持“国际化引领”“协同化升级”“制度化创新”三化赋能，推动消费升级与城市更新、产业发展深度协同，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培育消费新业态、新模式、新场景，促进消费高质量发展、结构性优化，力争建设成为北京国际消费中心城市西部引擎。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bookmarkStart w:id="38" w:name="_Toc25713"/>
      <w:bookmarkStart w:id="39" w:name="_Toc14980"/>
      <w:bookmarkStart w:id="40" w:name="_Toc14806"/>
      <w:bookmarkStart w:id="41" w:name="_Toc14809"/>
      <w:bookmarkStart w:id="42" w:name="_Toc32410"/>
      <w:bookmarkStart w:id="43" w:name="_Toc4602"/>
      <w:bookmarkStart w:id="44" w:name="_Toc5646"/>
      <w:bookmarkStart w:id="45" w:name="_Toc25008"/>
      <w:bookmarkStart w:id="46" w:name="_Toc26068"/>
      <w:bookmarkStart w:id="47" w:name="_Toc19861"/>
      <w:bookmarkStart w:id="48" w:name="_Toc29654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（二）发展目标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基本建成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服务消费升级引领区、京西国际品牌聚集区、全域消费场景先行区、国际消费体验示范区，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市场总消费额年均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增速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%左右。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文旅、体育、会展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shd w:val="clear"/>
          <w:lang w:val="en-US" w:eastAsia="zh-CN"/>
        </w:rPr>
        <w:t>、数字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等服务消费品牌彰显，家政、医养、银发等潜力消费扩容升级，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文商旅体展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/>
          <w:lang w:val="en-US" w:eastAsia="zh-CN"/>
        </w:rPr>
        <w:t>深度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/>
          <w:lang w:val="en-US" w:eastAsia="zh-CN"/>
        </w:rPr>
        <w:t>首钢园全球首发中心能级提升，知名餐饮品牌店集聚，国潮消费、智能消费、汽车消费规模壮大。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shd w:val="clear"/>
          <w:lang w:val="en-US" w:eastAsia="zh-CN" w:bidi="ar-SA"/>
        </w:rPr>
        <w:t>“一核一廊三圈”消费空间扩容，“两园一河”特色消费场景活力彰显，一刻钟便民生活圈数量和质量提升。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重点商圈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交通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接驳便利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增强，消费配套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品质提升，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智慧消费体验升级，消费市场经营秩序公平规范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rPr>
          <w:rFonts w:hint="default" w:ascii="仿宋_GB2312" w:hAnsi="仿宋_GB2312" w:cs="仿宋_GB2312"/>
          <w:b/>
          <w:bCs/>
          <w:sz w:val="28"/>
          <w:szCs w:val="28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highlight w:val="none"/>
          <w:u w:val="none" w:color="auto"/>
          <w:shd w:val="clear" w:color="auto" w:fill="auto"/>
          <w:lang w:val="en-US" w:eastAsia="zh-CN"/>
        </w:rPr>
        <w:t xml:space="preserve">表1  </w:t>
      </w:r>
      <w:r>
        <w:rPr>
          <w:rFonts w:hint="eastAsia" w:ascii="仿宋_GB2312" w:hAnsi="仿宋_GB2312" w:cs="仿宋_GB2312"/>
          <w:b/>
          <w:bCs/>
          <w:sz w:val="28"/>
          <w:szCs w:val="28"/>
          <w:highlight w:val="none"/>
          <w:u w:val="none" w:color="auto"/>
          <w:shd w:val="clear" w:color="auto" w:fill="auto"/>
          <w:lang w:val="en-US" w:eastAsia="zh-CN"/>
        </w:rPr>
        <w:t>“十五五”时期深化国际消费中心城市建设主要指标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5164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指标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市场总消费额年均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增速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5%左右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开设首发专区、专场的特色展会活动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  <w:t>3-5个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文商旅体展融合场景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  <w:t>2-3个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新增落地北京首店、旗舰店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不少于100家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5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每年举办具有影响力的首发首映首展首秀活动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不少于2场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6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-SA"/>
              </w:rPr>
              <w:t>开放式商业街区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1-2条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6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vertAlign w:val="baseline"/>
                <w:lang w:val="en-US" w:eastAsia="zh-CN"/>
              </w:rPr>
              <w:t>7</w:t>
            </w:r>
          </w:p>
        </w:tc>
        <w:tc>
          <w:tcPr>
            <w:tcW w:w="5164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新增离境退税商店</w:t>
            </w:r>
          </w:p>
        </w:tc>
        <w:tc>
          <w:tcPr>
            <w:tcW w:w="1940" w:type="dxa"/>
            <w:vAlign w:val="center"/>
          </w:tcPr>
          <w:p>
            <w:pPr>
              <w:snapToGrid w:val="0"/>
              <w:spacing w:beforeLines="0" w:afterLines="0" w:line="240" w:lineRule="auto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10家以上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49" w:name="_Toc12652"/>
      <w:bookmarkStart w:id="50" w:name="_Toc2056"/>
      <w:bookmarkStart w:id="51" w:name="_Toc27826"/>
      <w:bookmarkStart w:id="52" w:name="_Toc2589"/>
      <w:bookmarkStart w:id="53" w:name="_Toc17715"/>
      <w:bookmarkStart w:id="54" w:name="_Toc22626"/>
      <w:bookmarkStart w:id="55" w:name="_Toc23886"/>
      <w:bookmarkStart w:id="56" w:name="_Toc8405"/>
      <w:bookmarkStart w:id="57" w:name="_Toc5775"/>
      <w:bookmarkStart w:id="58" w:name="_Toc30279"/>
      <w:bookmarkStart w:id="59" w:name="_Toc4491"/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二、培育服务消费升级引领区</w:t>
      </w:r>
      <w:bookmarkEnd w:id="49"/>
      <w:bookmarkEnd w:id="50"/>
      <w:bookmarkEnd w:id="51"/>
      <w:bookmarkEnd w:id="52"/>
      <w:bookmarkEnd w:id="53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60" w:name="_Toc20954"/>
      <w:bookmarkStart w:id="61" w:name="_Toc25179"/>
      <w:bookmarkStart w:id="62" w:name="_Toc27059"/>
      <w:bookmarkStart w:id="63" w:name="_Toc15043"/>
      <w:bookmarkStart w:id="64" w:name="_Toc7773"/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（一）擦亮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</w:rPr>
        <w:t>特色服务消费品牌</w:t>
      </w:r>
      <w:bookmarkEnd w:id="60"/>
      <w:bookmarkEnd w:id="61"/>
      <w:bookmarkEnd w:id="62"/>
      <w:bookmarkEnd w:id="63"/>
      <w:bookmarkEnd w:id="64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1.繁荣特色文旅消费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</w:rPr>
        <w:t>紧抓“演艺之都”建设契机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加强文博设施、文化园区、特色街区等空间资源利用，谋划建设京西电竞艺体中心，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试点建设模式口主题文化空间、国际文化艺术交流中心等带动面广、显示度高的消费新场景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  <w:lang w:val="en-US" w:eastAsia="zh-CN"/>
        </w:rPr>
        <w:t>加快建设博物馆之城探索示范区，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支持文旅设施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和各类经营性文化场馆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引进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AR实景互动场景，提升数字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文博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消费体验。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整合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古道、工业、壁画艺术等具有商业价值的文化资源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，以Citywalk、Cityride为主题，开发双奥冰雪运动游、工业历史遗产游、滨水通航休闲游等入境游精品线路。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推广运营24小时智能书柜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支持实体书店引入互动展览、设计手作、文化沙龙等文化消费业态，打造城市“第三空间”消费品牌。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激发体育赛事消费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依托体育消费和赛事经济试点城市建设，整合优化赛事载体资源，构建“五个一批”赛事供给体系，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none" w:color="auto"/>
          <w:shd w:val="clear" w:color="auto" w:fill="auto"/>
        </w:rPr>
        <w:t>驱动“赛事+”深度融合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推动赛事经济高质量发展。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聚焦全民健身普及与体育消费升级，深入开展“8·8体育消费节”“金秋体育盛会”等群众性体育活动，构建全民参与、全域覆盖、全时乐享的全民健身新格局。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大力发展冰雪经济，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持续办好“市民快乐冰雪季”系列特色品牌活动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丰富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标准化冰雪运动体验场景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推动青少年冰雪运动发展。利用城市“金角银边”配建“小而美”的健身设施，推动各类体育场馆开放共享，探索场馆分时共享与多元利用机制。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专栏1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auto"/>
              </w:rPr>
              <w:t>“五个一批”赛事供给体系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</w:rPr>
              <w:t>引进一批国际顶尖品牌赛事，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</w:rPr>
              <w:t>放大世界乒乓球职业大联盟（WTT）中国大满贯、滑雪大跳台世界杯等品牌赛事溢出效应，积极引进冰雪、自行车、乒羽等国际品牌赛事。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</w:rPr>
              <w:t>承办射箭、击剑、自行车等一批全国高水平专业赛事，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</w:rPr>
              <w:t>打造“石景山杯”国家级赛事IP。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</w:rPr>
              <w:t>培育一批自主品牌赛事，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</w:rPr>
              <w:t>优化“徒步石景山”“永定河马拉松”等自主IP。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</w:rPr>
              <w:t>发展一批潮流运动赛事，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</w:rPr>
              <w:t>探索虚拟体育、电竞赛事等新业态。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</w:rPr>
              <w:t>升级一批群众体育赛事，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</w:rPr>
              <w:t>夯实全民健身基础，持续巩固和扩大“带动三亿人参与冰雪运动”成果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3.促进会展融合消费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借助中国国际服务贸易交易会举办，推动会展活动与产业链上下游对接，促进新品首发、技术体验与消费应用一体化。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加快推进会展小镇建设，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大力引进数字潮玩、智能科技、精品户外、健康养老等新兴消费类展会，举办医疗美容、绿色食品、花卉园艺等时尚消费类展览，打造特色会展消费集聚区。创新“以展营城”消费模式，将消费类、科技类、文创类展会延伸至商圈、街区、景区、社区，布局消费体验场景，举办主题消费活动。推动会展场馆与重点商圈、特色街区、文旅景区</w:t>
      </w:r>
      <w:r>
        <w:rPr>
          <w:rFonts w:hint="eastAsia" w:ascii="Times New Roman" w:hAnsi="Times New Roman" w:eastAsia="仿宋_GB2312" w:cs="Courier New"/>
          <w:sz w:val="32"/>
          <w:szCs w:val="32"/>
          <w:highlight w:val="none"/>
          <w:u w:val="none" w:color="auto"/>
          <w:shd w:val="clear" w:color="auto" w:fill="auto"/>
        </w:rPr>
        <w:t>互动互促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，在重大展会期间联合举办丰富多样的促消费活动。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65" w:name="_Toc7846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4.释放数字消费潜能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深化落实“两区”建设政策，重点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推动“人工智能+消费”，加快推广智能穿戴、家庭服务机器人、无人配送等产品，培育智能文旅、智能医疗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智慧会展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等智能消费服务业态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建设融石广场多人形机器人协同智能服务等应用体验场景，开辟高成长性消费新赛道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依托SoReal科幻乐园等空间和京西电竞节等活动，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推动具身智能机器人在科幻、游戏、元宇宙等领域的示范应用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创建“科幻+时尚”等多元消费新场景，培育科幻、电竞消费特色IP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支持直播、短视频等新业态新模式发展，推动商场、文化空间等场所构建可感知可体验的数字消费场景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</w:pPr>
      <w:bookmarkStart w:id="66" w:name="_Toc2684"/>
      <w:bookmarkStart w:id="67" w:name="_Toc15641"/>
      <w:bookmarkStart w:id="68" w:name="_Toc16061"/>
      <w:bookmarkStart w:id="69" w:name="_Toc4490"/>
      <w:r>
        <w:rPr>
          <w:rFonts w:hint="eastAsia" w:ascii="楷体_GB2312" w:hAnsi="楷体_GB2312" w:eastAsia="楷体_GB2312" w:cs="楷体_GB2312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（二）培育潜力服务消费市场</w:t>
      </w:r>
      <w:bookmarkEnd w:id="65"/>
      <w:bookmarkEnd w:id="66"/>
      <w:bookmarkEnd w:id="67"/>
      <w:bookmarkEnd w:id="68"/>
      <w:bookmarkEnd w:id="69"/>
    </w:p>
    <w:p>
      <w:pPr>
        <w:numPr>
          <w:ilvl w:val="-1"/>
          <w:numId w:val="0"/>
        </w:numPr>
        <w:spacing w:beforeLines="0" w:afterLines="0" w:line="560" w:lineRule="exact"/>
        <w:ind w:firstLine="642" w:firstLineChars="200"/>
        <w:jc w:val="left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1.促进生活服务消费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contextualSpacing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/>
        </w:rPr>
        <w:t>深入落实打造国际美食之都行动，积极引进国内外知名榜单餐饮品牌，发布“美食地图”，培育一批度假旅游美食打卡地，提升餐饮消费知名度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持续推动家政服务进社区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 w:color="auto"/>
          <w:shd w:val="clear" w:color="auto" w:fill="auto"/>
        </w:rPr>
        <w:t>，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鼓励家政服务企业提升数智化水平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推出“家政+养老”“家政+育儿”等个性化、定制化服务。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健全三级养老服务体系，完善区域养老服务中心布局，织密社区养老及助残服务网络，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优化老年助餐、康复护理等服务设施，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打造老年友好型社区。大力发展银发经济，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深化医养结合与专业照护服务，打造老年教育、文化体验等银发消费新场景。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建成区级托育综合服务中心，推进社区嵌入式托育点建设，支持公共场所合理设置亲子区和临时托管点，加强家庭育儿指导与支持服务，实现普惠托育机构街道全覆盖。</w:t>
      </w:r>
    </w:p>
    <w:p>
      <w:pPr>
        <w:numPr>
          <w:ilvl w:val="-1"/>
          <w:numId w:val="0"/>
        </w:numPr>
        <w:spacing w:beforeLines="0" w:afterLines="0" w:line="560" w:lineRule="exact"/>
        <w:ind w:firstLine="642" w:firstLineChars="200"/>
        <w:jc w:val="left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2.丰富医疗健康消费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 w:color="auto"/>
          <w:shd w:val="clear" w:color="auto" w:fill="auto"/>
        </w:rPr>
        <w:t>鼓励中外合资企业开设国际医疗机构，支持三级医院设立国际医疗服务部及特需门诊。鼓励医疗机构运用“互联网+”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 w:color="auto"/>
          <w:shd w:val="clear" w:color="auto" w:fill="auto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发展移动诊疗、远程会诊服务等新兴模式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推动市场化健康服务机构、新型医养结合项目落地，发展健康管理、高端体检、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健康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咨询等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健康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服务业态，培育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定制化健康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消费品牌。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促进中医药与文旅消费融合，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优化中医诊疗、药膳养生、康复调理、健康研学等业态布局，激发“大健康”消费活力。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完善中医药健康管理服务，推动中医药服务深度融入养老、康复、护理等场景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3.提升教育培训消费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结合教育培训多元化升级趋势，推动区内高校院所、社区组织共享优质教育资源，满足社会大众化个性化学习需求。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u w:val="none" w:color="auto"/>
          <w:shd w:val="clear" w:color="auto" w:fill="auto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规范发展文化艺术、科技、体育类非学科教育培训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u w:val="none" w:color="auto"/>
          <w:shd w:val="clear" w:color="auto" w:fill="auto"/>
          <w:lang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u w:val="none" w:color="auto"/>
          <w:shd w:val="clear" w:color="auto" w:fill="auto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有序发展社区学院、市民夜校、老年培训，提供优质技能培训、文化艺术培训。</w:t>
      </w:r>
      <w:r>
        <w:rPr>
          <w:rFonts w:hint="eastAsia" w:ascii="仿宋_GB2312" w:hAnsi="仿宋_GB2312" w:eastAsia="仿宋_GB2312" w:cs="仿宋_GB2312"/>
          <w:b w:val="0"/>
          <w:bCs w:val="0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推进特钢国际学校建设，提升人大附中石景山学校中美高中课程合作项目质量，提升国际教育消费能级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highlight w:val="none"/>
          <w:u w:val="none" w:color="auto"/>
          <w:shd w:val="clear" w:color="auto" w:fill="auto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D0D0D" w:themeColor="text1" w:themeTint="F2"/>
          <w:kern w:val="2"/>
          <w:sz w:val="32"/>
          <w:szCs w:val="32"/>
          <w:highlight w:val="none"/>
          <w:u w:val="none" w:color="auto"/>
          <w:shd w:val="clear" w:color="auto" w:fill="auto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深入实施“中文+职业教育”技能培训项目，引入外商独资职业技能培训机构。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bookmarkStart w:id="70" w:name="_Toc25845"/>
      <w:bookmarkStart w:id="71" w:name="_Toc24451"/>
      <w:bookmarkStart w:id="72" w:name="_Toc23546"/>
      <w:bookmarkStart w:id="73" w:name="_Toc30170"/>
      <w:bookmarkStart w:id="74" w:name="_Toc19814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（三）促进文商旅体展深度融合</w:t>
      </w:r>
      <w:bookmarkEnd w:id="70"/>
      <w:bookmarkEnd w:id="71"/>
      <w:bookmarkEnd w:id="72"/>
      <w:bookmarkEnd w:id="73"/>
      <w:bookmarkEnd w:id="7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1.打造特色融合消费地标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以“八大处公园+西山绿道”为核心，加强地标性景点、商业空间整合，培育徒步、骑行、露营等近山消费新名片。推动北京冬奥公园莲石湖区域功能升级，引入集装箱商业模式，布局饮品、冰激凌、小食甜品等消费业态，拓展自然科普、拍照打卡等场景，提升滨水消费价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支持大型商业设施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商业街区引入文艺观演、体育观赛、艺术展览等业态，丰富“商业+”多元消费体验。推动文博场馆、体育场馆、会展场馆等合理植入艺术市集、创意快闪、非遗工坊等消费场景，激活融合消费潜力。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2.释放新型体验经济活力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大力发展夜间经济，加强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石景山游乐园、首钢园等夜间特色消费地标建设，依托永定河沿岸打造夜景、夜娱、夜购等夜间消费街区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打造京西特色夜间消费品牌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大力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培育宠物经济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具备条件的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商业综合体、公园等场所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试点建设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宠物友好空间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积极发展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“宠物+文旅”融合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体验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业态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bookmarkEnd w:id="54"/>
      <w:bookmarkEnd w:id="55"/>
      <w:bookmarkEnd w:id="56"/>
      <w:bookmarkEnd w:id="57"/>
      <w:bookmarkEnd w:id="58"/>
      <w:bookmarkEnd w:id="59"/>
      <w:bookmarkStart w:id="75" w:name="_Toc29012"/>
      <w:bookmarkStart w:id="76" w:name="_Toc21472"/>
      <w:bookmarkStart w:id="77" w:name="_Toc6478"/>
      <w:bookmarkStart w:id="78" w:name="_Toc30707"/>
      <w:bookmarkStart w:id="79" w:name="_Toc24643"/>
      <w:bookmarkStart w:id="80" w:name="_Toc16170"/>
      <w:bookmarkStart w:id="81" w:name="_Toc1028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积极壮大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票根经济，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依托大型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展会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</w:rPr>
        <w:t>、赛事、演艺等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活动，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精准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串联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周边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餐饮、住宿、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文旅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景区、影院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、商超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等多元消费资源，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提升假日经济活力。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专栏2  大力发展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夜间经济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left="0" w:leftChars="0" w:firstLine="562" w:firstLineChars="200"/>
              <w:jc w:val="left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加强石景山游乐园、首钢园等夜间特色消费地标建设。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充分挖掘两大园区资源禀赋，升级夜间景观、配套设施与消费业态，打造沉浸式夜游、潮流消费、休闲演艺等特色场景，常态化举办潮流夜间市集、滨水主题游园、特色美食展演、文体惠民派对等促消费活动，塑造标志性夜间消费打卡地。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依托永定河沿岸打造夜景、夜娱、夜购等夜间消费街区。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深度盘活永定河沿岸生态廊道资源，整合沿岸商铺、休闲步道、亲水空间等资源，引入潮流零售、特色小吃、休闲茶饮、户外轻娱、文体展演等多元业态，常态化开展夜间市集、水岸演艺、休闲夜跑、亲子夜游等群众性活动，打造层次丰富、特色鲜明的水岸夜景景观带，聚拢夜间人流，激活消费市场。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82" w:name="_Toc16027"/>
      <w:bookmarkStart w:id="83" w:name="_Toc6675"/>
      <w:bookmarkStart w:id="84" w:name="_Toc2039"/>
      <w:bookmarkStart w:id="85" w:name="_Toc28624"/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三、打造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京西国际品牌聚集区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86" w:name="_Toc12606"/>
      <w:bookmarkStart w:id="87" w:name="_Toc9110"/>
      <w:bookmarkStart w:id="88" w:name="_Toc20046"/>
      <w:bookmarkStart w:id="89" w:name="_Toc24480"/>
      <w:bookmarkStart w:id="90" w:name="_Toc18045"/>
      <w:bookmarkStart w:id="91" w:name="_Toc30321"/>
      <w:bookmarkStart w:id="92" w:name="_Toc6881"/>
      <w:bookmarkStart w:id="93" w:name="_Toc6765"/>
      <w:bookmarkStart w:id="94" w:name="_Toc10644"/>
      <w:bookmarkStart w:id="95" w:name="_Toc24584"/>
      <w:bookmarkStart w:id="96" w:name="_Toc8254"/>
      <w:bookmarkStart w:id="97" w:name="_Toc12700"/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（一）加快知名品牌</w:t>
      </w:r>
      <w:bookmarkEnd w:id="86"/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集聚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contextualSpacing w:val="0"/>
        <w:jc w:val="left"/>
        <w:textAlignment w:val="auto"/>
        <w:outlineLvl w:val="2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98" w:name="_Toc4590"/>
      <w:bookmarkStart w:id="99" w:name="_Toc1963"/>
      <w:bookmarkStart w:id="100" w:name="_Toc15439"/>
      <w:bookmarkStart w:id="101" w:name="_Toc12548"/>
      <w:bookmarkStart w:id="102" w:name="_Toc21769"/>
      <w:bookmarkStart w:id="103" w:name="_Toc24059"/>
      <w:bookmarkStart w:id="104" w:name="_Toc25745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1.提升首发经济</w:t>
      </w:r>
      <w:bookmarkEnd w:id="98"/>
      <w:bookmarkEnd w:id="99"/>
      <w:bookmarkEnd w:id="100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能级</w:t>
      </w:r>
      <w:bookmarkEnd w:id="101"/>
      <w:bookmarkEnd w:id="102"/>
      <w:bookmarkEnd w:id="103"/>
      <w:bookmarkEnd w:id="10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大力引进国内外知名品牌、首店品牌，布局一批知名品牌的定制中心、体验中心，推动首店向总店、总部提升发展。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首钢园全球首发中心建设，打造集品牌展示、首发首秀、体验消费于一体的首发空间，举办具有创新性的首发首秀首展活动，创新“即秀即售”模式。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依托郎园Park、模式口历史文化街区等特色空间，引进脱口秀、新歌等首秀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首发业态，吸引年轻消费群体集聚。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加强与知名电商合作，搭建国际资源对接服务平台，建立面向全球直播的新品发布机制，打造新品网络首发中心。</w:t>
      </w:r>
    </w:p>
    <w:p>
      <w:pPr>
        <w:numPr>
          <w:ilvl w:val="-1"/>
          <w:numId w:val="0"/>
        </w:numPr>
        <w:spacing w:beforeLines="0" w:afterLines="0" w:line="560" w:lineRule="exact"/>
        <w:ind w:firstLine="642" w:firstLineChars="200"/>
        <w:contextualSpacing w:val="0"/>
        <w:jc w:val="left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05" w:name="_Toc4735"/>
      <w:bookmarkStart w:id="106" w:name="_Toc12571"/>
      <w:bookmarkStart w:id="107" w:name="_Toc21296"/>
      <w:bookmarkStart w:id="108" w:name="_Toc19240"/>
      <w:bookmarkStart w:id="109" w:name="_Toc28221"/>
      <w:bookmarkStart w:id="110" w:name="_Toc18584"/>
      <w:bookmarkStart w:id="111" w:name="_Toc23786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2.培育自主品牌特色</w:t>
      </w:r>
    </w:p>
    <w:p>
      <w:pPr>
        <w:numPr>
          <w:ilvl w:val="-1"/>
          <w:numId w:val="0"/>
        </w:numPr>
        <w:spacing w:beforeLines="0" w:afterLines="0" w:line="560" w:lineRule="exact"/>
        <w:ind w:firstLine="640" w:firstLineChars="200"/>
        <w:contextualSpacing/>
        <w:jc w:val="left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大力推广新一代智能终端产品消费，支持引进XR眼镜、AI眼镜、AI玩具等新型智能终端线下体验店。全面促进智能厨卫、智能安防、智慧康养等智能家电消费，推动智能家居产品升级，支持开展个性化设计和柔性供给。推动机器人6S店、机器人餐厅落地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  <w:t>加快推广家庭服务机器人、无人配送等产品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壮大消费级机器人规模。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培育情绪消费新热点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推动“IP授权+衍生品销售”产销融合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，开发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</w:rPr>
        <w:t>徽章、卡片、立牌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</w:rPr>
        <w:t>公仔、盲盒、手办等轻量化产品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打造二次元和新生代潮玩聚集地。</w:t>
      </w:r>
    </w:p>
    <w:p>
      <w:pPr>
        <w:numPr>
          <w:ilvl w:val="-1"/>
          <w:numId w:val="0"/>
        </w:numPr>
        <w:spacing w:beforeLines="0" w:afterLines="0" w:line="560" w:lineRule="exact"/>
        <w:ind w:firstLine="642" w:firstLineChars="200"/>
        <w:contextualSpacing w:val="0"/>
        <w:jc w:val="left"/>
        <w:outlineLvl w:val="2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壮大汽车消费</w:t>
      </w:r>
      <w:bookmarkEnd w:id="105"/>
      <w:bookmarkEnd w:id="106"/>
      <w:bookmarkEnd w:id="107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规模</w:t>
      </w:r>
      <w:bookmarkEnd w:id="108"/>
      <w:bookmarkEnd w:id="109"/>
      <w:bookmarkEnd w:id="110"/>
      <w:bookmarkEnd w:id="111"/>
    </w:p>
    <w:p>
      <w:pPr>
        <w:pStyle w:val="5"/>
        <w:spacing w:beforeLines="0" w:after="0"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strike/>
          <w:color w:val="auto"/>
          <w:kern w:val="0"/>
          <w:sz w:val="32"/>
          <w:szCs w:val="32"/>
          <w:highlight w:val="yellow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依托首钢特钢园的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空间资源条件，大力引进知名新能源汽车交付中心、展示中心，探索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“零售中心+交付中心”直营销售模式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规划布局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新车超级体验中心、新能源汽车城市展厅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打造集买车、爱车、养车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于一体的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一站式“超级场景”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依托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首钢园六工汇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京西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大悦城等商业综合体，支持引进知名汽车品牌的直营门店、商超店，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发展线上线下融合新零售，创新数字化、场景化、柔性化的汽车市场销售模式，稳定扩大新车消费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。</w:t>
      </w:r>
    </w:p>
    <w:p>
      <w:pPr>
        <w:widowControl w:val="0"/>
        <w:numPr>
          <w:ilvl w:val="-1"/>
          <w:numId w:val="0"/>
        </w:numPr>
        <w:spacing w:beforeLines="0" w:afterLines="0" w:line="560" w:lineRule="exact"/>
        <w:ind w:firstLine="640" w:firstLineChars="200"/>
        <w:contextualSpacing w:val="0"/>
        <w:jc w:val="left"/>
        <w:outlineLvl w:val="1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bookmarkStart w:id="112" w:name="_Toc23127"/>
      <w:bookmarkStart w:id="113" w:name="_Toc30594"/>
      <w:bookmarkStart w:id="114" w:name="_Toc12246"/>
      <w:bookmarkStart w:id="115" w:name="_Toc9650"/>
      <w:bookmarkStart w:id="116" w:name="_Toc10789"/>
      <w:bookmarkStart w:id="117" w:name="_Toc9746"/>
      <w:bookmarkStart w:id="118" w:name="_Toc30943"/>
      <w:bookmarkStart w:id="119" w:name="_Toc25454"/>
      <w:bookmarkStart w:id="120" w:name="_Toc32459"/>
      <w:bookmarkStart w:id="121" w:name="_Toc12771"/>
      <w:bookmarkStart w:id="122" w:name="_Toc8110"/>
      <w:bookmarkStart w:id="123" w:name="_Toc10493"/>
      <w:bookmarkStart w:id="124" w:name="_Toc9284"/>
      <w:bookmarkStart w:id="125" w:name="_Toc14866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（二）扩大新兴消费供给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contextualSpacing w:val="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26" w:name="_Toc4063"/>
      <w:bookmarkStart w:id="127" w:name="_Toc29213"/>
      <w:bookmarkStart w:id="128" w:name="_Toc24889"/>
      <w:bookmarkStart w:id="129" w:name="_Toc14491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1.激发国潮消费活力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推动商业零售品牌与知名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u w:val="none" w:color="auto"/>
          <w:shd w:val="clear" w:color="auto" w:fill="auto"/>
        </w:rPr>
        <w:t>IP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 w:color="auto"/>
          <w:shd w:val="clear" w:color="auto" w:fill="auto"/>
          <w:lang w:bidi="ar"/>
        </w:rPr>
        <w:t>联合，打造符合市场需求的老牌新店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 w:color="auto"/>
          <w:shd w:val="clear" w:color="auto" w:fil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 w:color="auto"/>
          <w:shd w:val="clear" w:color="auto" w:fill="auto"/>
          <w:lang w:val="en-US" w:eastAsia="zh-CN" w:bidi="ar"/>
        </w:rPr>
        <w:t>激发国潮消费活力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利用模式口历史文化街区、永定河集等独特空间，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引进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潮流玩具、服装首饰、工艺品与影视动漫等新国潮品牌店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，策划时尚国潮市集、趣玩手作市集、创意产品市集，打造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潮玩主题空间与沉浸式场景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。优化“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 w:color="auto"/>
          <w:shd w:val="clear" w:color="auto" w:fill="auto"/>
          <w:lang w:val="en-US" w:eastAsia="zh-CN"/>
        </w:rPr>
        <w:t>石景山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礼物”评选认定，丰富产品品类，强化主题店、特色店建设，推动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其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进场站、进商圈、进景区。鼓励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商业空间、文博场所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、公园景区与国内外品牌合作举办美术展、艺术展等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val="en-US" w:eastAsia="zh-CN"/>
        </w:rPr>
        <w:t>时尚国潮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活动。</w:t>
      </w:r>
    </w:p>
    <w:p>
      <w:pPr>
        <w:numPr>
          <w:ilvl w:val="-1"/>
          <w:numId w:val="0"/>
        </w:numPr>
        <w:spacing w:beforeLines="0" w:afterLines="0" w:line="560" w:lineRule="exact"/>
        <w:ind w:firstLine="642" w:firstLineChars="200"/>
        <w:contextualSpacing w:val="0"/>
        <w:jc w:val="left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2.促进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绿色</w:t>
      </w:r>
      <w:bookmarkEnd w:id="123"/>
      <w:bookmarkEnd w:id="124"/>
      <w:bookmarkEnd w:id="126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消费</w:t>
      </w:r>
      <w:bookmarkEnd w:id="127"/>
      <w:bookmarkEnd w:id="128"/>
      <w:bookmarkEnd w:id="129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扩容</w:t>
      </w:r>
    </w:p>
    <w:p>
      <w:pPr>
        <w:numPr>
          <w:ilvl w:val="0"/>
          <w:numId w:val="0"/>
        </w:numPr>
        <w:tabs>
          <w:tab w:val="center" w:pos="4153"/>
        </w:tabs>
        <w:spacing w:beforeLines="0" w:afterLines="0" w:line="560" w:lineRule="exact"/>
        <w:ind w:firstLine="641" w:firstLineChars="0"/>
        <w:jc w:val="left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30" w:name="_Toc258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加大绿色农产品供应，推动家电、家装、服装、运动户外等扩大绿色低碳产品供给，健全废旧商品回收体系，促进规范有序的二手商品流通。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推动电商平台和商场、超市等流通企业设立绿色低碳产品销售专区，在大型促销活动中设置绿色低碳产品专场。培育绿色租赁与共享消费新模式，深入开展绿色家庭、绿色学校、绿色社区、绿色商场等创建行动。</w:t>
      </w:r>
    </w:p>
    <w:p>
      <w:pPr>
        <w:spacing w:beforeLines="0" w:afterLines="0" w:line="560" w:lineRule="exact"/>
        <w:ind w:firstLine="64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31" w:name="_Toc12528"/>
      <w:bookmarkStart w:id="132" w:name="_Toc1775"/>
      <w:bookmarkStart w:id="133" w:name="_Toc30097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3.优化住房消费供给</w:t>
      </w:r>
      <w:bookmarkEnd w:id="130"/>
      <w:bookmarkEnd w:id="131"/>
      <w:bookmarkEnd w:id="132"/>
      <w:bookmarkEnd w:id="133"/>
    </w:p>
    <w:bookmarkEnd w:id="125"/>
    <w:p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none" w:color="auto"/>
          <w:shd w:val="clear" w:color="auto" w:fill="auto"/>
        </w:rPr>
      </w:pPr>
      <w:bookmarkStart w:id="134" w:name="_Toc7414"/>
      <w:bookmarkStart w:id="135" w:name="_Toc15259"/>
      <w:bookmarkStart w:id="136" w:name="_Toc12326"/>
      <w:bookmarkStart w:id="137" w:name="_Toc24200"/>
      <w:bookmarkStart w:id="138" w:name="_Toc2879"/>
      <w:bookmarkStart w:id="139" w:name="_Toc1486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 w:color="auto"/>
          <w:shd w:val="clear" w:color="auto" w:fill="auto"/>
        </w:rPr>
        <w:t>持续开展“好房子”建设，鼓励发展房屋改造设计、定制化整装、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全屋智能物联等产品和服务，打造绿色健康住宅新标杆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发展多元化、复合功能的长租产品，推动青年社交公寓、职住融合型公寓、国际人才公寓等特色产品发展，打造“租住+社交+服务”复合社区。支持存量资产转化为租赁住房，完善多层次住房租赁供给体系。鼓励建设智慧社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40" w:name="_Toc21169"/>
      <w:bookmarkStart w:id="141" w:name="_Toc30674"/>
      <w:bookmarkStart w:id="142" w:name="_Toc17907"/>
      <w:bookmarkStart w:id="143" w:name="_Toc14042"/>
      <w:bookmarkStart w:id="144" w:name="_Toc26547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（三）提升便民商业品质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contextualSpacing w:val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45" w:name="_Toc6244"/>
      <w:bookmarkStart w:id="146" w:name="_Toc23259"/>
      <w:bookmarkStart w:id="147" w:name="_Toc21249"/>
      <w:bookmarkStart w:id="148" w:name="_Toc17785"/>
      <w:bookmarkStart w:id="149" w:name="_Toc12851"/>
      <w:bookmarkStart w:id="150" w:name="_Toc9243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提升社区便民</w:t>
      </w:r>
      <w:bookmarkEnd w:id="145"/>
      <w:bookmarkEnd w:id="146"/>
      <w:bookmarkEnd w:id="147"/>
      <w:bookmarkEnd w:id="148"/>
      <w:bookmarkEnd w:id="149"/>
      <w:bookmarkEnd w:id="150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contextualSpacing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加快建设城市一刻钟便民生活圈全域推进先行区试点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鼓励在公园、文化场馆等公共空间投放智能便利化消费设施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</w:t>
      </w:r>
      <w:r>
        <w:rPr>
          <w:rFonts w:hint="eastAsia" w:ascii="仿宋_GB2312" w:hAnsi="Calibri" w:eastAsia="仿宋_GB2312" w:cs="仿宋_GB2312"/>
          <w:i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</w:rPr>
        <w:t>推动品牌连锁店进社区，搭载家政预约、代收代发、打印复印等服务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加快补齐西部地区、棚改区等区域</w:t>
      </w:r>
      <w:r>
        <w:rPr>
          <w:rFonts w:hint="eastAsia" w:ascii="仿宋_GB2312" w:hAnsi="Calibri" w:eastAsia="仿宋_GB2312" w:cs="仿宋_GB2312"/>
          <w:i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</w:rPr>
        <w:t>社区网点短板，优先配齐基本保障类业态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，筑牢便民服务网络基底。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发展“一店一早”，补齐“一菜一修”，服务“一老一小”，布局“一收一洗”，推广“社区商业+”融合发展。积极发展“物业服务+生活服务”。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contextualSpacing w:val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51" w:name="_Toc24557"/>
      <w:bookmarkStart w:id="152" w:name="_Toc11774"/>
      <w:bookmarkStart w:id="153" w:name="_Toc20566"/>
      <w:bookmarkStart w:id="154" w:name="_Toc1795"/>
      <w:bookmarkStart w:id="155" w:name="_Toc31156"/>
      <w:bookmarkStart w:id="156" w:name="_Toc29472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丰富便民生活场景</w:t>
      </w:r>
      <w:bookmarkEnd w:id="151"/>
      <w:bookmarkEnd w:id="152"/>
      <w:bookmarkEnd w:id="153"/>
      <w:bookmarkEnd w:id="154"/>
      <w:bookmarkEnd w:id="155"/>
      <w:bookmarkEnd w:id="15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支持净菜进社区、进超市，丰富“一人餐”和小包装商品。鼓励共享厨房、共享客厅、共享自习室、共享工具箱等共享经济模式。鼓励加油站等商业场所提供便民服务。推动社区食堂市场化运营，提供“六宜”（软、淡、素、少、温、鲜）老年餐，拓展送餐、烘焙、团购等服务。鼓励社区规范开展邻里节、美食节、团购节、家电家居及家政便民服务等促消费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57" w:name="_Toc82"/>
      <w:bookmarkStart w:id="158" w:name="_Toc19041"/>
      <w:bookmarkStart w:id="159" w:name="_Toc4191"/>
      <w:bookmarkStart w:id="160" w:name="_Toc12917"/>
      <w:bookmarkStart w:id="161" w:name="_Toc12922"/>
      <w:bookmarkStart w:id="162" w:name="_Toc4807"/>
      <w:bookmarkStart w:id="163" w:name="_Toc24696"/>
      <w:bookmarkStart w:id="164" w:name="_Toc31843"/>
      <w:bookmarkStart w:id="165" w:name="_Toc21475"/>
      <w:bookmarkStart w:id="166" w:name="_Toc13369"/>
      <w:bookmarkStart w:id="167" w:name="_Toc22236"/>
      <w:bookmarkStart w:id="168" w:name="_Toc30362792"/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四、构建全域消费场景先行区</w:t>
      </w:r>
      <w:bookmarkEnd w:id="157"/>
      <w:bookmarkEnd w:id="158"/>
      <w:bookmarkEnd w:id="159"/>
      <w:bookmarkEnd w:id="160"/>
      <w:bookmarkEnd w:id="16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69" w:name="_Toc21266"/>
      <w:bookmarkStart w:id="170" w:name="_Toc20721"/>
      <w:bookmarkStart w:id="171" w:name="_Toc25292"/>
      <w:bookmarkStart w:id="172" w:name="_Toc10258"/>
      <w:bookmarkStart w:id="173" w:name="_Toc6749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（一）优化“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</w:rPr>
        <w:t>一核一廊三圈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”消费格局</w:t>
      </w:r>
      <w:bookmarkEnd w:id="169"/>
      <w:bookmarkEnd w:id="170"/>
      <w:bookmarkEnd w:id="171"/>
      <w:bookmarkEnd w:id="172"/>
      <w:bookmarkEnd w:id="17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1.一核：北京国际消费中心城市首钢支点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紧抓“两园一河”协同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联动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发展契机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以高能级赛事、会展首发为核心，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none" w:color="auto"/>
          <w:shd w:val="clear" w:color="auto" w:fill="auto"/>
          <w:lang w:val="en-US" w:eastAsia="zh-CN"/>
        </w:rPr>
        <w:t>建设与工业、园林相融合的“两园一河”水岸客厅，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文商旅体展融合消费示范区。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以北区为先行示范、东南区为配套支撑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，鼓励品牌首店、特色主题店落地，精心打造“首钢美食”“首钢文娱”“首钢体育”“首钢购物”品牌矩阵。深入推进北区城市更新，提升六工汇消费业态，升级服贸会区域消费功能，完善香格里拉、金安科幻广场、三高炉、西十冬奥商业动线，沿河、沿主要街道周边开敞空间布设柔性商业设施。依托北区文体展资源，培育演艺、赛事、近山、亲水、夜间等消费场景，创新融合消费模式。完善东南区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便民商业服务配套，引入符合办公人群消费需求的商业业态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  <w:lang w:val="en-US" w:eastAsia="zh-CN"/>
        </w:rPr>
        <w:t>推动南区结合开发进程，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适时启动商业综合设施建设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  <w:lang w:eastAsia="zh-CN"/>
        </w:rPr>
        <w:t>，逐步推动南区成为发力重点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2.一廊：京西活力消费走廊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发挥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  <w:lang w:val="en-US" w:eastAsia="zh-CN"/>
        </w:rPr>
        <w:t>阜石路</w:t>
      </w:r>
      <w:r>
        <w:rPr>
          <w:rFonts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的串联作用，以品牌化、高端化、国际化为导向，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自东向西串联今鼎时代广场、京西大悦城、融石广场等核心商业节点</w:t>
      </w:r>
      <w:r>
        <w:rPr>
          <w:rFonts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，提升区域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  <w:lang w:val="en-US" w:eastAsia="zh-CN"/>
        </w:rPr>
        <w:t>消费</w:t>
      </w:r>
      <w:r>
        <w:rPr>
          <w:rFonts w:ascii="Times New Roman" w:hAnsi="Times New Roman" w:eastAsia="仿宋_GB2312" w:cs="Times New Roman"/>
          <w:sz w:val="32"/>
          <w:szCs w:val="32"/>
          <w:u w:val="none" w:color="auto"/>
          <w:shd w:val="clear" w:color="auto" w:fill="auto"/>
        </w:rPr>
        <w:t>辐射力。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编制京西活力商业走廊建设实施方案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，有序推动沿线商业设施升级、业态互补、活动联动、品牌共生，提高消费走廊标识性。</w:t>
      </w:r>
      <w:r>
        <w:rPr>
          <w:rFonts w:hint="eastAsia" w:ascii="仿宋_GB2312" w:eastAsia="仿宋_GB2312" w:cstheme="minorBidi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划定连接主要商业项目的骑行道、步行道，实施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高架桥亮化美化提升，推动桥下铺装、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  <w:t>夜景灯光及照明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升级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布局城市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公共生态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景观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3.三圈：东中西三大特色消费圈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坚持分类引导、差异定位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推动鲁谷路现代生活消费圈、苹果园时尚活力消费圈、西部浅山生态体验消费圈建设，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打造业态互补、开放协同、融合共生的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消费升级体系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更新提升与新增培育相结合，推动存量商业升级，加快重点项目运营，吸引知名商业品牌集聚，引进特色服务消费业态，激发综合消费活力。深化商业消费空间与城市公共空间的跨界联动，布局体验式主题消费场景，探索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文商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体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展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融合发展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</w:rPr>
        <w:t>模式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，培育新型消费热点，壮大特色消费业态，构建全域联动消费新格局。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</w:rPr>
            </w:pPr>
            <w:bookmarkStart w:id="174" w:name="_Toc23836"/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>专栏3  重点打造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东中西三大特色消费圈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left="0" w:leftChars="0" w:firstLine="562" w:firstLineChars="200"/>
              <w:jc w:val="left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u w:val="none" w:color="auto"/>
                <w:shd w:val="clear" w:color="auto" w:fill="auto"/>
                <w:lang w:val="en-US" w:eastAsia="zh-CN"/>
              </w:rPr>
              <w:t>鲁谷路现代生活消费圈。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u w:val="none" w:color="auto"/>
                <w:shd w:val="clear" w:color="auto" w:fill="auto"/>
                <w:lang w:val="en-US" w:eastAsia="zh-CN"/>
              </w:rPr>
              <w:t>优化提升万达业态品牌，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-SA"/>
              </w:rPr>
              <w:t>推动基础设施和消费场景一体化升级。释放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bidi="ar"/>
              </w:rPr>
              <w:t>银河商务区商业空间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 w:bidi="ar"/>
              </w:rPr>
              <w:t>，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支持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-SA"/>
              </w:rPr>
              <w:t>引入知名品牌集合店、生活概念店、特色餐饮首店。研究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盘活北京国际雕塑公园地下文化中心。发挥开放式商业空间优势，鼓励郎园Park增设创意化设计和互动性强的景观或艺术装置，引入电竞、剧本杀、密室逃脱等体验业态，激发体验消费活力。支持万达广场、郎园Park、鲁谷路美食街、启迪冰雪体育中心等联合布置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季节性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潮尚、智购、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健康、运动、休闲、夜食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等主题消费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场景，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 w:bidi="ar"/>
              </w:rPr>
              <w:t>吸引和留住更多消费人群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2" w:firstLineChars="200"/>
              <w:jc w:val="left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u w:val="none" w:color="auto"/>
                <w:shd w:val="clear" w:color="auto" w:fill="auto"/>
                <w:lang w:val="en-US" w:eastAsia="zh-CN"/>
              </w:rPr>
              <w:t>苹果园时尚活力消费圈。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加快</w:t>
            </w:r>
            <w:r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苹果园综合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交通枢纽商业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空间运营，注重与周边商业差异化定位，引进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主力店、策展、休闲娱乐等多元业态，</w:t>
            </w:r>
            <w:r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打造TOD站城一体的重要引擎。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推动京西大悦城与交通枢纽商业空间连通、业态协同，</w:t>
            </w:r>
            <w:r>
              <w:rPr>
                <w:rFonts w:hint="eastAsia" w:ascii="楷体_GB2312" w:hAnsi="楷体_GB2312" w:eastAsia="楷体_GB2312" w:cs="楷体_GB2312"/>
                <w:snapToGrid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大力发展首店经济、夜间经济</w:t>
            </w:r>
            <w:r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成为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京西时尚生活与精致体验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策源地。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统筹当代商城、首钢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体育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中心等消费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资源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辐射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联动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京西大悦城、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沃尔玛等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特色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商业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载体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</w:rPr>
              <w:t>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探索“体育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+商业+家庭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”融合模式，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带动周边区域消费集聚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eastAsia="zh-CN"/>
              </w:rPr>
              <w:t>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2"/>
                <w:sz w:val="28"/>
                <w:szCs w:val="28"/>
                <w:u w:val="none" w:color="auto"/>
                <w:shd w:val="clear" w:color="auto" w:fill="auto"/>
                <w:lang w:val="en-US" w:eastAsia="zh-CN" w:bidi="ar-SA"/>
              </w:rPr>
              <w:t>加强产业园区配套商业、楼宇底商等空间资源整合，布局与办公人群需求匹配的消费业态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u w:val="none" w:color="auto"/>
                <w:shd w:val="clear" w:color="auto" w:fill="auto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2" w:firstLineChars="200"/>
              <w:jc w:val="left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u w:val="none" w:color="auto"/>
                <w:shd w:val="clear" w:color="auto" w:fill="auto"/>
                <w:lang w:val="en-US" w:eastAsia="zh-CN"/>
              </w:rPr>
              <w:t>西部浅山生态体验消费圈。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推动天泰山、八大处公园、西山绿道（石景山段）重要节点开发利用，丰富精品民宿、特色餐饮等消费配套，拓展创意市集、亲子研学等消费场景。挖掘模式口、法海寺、承恩寺等文化IP，深耕“氧气石景山”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8"/>
                <w:szCs w:val="28"/>
                <w:highlight w:val="none"/>
                <w:u w:val="none" w:color="auto"/>
                <w:shd w:val="clear" w:color="auto" w:fill="auto"/>
                <w:lang w:val="en" w:eastAsia="zh-CN"/>
              </w:rPr>
              <w:t>“漫游石景山”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文商旅体融合消费品牌。推动053地块、055地块等重点商业项目专业化运营，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引进新型消费业态，延伸主题消费链条。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  <w:highlight w:val="none"/>
                <w:u w:val="none" w:color="auto"/>
                <w:shd w:val="clear" w:color="auto" w:fill="auto"/>
                <w:lang w:val="en-US" w:eastAsia="zh-CN"/>
              </w:rPr>
              <w:t>加强浅山地区骑行友好店铺、共享驿站、便利店、餐饮店等业态配置，提升综合消费功能。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Chars="0" w:right="0" w:rightChars="0" w:firstLine="640" w:firstLineChars="200"/>
        <w:jc w:val="left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75" w:name="_Toc12727"/>
      <w:bookmarkStart w:id="176" w:name="_Toc2030"/>
      <w:bookmarkStart w:id="177" w:name="_Toc2981"/>
      <w:bookmarkStart w:id="178" w:name="_Toc5228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</w:rPr>
        <w:t>推动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eastAsia="zh-CN"/>
        </w:rPr>
        <w:t>“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两园一河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eastAsia="zh-CN"/>
        </w:rPr>
        <w:t>”</w:t>
      </w:r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协同联动</w:t>
      </w:r>
      <w:bookmarkEnd w:id="174"/>
      <w:r>
        <w:rPr>
          <w:rFonts w:hint="eastAsia" w:ascii="楷体_GB2312" w:hAnsi="楷体_GB2312" w:eastAsia="楷体_GB2312" w:cs="楷体_GB2312"/>
          <w:sz w:val="32"/>
          <w:szCs w:val="32"/>
          <w:u w:val="none" w:color="auto"/>
          <w:shd w:val="clear" w:color="auto" w:fill="auto"/>
          <w:lang w:val="en-US" w:eastAsia="zh-CN"/>
        </w:rPr>
        <w:t>发展</w:t>
      </w:r>
      <w:bookmarkEnd w:id="175"/>
      <w:bookmarkEnd w:id="176"/>
      <w:bookmarkEnd w:id="177"/>
      <w:bookmarkEnd w:id="17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1.建设大尺度文商旅消费空间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</w:rPr>
        <w:t>依托大河大野本底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</w:rPr>
        <w:t>分段开发水上、冰上运动休闲项目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</w:rPr>
        <w:t>塑造山水城共融的水岸客厅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  <w:t>。实施永定河“大地艺术”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工程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  <w:t>，串联沿岸绿色空间，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沉浸式演绎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shd w:val="clear" w:color="auto" w:fill="auto"/>
          <w:lang w:eastAsia="zh-CN"/>
        </w:rPr>
        <w:t>山水文化、工业文化、双奥文化，打造左岸城市阳台。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活化利用永定河文化遗迹，串联三区山水、历史文化资源，打造一批骑游、观光、工业、红色、研学、亲子等文旅主题空间和网红打卡地。以首钢园为核心，联动永定河上下游、左右岸的关键节点，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</w:rPr>
        <w:t>构建“工业遗存+文化艺术+生态绿地+滨水空间”的复合型城市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  <w:lang w:val="en-US" w:eastAsia="zh-CN"/>
        </w:rPr>
        <w:t>消费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</w:rPr>
        <w:t>新地标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2.高标准建设地标性消费项目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以望西山、观湿地、看日落、品美食为目标，高标准运营永定河集，推动潮玩悦享水岸（二期）、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冬奥公园马拉松大本营、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永定河旅游观光火车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项目建设，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引入潮流休闲、品质生活复合消费业态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。谋划建设模式口地区博物馆群，联动长辛店、三家店等沿线古遗址、古建筑，再现古河道、古香道、古商道历史文脉。高水平开展首钢园煤仓更新改造，规划建设集文物、艺术品特色展示于一体的空间，培育京西文化艺术消费新地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3.联动举办商文旅体消费活动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b w:val="0"/>
          <w:i w:val="0"/>
          <w:color w:val="000000"/>
          <w:sz w:val="32"/>
          <w:szCs w:val="32"/>
          <w:highlight w:val="yellow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利用堤顶路、滩地路、公园绿道，策划举办滨河马拉松活动、永定河骑行活动，规划建设跑酷、小轮车等极限运动基地，形成潮流运动达人的聚集地。依托浅山水系自然资源，培育“徒步永定河”“永定河龙舟赛”等消费IP，开发“跑+骑+山地+亲水+冰雪”全季消费场景。促进首钢园和园博园客流相互导入，共同打造“两园一河”灯光秀。</w:t>
      </w:r>
      <w:r>
        <w:rPr>
          <w:rStyle w:val="22"/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 w:color="auto"/>
          <w:shd w:val="clear" w:color="auto" w:fill="auto"/>
          <w:lang w:val="en-US" w:eastAsia="zh-CN" w:bidi="ar-SA"/>
        </w:rPr>
        <w:t>联动丰台、门头沟共同策划举办永定河消费节，以高品质节庆活动激发消费潜能。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79" w:name="_Toc25068"/>
      <w:bookmarkStart w:id="180" w:name="_Toc11262"/>
      <w:bookmarkStart w:id="181" w:name="_Toc17816"/>
      <w:bookmarkStart w:id="182" w:name="_Toc25384"/>
      <w:bookmarkStart w:id="183" w:name="_Toc8634"/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五、建设</w:t>
      </w:r>
      <w:r>
        <w:rPr>
          <w:rFonts w:hint="eastAsia" w:ascii="黑体" w:hAnsi="黑体" w:eastAsia="黑体" w:cs="黑体"/>
          <w:sz w:val="32"/>
          <w:szCs w:val="32"/>
          <w:u w:val="none" w:color="auto"/>
          <w:shd w:val="clear" w:color="auto" w:fill="auto"/>
        </w:rPr>
        <w:t>国际消费体验示范区</w:t>
      </w:r>
      <w:bookmarkEnd w:id="162"/>
      <w:bookmarkEnd w:id="163"/>
      <w:bookmarkEnd w:id="164"/>
      <w:bookmarkEnd w:id="165"/>
      <w:bookmarkEnd w:id="166"/>
      <w:bookmarkEnd w:id="167"/>
      <w:bookmarkEnd w:id="179"/>
      <w:bookmarkEnd w:id="180"/>
      <w:bookmarkEnd w:id="181"/>
      <w:bookmarkEnd w:id="182"/>
      <w:bookmarkEnd w:id="183"/>
    </w:p>
    <w:p>
      <w:pPr>
        <w:widowControl w:val="0"/>
        <w:numPr>
          <w:ilvl w:val="-1"/>
          <w:numId w:val="0"/>
        </w:numPr>
        <w:spacing w:beforeLines="0" w:afterLines="0" w:line="560" w:lineRule="exact"/>
        <w:ind w:firstLine="640" w:firstLineChars="200"/>
        <w:jc w:val="left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84" w:name="_Toc23537"/>
      <w:bookmarkStart w:id="185" w:name="_Toc32448"/>
      <w:bookmarkStart w:id="186" w:name="_Toc23009"/>
      <w:bookmarkStart w:id="187" w:name="_Toc31002"/>
      <w:bookmarkStart w:id="188" w:name="_Toc13034"/>
      <w:bookmarkStart w:id="189" w:name="_Toc23078"/>
      <w:bookmarkStart w:id="190" w:name="_Toc29733"/>
      <w:bookmarkStart w:id="191" w:name="_Toc3234"/>
      <w:bookmarkStart w:id="192" w:name="_Toc8321"/>
      <w:bookmarkStart w:id="193" w:name="_Toc21000"/>
      <w:bookmarkStart w:id="194" w:name="_Toc13018"/>
      <w:bookmarkStart w:id="195" w:name="_Toc46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（一）促进入境消费扩容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>
      <w:pPr>
        <w:numPr>
          <w:ilvl w:val="0"/>
          <w:numId w:val="0"/>
        </w:numPr>
        <w:spacing w:beforeLines="0" w:afterLines="0" w:line="560" w:lineRule="exact"/>
        <w:ind w:firstLine="642" w:firstLineChars="200"/>
        <w:jc w:val="left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196" w:name="_Toc18288"/>
      <w:bookmarkStart w:id="197" w:name="_Toc12617"/>
      <w:bookmarkStart w:id="198" w:name="_Toc2759"/>
      <w:bookmarkStart w:id="199" w:name="_Toc7511"/>
      <w:bookmarkStart w:id="200" w:name="_Toc29749"/>
      <w:bookmarkStart w:id="201" w:name="_Toc22793"/>
      <w:bookmarkStart w:id="202" w:name="_Toc27617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1.推动离境退税消费</w:t>
      </w:r>
      <w:bookmarkEnd w:id="196"/>
      <w:bookmarkEnd w:id="197"/>
      <w:bookmarkEnd w:id="198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升级</w:t>
      </w:r>
      <w:bookmarkEnd w:id="199"/>
      <w:bookmarkEnd w:id="200"/>
      <w:bookmarkEnd w:id="201"/>
      <w:bookmarkEnd w:id="202"/>
    </w:p>
    <w:p>
      <w:pPr>
        <w:spacing w:beforeLines="0" w:afterLines="0"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进一步优化离境退税商店布局，在商业综合体、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 w:color="auto"/>
          <w:shd w:val="clear" w:color="auto" w:fill="auto"/>
        </w:rPr>
        <w:t>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 w:color="auto"/>
          <w:shd w:val="clear" w:color="auto" w:fill="auto"/>
        </w:rPr>
        <w:t>、文博场所、酒店等增设退税商店，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实现重点商圈全覆盖。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指导退税商店根据境外旅客需求，增加老字号产品、非遗产品、工艺美术产品、地理标志产品、名优特产等优质产品供应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引导“北京礼物”“石景山礼物”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进入退税商店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。以首钢园为重点建设离境退税“即买即退”服务核心区域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加大“即买即退”服务推广力度。</w:t>
      </w:r>
    </w:p>
    <w:p>
      <w:pPr>
        <w:numPr>
          <w:ilvl w:val="0"/>
          <w:numId w:val="0"/>
        </w:numPr>
        <w:spacing w:beforeLines="0" w:afterLines="0" w:line="560" w:lineRule="exact"/>
        <w:ind w:firstLine="642" w:firstLineChars="200"/>
        <w:jc w:val="left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bookmarkStart w:id="203" w:name="_Toc1588"/>
      <w:bookmarkStart w:id="204" w:name="_Toc16789"/>
      <w:bookmarkStart w:id="205" w:name="_Toc32084"/>
      <w:bookmarkStart w:id="206" w:name="_Toc21117"/>
      <w:bookmarkStart w:id="207" w:name="_Toc30995"/>
      <w:bookmarkStart w:id="208" w:name="_Toc28776"/>
      <w:bookmarkStart w:id="209" w:name="_Toc10190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2.优化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入境消费体验</w:t>
      </w:r>
      <w:bookmarkEnd w:id="203"/>
      <w:bookmarkEnd w:id="204"/>
      <w:bookmarkEnd w:id="205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环境</w:t>
      </w:r>
      <w:bookmarkEnd w:id="206"/>
      <w:bookmarkEnd w:id="207"/>
      <w:bookmarkEnd w:id="208"/>
      <w:bookmarkEnd w:id="209"/>
    </w:p>
    <w:p>
      <w:pPr>
        <w:spacing w:beforeLines="0" w:afterLines="0" w:line="560" w:lineRule="exact"/>
        <w:ind w:firstLine="640" w:firstLineChars="200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落实好过境免签政策，提高外国人“入境游”团签服务体验。以文旅景区、星级酒店、商业综合体为重点，持续推进设立外币兑换点、外卡消费终端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，提升入境支付便利化水平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。规范餐厅、酒店、景点、地铁站等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公共场所多语种国际化标识，统筹推动首钢园智慧化改造、商圈园区及地铁站周边万向指引更新。推动外籍来京人员办理国内电话卡“线上办理、线下领卡”试点落地。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与国际接轨的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shd w:val="clear" w:color="auto" w:fill="auto"/>
        </w:rPr>
        <w:t>便利化服务功能，提高国际游客旅行体验。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10" w:name="_Toc3143"/>
      <w:bookmarkStart w:id="211" w:name="_Toc7384"/>
      <w:bookmarkStart w:id="212" w:name="_Toc21394"/>
      <w:bookmarkStart w:id="213" w:name="_Toc16599"/>
      <w:bookmarkStart w:id="214" w:name="_Toc6457"/>
      <w:bookmarkStart w:id="215" w:name="_Toc5762"/>
      <w:bookmarkStart w:id="216" w:name="_Toc12608"/>
      <w:bookmarkStart w:id="217" w:name="_Toc24734"/>
      <w:bookmarkStart w:id="218" w:name="_Toc19599"/>
      <w:bookmarkStart w:id="219" w:name="_Toc30564"/>
      <w:bookmarkStart w:id="220" w:name="_Toc20971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（二）完善消费配套服务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afterAutospacing="0" w:line="560" w:lineRule="exact"/>
        <w:ind w:left="0" w:leftChars="0" w:firstLine="642" w:firstLineChars="200"/>
        <w:contextualSpacing w:val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bookmarkStart w:id="221" w:name="_Toc28767"/>
      <w:bookmarkStart w:id="222" w:name="_Toc13183"/>
      <w:bookmarkStart w:id="223" w:name="_Toc30020"/>
      <w:bookmarkStart w:id="224" w:name="_Toc20225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消费空间</w:t>
      </w:r>
      <w:bookmarkEnd w:id="221"/>
      <w:bookmarkEnd w:id="222"/>
      <w:bookmarkEnd w:id="223"/>
      <w:bookmarkEnd w:id="224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品质</w:t>
      </w:r>
    </w:p>
    <w:p>
      <w:pPr>
        <w:spacing w:beforeLines="0" w:afterLines="0"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加强消费升级与产业布局、城市建设一体化统筹，规划地标性消费空间。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推动轨道交通站点周边闲置</w:t>
      </w:r>
      <w:r>
        <w:rPr>
          <w:rFonts w:hint="default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/>
        </w:rPr>
        <w:t>老旧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空间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改造，打造公园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、街区型等非标商业空间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植入“体育+”“亲子+”“文化+”等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val="en-US" w:eastAsia="zh-CN"/>
        </w:rPr>
        <w:t>复合型体验业态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  <w:lang w:val="en-US" w:eastAsia="zh-CN"/>
        </w:rPr>
        <w:t>推动老旧演艺空间改造，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开展符合标准规范的演艺新空间认定，打造一批“小而精”“小而美”演艺场所。推动酒店宾馆硬件改造及服务升级，培育一批主题型、高品质住宿空间，积极参加星级酒店、等级榜单评选。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afterAutospacing="0" w:line="560" w:lineRule="exact"/>
        <w:ind w:left="0" w:leftChars="0" w:firstLine="642" w:firstLineChars="200"/>
        <w:contextualSpacing w:val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bookmarkStart w:id="225" w:name="_Toc28951"/>
      <w:bookmarkStart w:id="226" w:name="_Toc31602"/>
      <w:bookmarkStart w:id="227" w:name="_Toc18627"/>
      <w:bookmarkStart w:id="228" w:name="_Toc6865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提升城市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综合配套</w:t>
      </w:r>
      <w:bookmarkEnd w:id="225"/>
      <w:bookmarkEnd w:id="226"/>
      <w:bookmarkEnd w:id="227"/>
      <w:bookmarkEnd w:id="228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contextualSpacing w:val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在重点商圈、交通枢纽、文旅景区增设智能导览终端、咨询服务中心、母婴休憩室等设施，完善便民座椅、休憩空间等配套服务。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大型消费设施、消费集聚区的交通可达性，加强轨道交通与文旅景区、商圈、体育场馆的衔接。开展重点商圈交通综合治理，规范非机动车和共享单车停放管理，支持智慧交通体系建设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</w:rPr>
        <w:t>推动充电基础设施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商业空间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 w:color="auto"/>
          <w:shd w:val="clear" w:color="auto" w:fill="auto"/>
        </w:rPr>
        <w:t>规划衔接。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29" w:name="_Toc19094"/>
      <w:bookmarkStart w:id="230" w:name="_Toc6259"/>
      <w:bookmarkStart w:id="231" w:name="_Toc6576"/>
      <w:bookmarkStart w:id="232" w:name="_Toc28942"/>
      <w:bookmarkStart w:id="233" w:name="_Toc31780"/>
      <w:bookmarkStart w:id="234" w:name="_Toc18430"/>
      <w:bookmarkStart w:id="235" w:name="_Toc27649"/>
      <w:bookmarkStart w:id="236" w:name="_Toc15453"/>
      <w:bookmarkStart w:id="237" w:name="_Toc7448"/>
      <w:bookmarkStart w:id="238" w:name="_Toc11270"/>
      <w:bookmarkStart w:id="239" w:name="_Toc13672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（三）提升消费市场环境</w:t>
      </w:r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40" w:name="_Toc17389"/>
      <w:bookmarkStart w:id="241" w:name="_Toc7058"/>
      <w:bookmarkStart w:id="242" w:name="_Toc10761"/>
      <w:bookmarkStart w:id="243" w:name="_Toc12060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1.优化消费市场秩序</w:t>
      </w:r>
      <w:bookmarkEnd w:id="240"/>
      <w:bookmarkEnd w:id="241"/>
      <w:bookmarkEnd w:id="242"/>
      <w:bookmarkEnd w:id="243"/>
    </w:p>
    <w:p>
      <w:pPr>
        <w:numPr>
          <w:ilvl w:val="0"/>
          <w:numId w:val="0"/>
        </w:numPr>
        <w:spacing w:beforeLines="0" w:afterLines="0" w:line="560" w:lineRule="exact"/>
        <w:ind w:firstLine="640" w:firstLineChars="200"/>
        <w:jc w:val="left"/>
        <w:outlineLvl w:val="9"/>
        <w:rPr>
          <w:rFonts w:hint="eastAsia" w:ascii="仿宋_GB2312" w:hAnsi="仿宋_GB2312" w:eastAsia="仿宋_GB2312" w:cs="仿宋_GB2312"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从严落实安全生产和消防安全，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shd w:val="clear" w:color="auto" w:fill="auto"/>
        </w:rPr>
        <w:t>完善重大事故隐患排查治理机制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caps w:val="0"/>
          <w:spacing w:val="0"/>
          <w:sz w:val="32"/>
          <w:szCs w:val="32"/>
          <w:u w:val="none" w:color="auto"/>
          <w:shd w:val="clear" w:color="auto" w:fill="auto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经营单位安全管理体系建设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坚决防范压减各类事故发生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聚焦健身、餐饮、美容美发、非学科类课外培训等重点领域，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深化“可信消费”预防化解预付式消费纠纷工作模式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加强消费维权服务站点建设，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shd w:val="clear" w:color="auto" w:fill="auto"/>
        </w:rPr>
        <w:t>健全在线消费纠纷解决机制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</w:pPr>
      <w:bookmarkStart w:id="244" w:name="_Toc24721"/>
      <w:bookmarkStart w:id="245" w:name="_Toc30200"/>
      <w:bookmarkStart w:id="246" w:name="_Toc24645"/>
      <w:bookmarkStart w:id="247" w:name="_Toc18129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2.提升营商服务环境</w:t>
      </w:r>
      <w:bookmarkEnd w:id="244"/>
      <w:bookmarkEnd w:id="245"/>
      <w:bookmarkEnd w:id="246"/>
      <w:bookmarkEnd w:id="247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20" w:firstLineChars="200"/>
        <w:jc w:val="left"/>
        <w:textAlignment w:val="auto"/>
        <w:outlineLvl w:val="9"/>
        <w:rPr>
          <w:rFonts w:hint="eastAsia" w:ascii="仿宋_GB2312" w:hAnsi="仿宋_GB2312" w:eastAsia="仿宋_GB2312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优化大型活动集成审批服务，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加强无需许可营销活动“一件事”集成办事场景建设，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</w:rPr>
        <w:t>持续优化消费环境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创新消费领域监管执法方式，确保大众消费场所无事不扰。以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重点消费空间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为试点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探索实施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商业空间创新利用、联动促消费活动等支持政策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shd w:val="clear" w:color="auto" w:fill="auto"/>
          <w:lang w:eastAsia="zh-CN"/>
        </w:rPr>
        <w:t>引育优质消费经营主体，激发文商旅体展经营主体活力，支持养老、托育、家政等领域经营主体品牌化特色化发展。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48" w:name="_Toc16679"/>
      <w:bookmarkStart w:id="249" w:name="_Toc17375"/>
      <w:bookmarkStart w:id="250" w:name="_Toc13433"/>
      <w:bookmarkStart w:id="251" w:name="_Toc19201"/>
      <w:bookmarkStart w:id="252" w:name="_Toc29799"/>
      <w:bookmarkStart w:id="253" w:name="_Toc27206"/>
      <w:bookmarkStart w:id="254" w:name="_Toc27334"/>
      <w:bookmarkStart w:id="255" w:name="_Toc20544"/>
      <w:bookmarkStart w:id="256" w:name="_Toc6582"/>
      <w:bookmarkStart w:id="257" w:name="_Toc13895"/>
      <w:bookmarkStart w:id="258" w:name="_Toc23894"/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六、规划实施保障</w:t>
      </w:r>
      <w:bookmarkEnd w:id="168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59" w:name="_Toc31782"/>
      <w:bookmarkStart w:id="260" w:name="_Toc4291"/>
      <w:bookmarkStart w:id="261" w:name="_Toc1630"/>
      <w:bookmarkStart w:id="262" w:name="_Toc8092"/>
      <w:bookmarkStart w:id="263" w:name="_Toc4034"/>
      <w:bookmarkStart w:id="264" w:name="_Toc3056"/>
      <w:bookmarkStart w:id="265" w:name="_Toc28219"/>
      <w:bookmarkStart w:id="266" w:name="_Toc13666"/>
      <w:bookmarkStart w:id="267" w:name="_Toc20583"/>
      <w:bookmarkStart w:id="268" w:name="_Toc12583"/>
      <w:bookmarkStart w:id="269" w:name="_Toc16590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（一）落实上位发展部署</w:t>
      </w:r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70" w:name="_Toc15263"/>
      <w:bookmarkStart w:id="271" w:name="_Toc22817"/>
      <w:bookmarkStart w:id="272" w:name="_Toc22571"/>
      <w:bookmarkStart w:id="273" w:name="_Toc21723"/>
      <w:bookmarkStart w:id="274" w:name="_Toc31372"/>
      <w:bookmarkStart w:id="275" w:name="_Toc31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1.争取政策制度支持</w:t>
      </w:r>
      <w:bookmarkEnd w:id="270"/>
      <w:bookmarkEnd w:id="271"/>
      <w:bookmarkEnd w:id="272"/>
      <w:bookmarkEnd w:id="273"/>
      <w:bookmarkEnd w:id="274"/>
      <w:bookmarkEnd w:id="275"/>
    </w:p>
    <w:p>
      <w:pPr>
        <w:spacing w:beforeLines="0" w:afterLines="0" w:line="560" w:lineRule="exact"/>
        <w:ind w:firstLine="640" w:firstLineChars="200"/>
        <w:jc w:val="left"/>
        <w:outlineLvl w:val="9"/>
        <w:rPr>
          <w:rFonts w:hint="default" w:ascii="Times New Roman" w:hAnsi="Times New Roman" w:eastAsia="仿宋_GB2312" w:cs="Times New Roman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u w:val="none" w:color="auto"/>
          <w:shd w:val="clear" w:color="auto" w:fill="auto"/>
          <w:lang w:val="en-US" w:eastAsia="zh-CN" w:bidi="ar-SA"/>
        </w:rPr>
        <w:t>用好国家促消费政策，加力扩围实施消费品以旧换新，提振汽车、家电、家装等大宗耐用消费。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u w:val="none" w:color="auto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争取北京市相关消费试点政策，推动优质项目获得资金支持。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落实轻微违法免罚和初次违法慎罚制度。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落实巡演项目首演地内容审核负责制。</w:t>
      </w:r>
      <w:r>
        <w:rPr>
          <w:rFonts w:hint="default" w:ascii="Times New Roman" w:hAnsi="Times New Roman" w:eastAsia="仿宋_GB2312" w:cstheme="minorBidi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val="en-US"/>
        </w:rPr>
        <w:t>清理整治消费类经营主体准入壁垒</w:t>
      </w:r>
      <w:r>
        <w:rPr>
          <w:rFonts w:hint="eastAsia" w:ascii="Times New Roman" w:hAnsi="Times New Roman" w:eastAsia="仿宋_GB2312" w:cstheme="minorBidi"/>
          <w:bCs w:val="0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/>
        </w:rPr>
        <w:t>做好消费新业态新模式新场景管理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76" w:name="_Toc20399"/>
      <w:bookmarkStart w:id="277" w:name="_Toc23528"/>
      <w:bookmarkStart w:id="278" w:name="_Toc652"/>
      <w:bookmarkStart w:id="279" w:name="_Toc420"/>
      <w:bookmarkStart w:id="280" w:name="_Toc18978"/>
      <w:bookmarkStart w:id="281" w:name="_Toc11388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2.争取项目资金投资</w:t>
      </w:r>
      <w:bookmarkEnd w:id="276"/>
      <w:bookmarkEnd w:id="277"/>
      <w:bookmarkEnd w:id="278"/>
      <w:bookmarkEnd w:id="279"/>
      <w:bookmarkEnd w:id="280"/>
      <w:bookmarkEnd w:id="281"/>
    </w:p>
    <w:p>
      <w:pPr>
        <w:spacing w:beforeLines="0" w:afterLines="0" w:line="560" w:lineRule="exact"/>
        <w:ind w:firstLine="640" w:firstLineChars="200"/>
        <w:jc w:val="left"/>
        <w:outlineLvl w:val="9"/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用好“两园一河”协同联动发展机遇，按照滚动实施、压茬推进、动态更新原则，加快建设一批基础性项目，推动落地一批标志性、重大节点项目，谋划储备一批内容植入性项目。积极争取国家和北京市专项财政投资，补齐消费基础设施和消费服务功能提升类设施短板，引导社会资本投向消费升级领域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82" w:name="_Toc16500"/>
      <w:bookmarkStart w:id="283" w:name="_Toc15236"/>
      <w:bookmarkStart w:id="284" w:name="_Toc11023"/>
      <w:bookmarkStart w:id="285" w:name="_Toc20545"/>
      <w:bookmarkStart w:id="286" w:name="_Toc6516"/>
      <w:bookmarkStart w:id="287" w:name="_Toc18331"/>
      <w:bookmarkStart w:id="288" w:name="_Toc411"/>
      <w:bookmarkStart w:id="289" w:name="_Toc20074"/>
      <w:bookmarkStart w:id="290" w:name="_Toc19818"/>
      <w:bookmarkStart w:id="291" w:name="_Toc9162"/>
      <w:bookmarkStart w:id="292" w:name="_Toc30911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（二）加强区级统筹实施</w:t>
      </w:r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93" w:name="_Toc13848"/>
      <w:bookmarkStart w:id="294" w:name="_Toc23755"/>
      <w:bookmarkStart w:id="295" w:name="_Toc3862"/>
      <w:bookmarkStart w:id="296" w:name="_Toc7621"/>
      <w:bookmarkStart w:id="297" w:name="_Toc16065"/>
      <w:bookmarkStart w:id="298" w:name="_Toc4522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1.举办特色消费活动</w:t>
      </w:r>
      <w:bookmarkEnd w:id="293"/>
      <w:bookmarkEnd w:id="294"/>
      <w:bookmarkEnd w:id="295"/>
      <w:bookmarkEnd w:id="296"/>
      <w:bookmarkEnd w:id="297"/>
      <w:bookmarkEnd w:id="29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持续高水平举办“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京西消费节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”，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紧抓重要消费节点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、特色消费场景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组织开展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文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商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旅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体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科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展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等系列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消</w:t>
      </w:r>
      <w:r>
        <w:rPr>
          <w:rFonts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费活动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打造覆盖全年的品牌活动IP矩阵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。聚焦创意文化、趣味赛事、主题音乐等领域，支持举办参与度较高的大型活动，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策划举办具有国际化属性的主题活动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299" w:name="_Toc24206"/>
      <w:bookmarkStart w:id="300" w:name="_Toc22305"/>
      <w:bookmarkStart w:id="301" w:name="_Toc214"/>
      <w:bookmarkStart w:id="302" w:name="_Toc31313"/>
      <w:bookmarkStart w:id="303" w:name="_Toc3072"/>
      <w:bookmarkStart w:id="304" w:name="_Toc18986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2.加强消费宣传推介</w:t>
      </w:r>
      <w:bookmarkEnd w:id="299"/>
      <w:bookmarkEnd w:id="300"/>
      <w:bookmarkEnd w:id="301"/>
      <w:bookmarkEnd w:id="302"/>
      <w:bookmarkEnd w:id="303"/>
      <w:bookmarkEnd w:id="30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持续擦亮“京西有惊喜”消费品牌，探索开发设计周边文创产品，触达更多消费者，持续扩大品牌传播力。加强城市消费资源统筹推介，加大商业项目、文旅景区、体育设施等重点消费载体宣传力度。强化数字化营销，利用社交媒体、内容平台和新兴传播渠道，打造多触点的IP传播矩阵‌。</w:t>
      </w:r>
    </w:p>
    <w:p>
      <w:pPr>
        <w:numPr>
          <w:ilvl w:val="0"/>
          <w:numId w:val="0"/>
        </w:numPr>
        <w:spacing w:beforeLines="0" w:afterLines="0" w:line="560" w:lineRule="exact"/>
        <w:ind w:firstLine="642" w:firstLineChars="200"/>
        <w:jc w:val="left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</w:rPr>
      </w:pPr>
      <w:bookmarkStart w:id="305" w:name="_Toc31738"/>
      <w:bookmarkStart w:id="306" w:name="_Toc21567"/>
      <w:bookmarkStart w:id="307" w:name="_Toc9984"/>
      <w:bookmarkStart w:id="308" w:name="_Toc11410"/>
      <w:bookmarkStart w:id="309" w:name="_Toc13783"/>
      <w:bookmarkStart w:id="310" w:name="_Toc8611"/>
      <w:bookmarkStart w:id="311" w:name="_Toc22643"/>
      <w:bookmarkStart w:id="312" w:name="_Toc4544"/>
      <w:bookmarkStart w:id="313" w:name="_Toc19887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.</w:t>
      </w:r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shd w:val="clear" w:color="auto" w:fill="auto"/>
          <w:lang w:val="en-US" w:eastAsia="zh-CN"/>
        </w:rPr>
        <w:t>吸引市场资源参与</w:t>
      </w:r>
    </w:p>
    <w:p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Cs w:val="0"/>
          <w:sz w:val="32"/>
          <w:szCs w:val="32"/>
          <w:u w:val="none" w:color="auto"/>
          <w:shd w:val="clear" w:color="auto" w:fill="auto"/>
        </w:rPr>
        <w:t>支持大型商业综合体、重点商业设施组建自治委员会，健全商圈提升发展规章规范。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  <w:t>发挥“三卡+消金”资源优势，定制具有区域特色的专属优惠活动，引导各卡中心积极参与消费券发放。鼓励金融机构开发科幻、文旅等重点领域的特色金融产品，深化数字人民币在零售餐饮、交通出行、跨境支付等领域的推广。</w:t>
      </w:r>
    </w:p>
    <w:p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</w:p>
    <w:p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 w:color="auto"/>
          <w:shd w:val="clear" w:color="auto" w:fill="auto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trackRevisions w:val="true"/>
  <w:documentProtection w:enforcement="0"/>
  <w:defaultTabStop w:val="420"/>
  <w:drawingGridVerticalSpacing w:val="164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8501F"/>
    <w:rsid w:val="004D601E"/>
    <w:rsid w:val="004E43BF"/>
    <w:rsid w:val="005339EC"/>
    <w:rsid w:val="005F481F"/>
    <w:rsid w:val="0066795B"/>
    <w:rsid w:val="006E6810"/>
    <w:rsid w:val="007A3406"/>
    <w:rsid w:val="00814795"/>
    <w:rsid w:val="009A13B3"/>
    <w:rsid w:val="009A5857"/>
    <w:rsid w:val="00DA5C53"/>
    <w:rsid w:val="00F05477"/>
    <w:rsid w:val="00FC02BF"/>
    <w:rsid w:val="01227446"/>
    <w:rsid w:val="01520363"/>
    <w:rsid w:val="018C33F1"/>
    <w:rsid w:val="019153AB"/>
    <w:rsid w:val="01935C7D"/>
    <w:rsid w:val="01B536B8"/>
    <w:rsid w:val="01BF6322"/>
    <w:rsid w:val="01EB45BC"/>
    <w:rsid w:val="01F9035B"/>
    <w:rsid w:val="0204567E"/>
    <w:rsid w:val="020A2568"/>
    <w:rsid w:val="02502671"/>
    <w:rsid w:val="02565543"/>
    <w:rsid w:val="02602A96"/>
    <w:rsid w:val="02631E0C"/>
    <w:rsid w:val="0270686F"/>
    <w:rsid w:val="02785724"/>
    <w:rsid w:val="027A76EE"/>
    <w:rsid w:val="027C16B8"/>
    <w:rsid w:val="027D71DE"/>
    <w:rsid w:val="02810A7C"/>
    <w:rsid w:val="02B56978"/>
    <w:rsid w:val="02BD75DA"/>
    <w:rsid w:val="02C31095"/>
    <w:rsid w:val="02E10C3C"/>
    <w:rsid w:val="02E92054"/>
    <w:rsid w:val="02F0175E"/>
    <w:rsid w:val="02F91852"/>
    <w:rsid w:val="0305345B"/>
    <w:rsid w:val="033834D4"/>
    <w:rsid w:val="03404493"/>
    <w:rsid w:val="03681C3C"/>
    <w:rsid w:val="03CF48D0"/>
    <w:rsid w:val="03DB0660"/>
    <w:rsid w:val="03E424F8"/>
    <w:rsid w:val="03F434D0"/>
    <w:rsid w:val="03F82FC0"/>
    <w:rsid w:val="041A1188"/>
    <w:rsid w:val="0430275A"/>
    <w:rsid w:val="04357D70"/>
    <w:rsid w:val="043A35D9"/>
    <w:rsid w:val="044004C3"/>
    <w:rsid w:val="044A30F0"/>
    <w:rsid w:val="04545D1C"/>
    <w:rsid w:val="04784101"/>
    <w:rsid w:val="047D1717"/>
    <w:rsid w:val="047D34C5"/>
    <w:rsid w:val="048900BC"/>
    <w:rsid w:val="048D195A"/>
    <w:rsid w:val="049868E8"/>
    <w:rsid w:val="04BE5FB8"/>
    <w:rsid w:val="04DD5D12"/>
    <w:rsid w:val="04FF037E"/>
    <w:rsid w:val="050140F6"/>
    <w:rsid w:val="051A712F"/>
    <w:rsid w:val="052B4CCF"/>
    <w:rsid w:val="055C132D"/>
    <w:rsid w:val="05962A91"/>
    <w:rsid w:val="0596483F"/>
    <w:rsid w:val="059A3B3C"/>
    <w:rsid w:val="05A0746B"/>
    <w:rsid w:val="05B41169"/>
    <w:rsid w:val="05BC1DCB"/>
    <w:rsid w:val="0607573C"/>
    <w:rsid w:val="060C4B01"/>
    <w:rsid w:val="060F639F"/>
    <w:rsid w:val="06331B3C"/>
    <w:rsid w:val="063D4CBA"/>
    <w:rsid w:val="064F3CCA"/>
    <w:rsid w:val="06540256"/>
    <w:rsid w:val="0667328F"/>
    <w:rsid w:val="068176BD"/>
    <w:rsid w:val="06905732"/>
    <w:rsid w:val="06BF6017"/>
    <w:rsid w:val="06C70A28"/>
    <w:rsid w:val="06CB676A"/>
    <w:rsid w:val="07300CC3"/>
    <w:rsid w:val="073A569E"/>
    <w:rsid w:val="074309F6"/>
    <w:rsid w:val="0757624F"/>
    <w:rsid w:val="075F6EB2"/>
    <w:rsid w:val="07623FFD"/>
    <w:rsid w:val="0764271A"/>
    <w:rsid w:val="07A33243"/>
    <w:rsid w:val="07BC2556"/>
    <w:rsid w:val="07C10049"/>
    <w:rsid w:val="07D16002"/>
    <w:rsid w:val="07F96414"/>
    <w:rsid w:val="08071A24"/>
    <w:rsid w:val="08202AE5"/>
    <w:rsid w:val="082425D6"/>
    <w:rsid w:val="082D6FB0"/>
    <w:rsid w:val="082F2519"/>
    <w:rsid w:val="083D71F3"/>
    <w:rsid w:val="08597DA5"/>
    <w:rsid w:val="085D5AE7"/>
    <w:rsid w:val="085D7896"/>
    <w:rsid w:val="0865499C"/>
    <w:rsid w:val="0869623A"/>
    <w:rsid w:val="08766BA9"/>
    <w:rsid w:val="08793FA4"/>
    <w:rsid w:val="087B41C0"/>
    <w:rsid w:val="088A7F5F"/>
    <w:rsid w:val="089808CE"/>
    <w:rsid w:val="08AE00F1"/>
    <w:rsid w:val="08BC6816"/>
    <w:rsid w:val="08C8368E"/>
    <w:rsid w:val="08FD2E27"/>
    <w:rsid w:val="09033ED8"/>
    <w:rsid w:val="090708A4"/>
    <w:rsid w:val="093F51ED"/>
    <w:rsid w:val="09586AA8"/>
    <w:rsid w:val="095A2027"/>
    <w:rsid w:val="09B2776D"/>
    <w:rsid w:val="09CF47C3"/>
    <w:rsid w:val="09DB2911"/>
    <w:rsid w:val="0A3509DE"/>
    <w:rsid w:val="0A4D56E8"/>
    <w:rsid w:val="0A5847B8"/>
    <w:rsid w:val="0A5F6988"/>
    <w:rsid w:val="0A621193"/>
    <w:rsid w:val="0A64315D"/>
    <w:rsid w:val="0A717628"/>
    <w:rsid w:val="0A73514E"/>
    <w:rsid w:val="0AA6225D"/>
    <w:rsid w:val="0AA90B70"/>
    <w:rsid w:val="0ABD461B"/>
    <w:rsid w:val="0AD57BB7"/>
    <w:rsid w:val="0AE92A74"/>
    <w:rsid w:val="0AE95411"/>
    <w:rsid w:val="0AEC6CAF"/>
    <w:rsid w:val="0AF52007"/>
    <w:rsid w:val="0AF67B2D"/>
    <w:rsid w:val="0B0C55A3"/>
    <w:rsid w:val="0B36617C"/>
    <w:rsid w:val="0B564557"/>
    <w:rsid w:val="0B6B051B"/>
    <w:rsid w:val="0B8D0492"/>
    <w:rsid w:val="0B9C06D5"/>
    <w:rsid w:val="0BBC0D77"/>
    <w:rsid w:val="0BBC48D3"/>
    <w:rsid w:val="0BC419DA"/>
    <w:rsid w:val="0BED7182"/>
    <w:rsid w:val="0C172615"/>
    <w:rsid w:val="0C1741FF"/>
    <w:rsid w:val="0C37664F"/>
    <w:rsid w:val="0C3E178C"/>
    <w:rsid w:val="0C405504"/>
    <w:rsid w:val="0C41302A"/>
    <w:rsid w:val="0C473E18"/>
    <w:rsid w:val="0C813E69"/>
    <w:rsid w:val="0CCE0D62"/>
    <w:rsid w:val="0D10137A"/>
    <w:rsid w:val="0D160B7F"/>
    <w:rsid w:val="0D2564A8"/>
    <w:rsid w:val="0D73211D"/>
    <w:rsid w:val="0D907DC5"/>
    <w:rsid w:val="0DBB0872"/>
    <w:rsid w:val="0DC82EAC"/>
    <w:rsid w:val="0DCB3B55"/>
    <w:rsid w:val="0DD203DE"/>
    <w:rsid w:val="0DEF71E2"/>
    <w:rsid w:val="0DF91E0E"/>
    <w:rsid w:val="0E0662D9"/>
    <w:rsid w:val="0E0D73AC"/>
    <w:rsid w:val="0E1924B1"/>
    <w:rsid w:val="0E323572"/>
    <w:rsid w:val="0E774FBA"/>
    <w:rsid w:val="0E833DCE"/>
    <w:rsid w:val="0E87741A"/>
    <w:rsid w:val="0E883192"/>
    <w:rsid w:val="0EB36461"/>
    <w:rsid w:val="0EBB5316"/>
    <w:rsid w:val="0ED9579C"/>
    <w:rsid w:val="0EDB59B8"/>
    <w:rsid w:val="0EDB7766"/>
    <w:rsid w:val="0EDD528C"/>
    <w:rsid w:val="0EE77EB9"/>
    <w:rsid w:val="0EF10D38"/>
    <w:rsid w:val="0F0767AD"/>
    <w:rsid w:val="0F3B1FB3"/>
    <w:rsid w:val="0F3D3F7D"/>
    <w:rsid w:val="0F5F0397"/>
    <w:rsid w:val="0F600249"/>
    <w:rsid w:val="0F6E31DD"/>
    <w:rsid w:val="0FA505FE"/>
    <w:rsid w:val="0FBC30F4"/>
    <w:rsid w:val="0FD22F01"/>
    <w:rsid w:val="0FE60171"/>
    <w:rsid w:val="100827DD"/>
    <w:rsid w:val="10297542"/>
    <w:rsid w:val="10303AE2"/>
    <w:rsid w:val="105477D0"/>
    <w:rsid w:val="10630DC3"/>
    <w:rsid w:val="106F460A"/>
    <w:rsid w:val="107734BE"/>
    <w:rsid w:val="10855BDB"/>
    <w:rsid w:val="10881228"/>
    <w:rsid w:val="10AD5132"/>
    <w:rsid w:val="10D0497D"/>
    <w:rsid w:val="10FD39C4"/>
    <w:rsid w:val="110411F6"/>
    <w:rsid w:val="113413B0"/>
    <w:rsid w:val="11360C84"/>
    <w:rsid w:val="11390774"/>
    <w:rsid w:val="11401B02"/>
    <w:rsid w:val="11717F0E"/>
    <w:rsid w:val="117A5014"/>
    <w:rsid w:val="119500A0"/>
    <w:rsid w:val="11A264BB"/>
    <w:rsid w:val="11CB1B3C"/>
    <w:rsid w:val="11DA5AB3"/>
    <w:rsid w:val="11EC57E6"/>
    <w:rsid w:val="12096398"/>
    <w:rsid w:val="1223332E"/>
    <w:rsid w:val="12323B41"/>
    <w:rsid w:val="12394ECF"/>
    <w:rsid w:val="124949E7"/>
    <w:rsid w:val="126637EB"/>
    <w:rsid w:val="128D6FC9"/>
    <w:rsid w:val="12E32EDE"/>
    <w:rsid w:val="12E666D9"/>
    <w:rsid w:val="12ED7A68"/>
    <w:rsid w:val="12F40DF6"/>
    <w:rsid w:val="12F71C17"/>
    <w:rsid w:val="1301762F"/>
    <w:rsid w:val="131E2317"/>
    <w:rsid w:val="13410312"/>
    <w:rsid w:val="137A57A0"/>
    <w:rsid w:val="137B5074"/>
    <w:rsid w:val="13936861"/>
    <w:rsid w:val="13C46A1B"/>
    <w:rsid w:val="13D34EB0"/>
    <w:rsid w:val="13E23345"/>
    <w:rsid w:val="13E72709"/>
    <w:rsid w:val="13E80E38"/>
    <w:rsid w:val="13E96481"/>
    <w:rsid w:val="140B289C"/>
    <w:rsid w:val="14261483"/>
    <w:rsid w:val="144D6A10"/>
    <w:rsid w:val="14506500"/>
    <w:rsid w:val="14665D24"/>
    <w:rsid w:val="14726477"/>
    <w:rsid w:val="148166BA"/>
    <w:rsid w:val="148937C0"/>
    <w:rsid w:val="14AE45AC"/>
    <w:rsid w:val="14C64A14"/>
    <w:rsid w:val="14D7277E"/>
    <w:rsid w:val="14E76E65"/>
    <w:rsid w:val="150B58A6"/>
    <w:rsid w:val="1517701E"/>
    <w:rsid w:val="151C4634"/>
    <w:rsid w:val="152359C3"/>
    <w:rsid w:val="152A0AFF"/>
    <w:rsid w:val="153D6025"/>
    <w:rsid w:val="15730D7C"/>
    <w:rsid w:val="157E55BA"/>
    <w:rsid w:val="157F5EC2"/>
    <w:rsid w:val="158741A4"/>
    <w:rsid w:val="15A5287C"/>
    <w:rsid w:val="15A96842"/>
    <w:rsid w:val="15AA1C40"/>
    <w:rsid w:val="15AE34DE"/>
    <w:rsid w:val="15C47445"/>
    <w:rsid w:val="15CC7E09"/>
    <w:rsid w:val="15D32F45"/>
    <w:rsid w:val="15DB44F0"/>
    <w:rsid w:val="16161345"/>
    <w:rsid w:val="16227A29"/>
    <w:rsid w:val="16481B85"/>
    <w:rsid w:val="1658169C"/>
    <w:rsid w:val="1669278D"/>
    <w:rsid w:val="166E0EC0"/>
    <w:rsid w:val="167C538B"/>
    <w:rsid w:val="169326D4"/>
    <w:rsid w:val="16997A1B"/>
    <w:rsid w:val="16A11295"/>
    <w:rsid w:val="16A50D85"/>
    <w:rsid w:val="16BA2357"/>
    <w:rsid w:val="16DA2656"/>
    <w:rsid w:val="16E01DBD"/>
    <w:rsid w:val="16E42F30"/>
    <w:rsid w:val="16F055D7"/>
    <w:rsid w:val="17084E70"/>
    <w:rsid w:val="17410382"/>
    <w:rsid w:val="17592D5E"/>
    <w:rsid w:val="17C50FB3"/>
    <w:rsid w:val="17E4768B"/>
    <w:rsid w:val="17E7717C"/>
    <w:rsid w:val="18041ADC"/>
    <w:rsid w:val="181E2472"/>
    <w:rsid w:val="183028D1"/>
    <w:rsid w:val="18441ED8"/>
    <w:rsid w:val="185A16FC"/>
    <w:rsid w:val="18770500"/>
    <w:rsid w:val="18A137CE"/>
    <w:rsid w:val="18AD3F21"/>
    <w:rsid w:val="18B52DD6"/>
    <w:rsid w:val="18C4126B"/>
    <w:rsid w:val="18CB25F9"/>
    <w:rsid w:val="18D314AE"/>
    <w:rsid w:val="190D2C12"/>
    <w:rsid w:val="19193365"/>
    <w:rsid w:val="19397563"/>
    <w:rsid w:val="194A0D8E"/>
    <w:rsid w:val="198D3D53"/>
    <w:rsid w:val="199B1FCC"/>
    <w:rsid w:val="199E386A"/>
    <w:rsid w:val="19B94B48"/>
    <w:rsid w:val="19E00326"/>
    <w:rsid w:val="19E27BFB"/>
    <w:rsid w:val="19E5495D"/>
    <w:rsid w:val="19FB6F0E"/>
    <w:rsid w:val="1A231FC1"/>
    <w:rsid w:val="1A310B82"/>
    <w:rsid w:val="1A3D3083"/>
    <w:rsid w:val="1A564145"/>
    <w:rsid w:val="1A8011C2"/>
    <w:rsid w:val="1A9A04D5"/>
    <w:rsid w:val="1AA66E7A"/>
    <w:rsid w:val="1AB954FB"/>
    <w:rsid w:val="1ABB2BFD"/>
    <w:rsid w:val="1ADF05DE"/>
    <w:rsid w:val="1AE9320B"/>
    <w:rsid w:val="1B0E4A1F"/>
    <w:rsid w:val="1B1A7868"/>
    <w:rsid w:val="1B2A7AAB"/>
    <w:rsid w:val="1B304996"/>
    <w:rsid w:val="1B3F107D"/>
    <w:rsid w:val="1B430B6D"/>
    <w:rsid w:val="1B7E3953"/>
    <w:rsid w:val="1B7E7DF7"/>
    <w:rsid w:val="1B970EB9"/>
    <w:rsid w:val="1B972C67"/>
    <w:rsid w:val="1BA3160C"/>
    <w:rsid w:val="1BB51F61"/>
    <w:rsid w:val="1BC872C4"/>
    <w:rsid w:val="1C2A3ADB"/>
    <w:rsid w:val="1C580648"/>
    <w:rsid w:val="1C6568C1"/>
    <w:rsid w:val="1C6E1C1A"/>
    <w:rsid w:val="1C7A17A2"/>
    <w:rsid w:val="1C7F3E27"/>
    <w:rsid w:val="1C80194D"/>
    <w:rsid w:val="1C872CDB"/>
    <w:rsid w:val="1C8C6544"/>
    <w:rsid w:val="1C9366B7"/>
    <w:rsid w:val="1C972ECE"/>
    <w:rsid w:val="1CA473E9"/>
    <w:rsid w:val="1CB80C2C"/>
    <w:rsid w:val="1CBB2985"/>
    <w:rsid w:val="1CD32CF2"/>
    <w:rsid w:val="1CDA105D"/>
    <w:rsid w:val="1CE471BB"/>
    <w:rsid w:val="1D216C8C"/>
    <w:rsid w:val="1D5C1A72"/>
    <w:rsid w:val="1DA63635"/>
    <w:rsid w:val="1DA90ACE"/>
    <w:rsid w:val="1DC1221D"/>
    <w:rsid w:val="1DE55F0B"/>
    <w:rsid w:val="1DF75C3F"/>
    <w:rsid w:val="1E14234D"/>
    <w:rsid w:val="1E234C86"/>
    <w:rsid w:val="1E2A6014"/>
    <w:rsid w:val="1E2F2EAE"/>
    <w:rsid w:val="1E42335E"/>
    <w:rsid w:val="1E4A6A10"/>
    <w:rsid w:val="1E5B441F"/>
    <w:rsid w:val="1E8E20FF"/>
    <w:rsid w:val="1E8F40C9"/>
    <w:rsid w:val="1E9516DF"/>
    <w:rsid w:val="1E984D2C"/>
    <w:rsid w:val="1E9F430C"/>
    <w:rsid w:val="1EC10726"/>
    <w:rsid w:val="1ECB3353"/>
    <w:rsid w:val="1EF02DBA"/>
    <w:rsid w:val="1F1B2614"/>
    <w:rsid w:val="1F2667DB"/>
    <w:rsid w:val="1F2B3DF2"/>
    <w:rsid w:val="1F2F2272"/>
    <w:rsid w:val="1F303A5C"/>
    <w:rsid w:val="1F334A54"/>
    <w:rsid w:val="1F4D3102"/>
    <w:rsid w:val="1F69491A"/>
    <w:rsid w:val="1F7A08D5"/>
    <w:rsid w:val="1FA328F8"/>
    <w:rsid w:val="1FA85442"/>
    <w:rsid w:val="1FBE07C2"/>
    <w:rsid w:val="20097E96"/>
    <w:rsid w:val="200D799B"/>
    <w:rsid w:val="20144886"/>
    <w:rsid w:val="20482782"/>
    <w:rsid w:val="20875058"/>
    <w:rsid w:val="208C3E43"/>
    <w:rsid w:val="209B4FA7"/>
    <w:rsid w:val="20BB73F7"/>
    <w:rsid w:val="20CA3197"/>
    <w:rsid w:val="20DA787E"/>
    <w:rsid w:val="20DD55C0"/>
    <w:rsid w:val="20E029BA"/>
    <w:rsid w:val="20F5319F"/>
    <w:rsid w:val="211A411E"/>
    <w:rsid w:val="2144119B"/>
    <w:rsid w:val="214B42D7"/>
    <w:rsid w:val="21582E98"/>
    <w:rsid w:val="215B0293"/>
    <w:rsid w:val="218D5374"/>
    <w:rsid w:val="218E2416"/>
    <w:rsid w:val="21933ED0"/>
    <w:rsid w:val="21E939A4"/>
    <w:rsid w:val="21F91F85"/>
    <w:rsid w:val="21FE57EE"/>
    <w:rsid w:val="2205092A"/>
    <w:rsid w:val="222A0391"/>
    <w:rsid w:val="222B72CC"/>
    <w:rsid w:val="224A458F"/>
    <w:rsid w:val="225C2514"/>
    <w:rsid w:val="225E44DE"/>
    <w:rsid w:val="2274785E"/>
    <w:rsid w:val="229B128E"/>
    <w:rsid w:val="22B1460E"/>
    <w:rsid w:val="22BE3809"/>
    <w:rsid w:val="22C81958"/>
    <w:rsid w:val="22D30A28"/>
    <w:rsid w:val="22E8501F"/>
    <w:rsid w:val="22FB1FE8"/>
    <w:rsid w:val="23166B67"/>
    <w:rsid w:val="23270D74"/>
    <w:rsid w:val="23386ADD"/>
    <w:rsid w:val="23614286"/>
    <w:rsid w:val="23706277"/>
    <w:rsid w:val="2387457D"/>
    <w:rsid w:val="23A128D5"/>
    <w:rsid w:val="23A777BF"/>
    <w:rsid w:val="23A924A0"/>
    <w:rsid w:val="23C87E61"/>
    <w:rsid w:val="23CE7442"/>
    <w:rsid w:val="23DA1943"/>
    <w:rsid w:val="23F91212"/>
    <w:rsid w:val="2409047A"/>
    <w:rsid w:val="241430A6"/>
    <w:rsid w:val="243F7BDE"/>
    <w:rsid w:val="244514B2"/>
    <w:rsid w:val="24501AAF"/>
    <w:rsid w:val="2480073C"/>
    <w:rsid w:val="24A51F50"/>
    <w:rsid w:val="24BE74B6"/>
    <w:rsid w:val="24D64800"/>
    <w:rsid w:val="25007ACF"/>
    <w:rsid w:val="250A6257"/>
    <w:rsid w:val="250F7D12"/>
    <w:rsid w:val="253422BE"/>
    <w:rsid w:val="25423C43"/>
    <w:rsid w:val="25481BC4"/>
    <w:rsid w:val="25497B6E"/>
    <w:rsid w:val="257162D7"/>
    <w:rsid w:val="258204E4"/>
    <w:rsid w:val="258A442B"/>
    <w:rsid w:val="259F2E44"/>
    <w:rsid w:val="25A8619C"/>
    <w:rsid w:val="25AC5561"/>
    <w:rsid w:val="25E1520A"/>
    <w:rsid w:val="25F807A6"/>
    <w:rsid w:val="262B0B7B"/>
    <w:rsid w:val="262B46D7"/>
    <w:rsid w:val="262E5F76"/>
    <w:rsid w:val="262F241A"/>
    <w:rsid w:val="26431A21"/>
    <w:rsid w:val="264439EB"/>
    <w:rsid w:val="26461511"/>
    <w:rsid w:val="265359DC"/>
    <w:rsid w:val="26551754"/>
    <w:rsid w:val="266D2F42"/>
    <w:rsid w:val="26864004"/>
    <w:rsid w:val="269A360B"/>
    <w:rsid w:val="26A06E73"/>
    <w:rsid w:val="26BD5C77"/>
    <w:rsid w:val="26C62652"/>
    <w:rsid w:val="26D15547"/>
    <w:rsid w:val="26F176CF"/>
    <w:rsid w:val="26F40F6D"/>
    <w:rsid w:val="270E75A2"/>
    <w:rsid w:val="27351CB2"/>
    <w:rsid w:val="275507B4"/>
    <w:rsid w:val="27653C19"/>
    <w:rsid w:val="277E52D7"/>
    <w:rsid w:val="27856069"/>
    <w:rsid w:val="27DA0163"/>
    <w:rsid w:val="27E2526A"/>
    <w:rsid w:val="27FE6547"/>
    <w:rsid w:val="28017DE6"/>
    <w:rsid w:val="283E1E92"/>
    <w:rsid w:val="283E5715"/>
    <w:rsid w:val="284D4DD9"/>
    <w:rsid w:val="28575C58"/>
    <w:rsid w:val="286F11F3"/>
    <w:rsid w:val="28AF339E"/>
    <w:rsid w:val="28B44E58"/>
    <w:rsid w:val="28C876FF"/>
    <w:rsid w:val="28D42E04"/>
    <w:rsid w:val="28F9286B"/>
    <w:rsid w:val="29051210"/>
    <w:rsid w:val="290D6316"/>
    <w:rsid w:val="29253660"/>
    <w:rsid w:val="293B7327"/>
    <w:rsid w:val="29424212"/>
    <w:rsid w:val="29552CDF"/>
    <w:rsid w:val="295E4DC4"/>
    <w:rsid w:val="296323DA"/>
    <w:rsid w:val="297168A5"/>
    <w:rsid w:val="29724827"/>
    <w:rsid w:val="297D0F61"/>
    <w:rsid w:val="297D798E"/>
    <w:rsid w:val="29804D3A"/>
    <w:rsid w:val="29824F56"/>
    <w:rsid w:val="29B669AE"/>
    <w:rsid w:val="29BB5D72"/>
    <w:rsid w:val="29BC27DC"/>
    <w:rsid w:val="29C97B0E"/>
    <w:rsid w:val="29DA08EE"/>
    <w:rsid w:val="29DF7CB3"/>
    <w:rsid w:val="29E17ECF"/>
    <w:rsid w:val="2A036126"/>
    <w:rsid w:val="2A135BAE"/>
    <w:rsid w:val="2A151926"/>
    <w:rsid w:val="2A225DF1"/>
    <w:rsid w:val="2A244EDE"/>
    <w:rsid w:val="2A2B114A"/>
    <w:rsid w:val="2A3F4BF5"/>
    <w:rsid w:val="2A467D32"/>
    <w:rsid w:val="2A7228D5"/>
    <w:rsid w:val="2A8B3997"/>
    <w:rsid w:val="2A924FCC"/>
    <w:rsid w:val="2AA902C1"/>
    <w:rsid w:val="2ABE1FBE"/>
    <w:rsid w:val="2AC05D36"/>
    <w:rsid w:val="2AC1385C"/>
    <w:rsid w:val="2AF552B4"/>
    <w:rsid w:val="2B0A5203"/>
    <w:rsid w:val="2B0F6376"/>
    <w:rsid w:val="2B1240B8"/>
    <w:rsid w:val="2B25203D"/>
    <w:rsid w:val="2B8A00F2"/>
    <w:rsid w:val="2B9351F9"/>
    <w:rsid w:val="2B9845BD"/>
    <w:rsid w:val="2B9B5E5B"/>
    <w:rsid w:val="2BDB6BA0"/>
    <w:rsid w:val="2BE07D12"/>
    <w:rsid w:val="2C106849"/>
    <w:rsid w:val="2C526E62"/>
    <w:rsid w:val="2C5524AE"/>
    <w:rsid w:val="2C644DB4"/>
    <w:rsid w:val="2C98683F"/>
    <w:rsid w:val="2CB96A46"/>
    <w:rsid w:val="2CE0789D"/>
    <w:rsid w:val="2CE275EC"/>
    <w:rsid w:val="2D145EC5"/>
    <w:rsid w:val="2D236108"/>
    <w:rsid w:val="2D2C32D2"/>
    <w:rsid w:val="2D314CC9"/>
    <w:rsid w:val="2D355E3C"/>
    <w:rsid w:val="2D7D7F0E"/>
    <w:rsid w:val="2DA03BFD"/>
    <w:rsid w:val="2DA60AE7"/>
    <w:rsid w:val="2DAD00C8"/>
    <w:rsid w:val="2DAD1E76"/>
    <w:rsid w:val="2DBD655D"/>
    <w:rsid w:val="2DCF6290"/>
    <w:rsid w:val="2DD37B2E"/>
    <w:rsid w:val="2DD60F9C"/>
    <w:rsid w:val="2DDD275B"/>
    <w:rsid w:val="2E3A5DFF"/>
    <w:rsid w:val="2E3F6F72"/>
    <w:rsid w:val="2E4B1DBB"/>
    <w:rsid w:val="2E5D564A"/>
    <w:rsid w:val="2E921798"/>
    <w:rsid w:val="2E9A328C"/>
    <w:rsid w:val="2E9A689E"/>
    <w:rsid w:val="2EAD65D1"/>
    <w:rsid w:val="2EB77450"/>
    <w:rsid w:val="2ECB2EFB"/>
    <w:rsid w:val="2ED27DE6"/>
    <w:rsid w:val="2ED3590C"/>
    <w:rsid w:val="2EDE2C2F"/>
    <w:rsid w:val="2EDE67D5"/>
    <w:rsid w:val="2EE61AE3"/>
    <w:rsid w:val="2F4D1B62"/>
    <w:rsid w:val="2F544EB3"/>
    <w:rsid w:val="2F546A4D"/>
    <w:rsid w:val="2F642A08"/>
    <w:rsid w:val="2F7075FF"/>
    <w:rsid w:val="2F7D2448"/>
    <w:rsid w:val="2F875074"/>
    <w:rsid w:val="2FA23C5C"/>
    <w:rsid w:val="2FB1304E"/>
    <w:rsid w:val="2FCC6F2B"/>
    <w:rsid w:val="2FDE6C5E"/>
    <w:rsid w:val="30156353"/>
    <w:rsid w:val="3025488D"/>
    <w:rsid w:val="302E54F0"/>
    <w:rsid w:val="303562C4"/>
    <w:rsid w:val="30766E97"/>
    <w:rsid w:val="30915A7F"/>
    <w:rsid w:val="30AC28B9"/>
    <w:rsid w:val="30B023A9"/>
    <w:rsid w:val="30B67293"/>
    <w:rsid w:val="30FA1876"/>
    <w:rsid w:val="30FA3624"/>
    <w:rsid w:val="30FB64E8"/>
    <w:rsid w:val="30FD3114"/>
    <w:rsid w:val="313F54DB"/>
    <w:rsid w:val="31436D79"/>
    <w:rsid w:val="314F1BC2"/>
    <w:rsid w:val="31655C4E"/>
    <w:rsid w:val="317177E5"/>
    <w:rsid w:val="31772EC7"/>
    <w:rsid w:val="317C672F"/>
    <w:rsid w:val="31807FCD"/>
    <w:rsid w:val="31CA749A"/>
    <w:rsid w:val="31CD0D39"/>
    <w:rsid w:val="31DC0F7C"/>
    <w:rsid w:val="31DC1059"/>
    <w:rsid w:val="31FD7870"/>
    <w:rsid w:val="321D581C"/>
    <w:rsid w:val="322546D1"/>
    <w:rsid w:val="322E5C7B"/>
    <w:rsid w:val="32313075"/>
    <w:rsid w:val="323B5CA2"/>
    <w:rsid w:val="323E39E4"/>
    <w:rsid w:val="32517538"/>
    <w:rsid w:val="326571C3"/>
    <w:rsid w:val="32807B59"/>
    <w:rsid w:val="32943604"/>
    <w:rsid w:val="329A50BF"/>
    <w:rsid w:val="32B20E8F"/>
    <w:rsid w:val="32BA750F"/>
    <w:rsid w:val="32C20171"/>
    <w:rsid w:val="32DD144F"/>
    <w:rsid w:val="32DD31FD"/>
    <w:rsid w:val="32EF7D87"/>
    <w:rsid w:val="33010C9A"/>
    <w:rsid w:val="333C0154"/>
    <w:rsid w:val="33631954"/>
    <w:rsid w:val="33997993"/>
    <w:rsid w:val="33C5616B"/>
    <w:rsid w:val="33DC34B5"/>
    <w:rsid w:val="33DC5263"/>
    <w:rsid w:val="33EA5BD2"/>
    <w:rsid w:val="33F22CD8"/>
    <w:rsid w:val="343926B5"/>
    <w:rsid w:val="34403A44"/>
    <w:rsid w:val="344352E2"/>
    <w:rsid w:val="34441786"/>
    <w:rsid w:val="34580D8D"/>
    <w:rsid w:val="345968B4"/>
    <w:rsid w:val="345E3ECA"/>
    <w:rsid w:val="347A477D"/>
    <w:rsid w:val="347B2CCE"/>
    <w:rsid w:val="347C419D"/>
    <w:rsid w:val="347D6A46"/>
    <w:rsid w:val="347F62B4"/>
    <w:rsid w:val="348B6F28"/>
    <w:rsid w:val="34A00986"/>
    <w:rsid w:val="34D4418C"/>
    <w:rsid w:val="34D66156"/>
    <w:rsid w:val="34D67ABD"/>
    <w:rsid w:val="35207824"/>
    <w:rsid w:val="352944D8"/>
    <w:rsid w:val="352C5D76"/>
    <w:rsid w:val="353251AA"/>
    <w:rsid w:val="35374E47"/>
    <w:rsid w:val="353A66E5"/>
    <w:rsid w:val="35521C81"/>
    <w:rsid w:val="355578E6"/>
    <w:rsid w:val="35675000"/>
    <w:rsid w:val="356E638F"/>
    <w:rsid w:val="35817350"/>
    <w:rsid w:val="35A95619"/>
    <w:rsid w:val="35E11C11"/>
    <w:rsid w:val="35EF74CF"/>
    <w:rsid w:val="36460F99"/>
    <w:rsid w:val="364A6DFC"/>
    <w:rsid w:val="364F6D4C"/>
    <w:rsid w:val="36561233"/>
    <w:rsid w:val="36653C36"/>
    <w:rsid w:val="366A124C"/>
    <w:rsid w:val="368045CB"/>
    <w:rsid w:val="36851D82"/>
    <w:rsid w:val="36C344B8"/>
    <w:rsid w:val="36D6068F"/>
    <w:rsid w:val="371B60A2"/>
    <w:rsid w:val="371D5D20"/>
    <w:rsid w:val="372431A9"/>
    <w:rsid w:val="373C3BA7"/>
    <w:rsid w:val="375021F0"/>
    <w:rsid w:val="377063EE"/>
    <w:rsid w:val="37732382"/>
    <w:rsid w:val="37893954"/>
    <w:rsid w:val="37A036E8"/>
    <w:rsid w:val="37AB5678"/>
    <w:rsid w:val="37AD13F0"/>
    <w:rsid w:val="37AE5A9A"/>
    <w:rsid w:val="37B409D1"/>
    <w:rsid w:val="3801173C"/>
    <w:rsid w:val="381B0A50"/>
    <w:rsid w:val="38376F0C"/>
    <w:rsid w:val="384A6C3F"/>
    <w:rsid w:val="38602906"/>
    <w:rsid w:val="3870241E"/>
    <w:rsid w:val="387719FE"/>
    <w:rsid w:val="38795776"/>
    <w:rsid w:val="389A6DAB"/>
    <w:rsid w:val="38AC5B4C"/>
    <w:rsid w:val="38BE13DB"/>
    <w:rsid w:val="38E057F5"/>
    <w:rsid w:val="38FD63A7"/>
    <w:rsid w:val="390414E4"/>
    <w:rsid w:val="3905525C"/>
    <w:rsid w:val="391060DB"/>
    <w:rsid w:val="394F0285"/>
    <w:rsid w:val="39542E1A"/>
    <w:rsid w:val="395C1320"/>
    <w:rsid w:val="396957EB"/>
    <w:rsid w:val="39900FC9"/>
    <w:rsid w:val="39C80763"/>
    <w:rsid w:val="39D32C64"/>
    <w:rsid w:val="39D5226C"/>
    <w:rsid w:val="39EA2D41"/>
    <w:rsid w:val="39EB6200"/>
    <w:rsid w:val="39FA6830"/>
    <w:rsid w:val="3A086DB2"/>
    <w:rsid w:val="3A2A4F7A"/>
    <w:rsid w:val="3A2F07E2"/>
    <w:rsid w:val="3A5244D1"/>
    <w:rsid w:val="3A773F37"/>
    <w:rsid w:val="3A993EAE"/>
    <w:rsid w:val="3AB318F1"/>
    <w:rsid w:val="3AE315CD"/>
    <w:rsid w:val="3B3836C7"/>
    <w:rsid w:val="3B424545"/>
    <w:rsid w:val="3B4C7172"/>
    <w:rsid w:val="3B9963A2"/>
    <w:rsid w:val="3BB54D17"/>
    <w:rsid w:val="3BF03FA1"/>
    <w:rsid w:val="3C522566"/>
    <w:rsid w:val="3C544530"/>
    <w:rsid w:val="3CB23005"/>
    <w:rsid w:val="3CB60D47"/>
    <w:rsid w:val="3CBB2C8E"/>
    <w:rsid w:val="3CBB45AF"/>
    <w:rsid w:val="3CBC3E83"/>
    <w:rsid w:val="3CFC24D2"/>
    <w:rsid w:val="3D0870C9"/>
    <w:rsid w:val="3D4A148F"/>
    <w:rsid w:val="3D5814B4"/>
    <w:rsid w:val="3D5F318D"/>
    <w:rsid w:val="3D791D75"/>
    <w:rsid w:val="3D7E4729"/>
    <w:rsid w:val="3DA212CB"/>
    <w:rsid w:val="3DD0365C"/>
    <w:rsid w:val="3DD82F3F"/>
    <w:rsid w:val="3DDF42CD"/>
    <w:rsid w:val="3DE10046"/>
    <w:rsid w:val="3E033D09"/>
    <w:rsid w:val="3E063608"/>
    <w:rsid w:val="3E3143FD"/>
    <w:rsid w:val="3E3504B8"/>
    <w:rsid w:val="3E4405D4"/>
    <w:rsid w:val="3E5720B6"/>
    <w:rsid w:val="3E6238EA"/>
    <w:rsid w:val="3E733501"/>
    <w:rsid w:val="3E92628C"/>
    <w:rsid w:val="3E9A6446"/>
    <w:rsid w:val="3E9F580B"/>
    <w:rsid w:val="3EA03A5D"/>
    <w:rsid w:val="3EAD7F28"/>
    <w:rsid w:val="3EC05160"/>
    <w:rsid w:val="3EC665C5"/>
    <w:rsid w:val="3ECA0ADA"/>
    <w:rsid w:val="3ECF7E9E"/>
    <w:rsid w:val="3EEA4CD8"/>
    <w:rsid w:val="3EFB0C93"/>
    <w:rsid w:val="3EFE3365"/>
    <w:rsid w:val="3F2A1578"/>
    <w:rsid w:val="3F346C78"/>
    <w:rsid w:val="3F3C12AC"/>
    <w:rsid w:val="3F62769A"/>
    <w:rsid w:val="3F8A2017"/>
    <w:rsid w:val="3F9F3D14"/>
    <w:rsid w:val="3FAE03FB"/>
    <w:rsid w:val="3FDD65EB"/>
    <w:rsid w:val="3FE37B0A"/>
    <w:rsid w:val="4004001B"/>
    <w:rsid w:val="40077B0C"/>
    <w:rsid w:val="401F6C03"/>
    <w:rsid w:val="402B6356"/>
    <w:rsid w:val="402C30CE"/>
    <w:rsid w:val="402D7572"/>
    <w:rsid w:val="40356427"/>
    <w:rsid w:val="403A57EB"/>
    <w:rsid w:val="404B79F8"/>
    <w:rsid w:val="404C551E"/>
    <w:rsid w:val="40631D33"/>
    <w:rsid w:val="406D5BC1"/>
    <w:rsid w:val="408B43F6"/>
    <w:rsid w:val="40AB493B"/>
    <w:rsid w:val="40C477AB"/>
    <w:rsid w:val="40E816EB"/>
    <w:rsid w:val="40F41D7B"/>
    <w:rsid w:val="410302D3"/>
    <w:rsid w:val="412D70FE"/>
    <w:rsid w:val="414C3A28"/>
    <w:rsid w:val="41635215"/>
    <w:rsid w:val="41686388"/>
    <w:rsid w:val="416B7CF1"/>
    <w:rsid w:val="416C5E78"/>
    <w:rsid w:val="419378A9"/>
    <w:rsid w:val="419D24D5"/>
    <w:rsid w:val="41A171BC"/>
    <w:rsid w:val="41A27AEC"/>
    <w:rsid w:val="41AE7F1F"/>
    <w:rsid w:val="41F8595E"/>
    <w:rsid w:val="42132798"/>
    <w:rsid w:val="423F17DF"/>
    <w:rsid w:val="42457BF3"/>
    <w:rsid w:val="42770F78"/>
    <w:rsid w:val="427871AA"/>
    <w:rsid w:val="427D5E63"/>
    <w:rsid w:val="42815953"/>
    <w:rsid w:val="42876CE2"/>
    <w:rsid w:val="429A07C3"/>
    <w:rsid w:val="42B31885"/>
    <w:rsid w:val="42BF647C"/>
    <w:rsid w:val="436A4639"/>
    <w:rsid w:val="436C6603"/>
    <w:rsid w:val="43755CA2"/>
    <w:rsid w:val="43785780"/>
    <w:rsid w:val="438576C5"/>
    <w:rsid w:val="43A37B4B"/>
    <w:rsid w:val="43A53412"/>
    <w:rsid w:val="43B104BA"/>
    <w:rsid w:val="43B835F7"/>
    <w:rsid w:val="43BB30E7"/>
    <w:rsid w:val="43C63F13"/>
    <w:rsid w:val="43D30430"/>
    <w:rsid w:val="43D8253D"/>
    <w:rsid w:val="43DD0F00"/>
    <w:rsid w:val="43E066A9"/>
    <w:rsid w:val="442A5B77"/>
    <w:rsid w:val="44354C47"/>
    <w:rsid w:val="44557097"/>
    <w:rsid w:val="44592057"/>
    <w:rsid w:val="445D3AA1"/>
    <w:rsid w:val="445D419E"/>
    <w:rsid w:val="44736C5A"/>
    <w:rsid w:val="4484172B"/>
    <w:rsid w:val="44A771C7"/>
    <w:rsid w:val="44BB0BD6"/>
    <w:rsid w:val="44C1472D"/>
    <w:rsid w:val="44F20D8A"/>
    <w:rsid w:val="45050ABD"/>
    <w:rsid w:val="45062AD1"/>
    <w:rsid w:val="45196317"/>
    <w:rsid w:val="452627E2"/>
    <w:rsid w:val="453C0257"/>
    <w:rsid w:val="455530C7"/>
    <w:rsid w:val="455E01CE"/>
    <w:rsid w:val="455E025D"/>
    <w:rsid w:val="45707D87"/>
    <w:rsid w:val="45935CF2"/>
    <w:rsid w:val="45991206"/>
    <w:rsid w:val="45A100BA"/>
    <w:rsid w:val="460C7C2A"/>
    <w:rsid w:val="46115240"/>
    <w:rsid w:val="46164604"/>
    <w:rsid w:val="462D194E"/>
    <w:rsid w:val="465515D1"/>
    <w:rsid w:val="466E61EE"/>
    <w:rsid w:val="46712183"/>
    <w:rsid w:val="46875AC8"/>
    <w:rsid w:val="46AB7443"/>
    <w:rsid w:val="471F398D"/>
    <w:rsid w:val="47262F6D"/>
    <w:rsid w:val="475F1FDB"/>
    <w:rsid w:val="47655843"/>
    <w:rsid w:val="478F6EF7"/>
    <w:rsid w:val="47B538B4"/>
    <w:rsid w:val="47B57E4D"/>
    <w:rsid w:val="47C14A44"/>
    <w:rsid w:val="480F755D"/>
    <w:rsid w:val="483250ED"/>
    <w:rsid w:val="484418FD"/>
    <w:rsid w:val="484B50AC"/>
    <w:rsid w:val="486017CE"/>
    <w:rsid w:val="48691363"/>
    <w:rsid w:val="487815A6"/>
    <w:rsid w:val="48AB372A"/>
    <w:rsid w:val="48BB1493"/>
    <w:rsid w:val="48C04CFB"/>
    <w:rsid w:val="48CC36A0"/>
    <w:rsid w:val="48D726AB"/>
    <w:rsid w:val="48E24C72"/>
    <w:rsid w:val="48EB1D78"/>
    <w:rsid w:val="48F7696F"/>
    <w:rsid w:val="490C1CEF"/>
    <w:rsid w:val="49291C5F"/>
    <w:rsid w:val="49333F6F"/>
    <w:rsid w:val="494B0A69"/>
    <w:rsid w:val="4957740E"/>
    <w:rsid w:val="49634005"/>
    <w:rsid w:val="49665D59"/>
    <w:rsid w:val="49831FB1"/>
    <w:rsid w:val="49951CE4"/>
    <w:rsid w:val="49BE2A0A"/>
    <w:rsid w:val="49C12AD9"/>
    <w:rsid w:val="49C820BA"/>
    <w:rsid w:val="49C83E68"/>
    <w:rsid w:val="49E113CD"/>
    <w:rsid w:val="49F20EE5"/>
    <w:rsid w:val="4A031344"/>
    <w:rsid w:val="4A0B1FA6"/>
    <w:rsid w:val="4A183615"/>
    <w:rsid w:val="4A3600DE"/>
    <w:rsid w:val="4A4F6337"/>
    <w:rsid w:val="4A5472C5"/>
    <w:rsid w:val="4A62250E"/>
    <w:rsid w:val="4A69389D"/>
    <w:rsid w:val="4A82495E"/>
    <w:rsid w:val="4A914BA1"/>
    <w:rsid w:val="4A965D14"/>
    <w:rsid w:val="4ABB27B9"/>
    <w:rsid w:val="4ABD16FD"/>
    <w:rsid w:val="4AC46D25"/>
    <w:rsid w:val="4AD54A8E"/>
    <w:rsid w:val="4AD93E52"/>
    <w:rsid w:val="4AF34F14"/>
    <w:rsid w:val="4B0E7FA0"/>
    <w:rsid w:val="4B2422D7"/>
    <w:rsid w:val="4B2772B4"/>
    <w:rsid w:val="4B3969F9"/>
    <w:rsid w:val="4B406720"/>
    <w:rsid w:val="4B6B0F4E"/>
    <w:rsid w:val="4BA95F1B"/>
    <w:rsid w:val="4BE17463"/>
    <w:rsid w:val="4C177328"/>
    <w:rsid w:val="4C4023DB"/>
    <w:rsid w:val="4C5440D8"/>
    <w:rsid w:val="4C5B7215"/>
    <w:rsid w:val="4C6836E0"/>
    <w:rsid w:val="4CE21B30"/>
    <w:rsid w:val="4CE23492"/>
    <w:rsid w:val="4D057181"/>
    <w:rsid w:val="4D0C050F"/>
    <w:rsid w:val="4D0C69C4"/>
    <w:rsid w:val="4D0F1DAD"/>
    <w:rsid w:val="4D143F9C"/>
    <w:rsid w:val="4D330192"/>
    <w:rsid w:val="4D445EFB"/>
    <w:rsid w:val="4D50664E"/>
    <w:rsid w:val="4D8B58D8"/>
    <w:rsid w:val="4DA62712"/>
    <w:rsid w:val="4DC4703C"/>
    <w:rsid w:val="4DCB2178"/>
    <w:rsid w:val="4E12250E"/>
    <w:rsid w:val="4E255D2C"/>
    <w:rsid w:val="4E5722CC"/>
    <w:rsid w:val="4E577EB0"/>
    <w:rsid w:val="4E6879C7"/>
    <w:rsid w:val="4E834801"/>
    <w:rsid w:val="4E9133C2"/>
    <w:rsid w:val="4E915170"/>
    <w:rsid w:val="4EB966C2"/>
    <w:rsid w:val="4ED11A10"/>
    <w:rsid w:val="4EDB63EB"/>
    <w:rsid w:val="4EDD2163"/>
    <w:rsid w:val="4EE03A01"/>
    <w:rsid w:val="4EE259CC"/>
    <w:rsid w:val="4EE95E85"/>
    <w:rsid w:val="4F073684"/>
    <w:rsid w:val="4F18763F"/>
    <w:rsid w:val="4F473A81"/>
    <w:rsid w:val="4F4E3061"/>
    <w:rsid w:val="4F6208BA"/>
    <w:rsid w:val="4F7D56F4"/>
    <w:rsid w:val="4F81259A"/>
    <w:rsid w:val="4FCE41A2"/>
    <w:rsid w:val="4FD00101"/>
    <w:rsid w:val="4FE614EB"/>
    <w:rsid w:val="4FE72524"/>
    <w:rsid w:val="4FE87012"/>
    <w:rsid w:val="4FF736F9"/>
    <w:rsid w:val="4FFA0AF3"/>
    <w:rsid w:val="500D5D85"/>
    <w:rsid w:val="5015592D"/>
    <w:rsid w:val="503E30D6"/>
    <w:rsid w:val="5052092F"/>
    <w:rsid w:val="505F4DFA"/>
    <w:rsid w:val="50666188"/>
    <w:rsid w:val="50697A27"/>
    <w:rsid w:val="5075461D"/>
    <w:rsid w:val="507B7E86"/>
    <w:rsid w:val="507C775A"/>
    <w:rsid w:val="50940F47"/>
    <w:rsid w:val="50964CC0"/>
    <w:rsid w:val="50A05B3E"/>
    <w:rsid w:val="50C80BF1"/>
    <w:rsid w:val="50D80DEF"/>
    <w:rsid w:val="50DD28EE"/>
    <w:rsid w:val="50E83041"/>
    <w:rsid w:val="51167BAE"/>
    <w:rsid w:val="513F7105"/>
    <w:rsid w:val="51491D32"/>
    <w:rsid w:val="516528E4"/>
    <w:rsid w:val="516A3A56"/>
    <w:rsid w:val="516E158F"/>
    <w:rsid w:val="518E3BE9"/>
    <w:rsid w:val="51AB99EE"/>
    <w:rsid w:val="51BC3A87"/>
    <w:rsid w:val="51E34121"/>
    <w:rsid w:val="51E63A25"/>
    <w:rsid w:val="520B348B"/>
    <w:rsid w:val="521265C8"/>
    <w:rsid w:val="52132340"/>
    <w:rsid w:val="522105B9"/>
    <w:rsid w:val="52326C6A"/>
    <w:rsid w:val="52491AC3"/>
    <w:rsid w:val="524D5852"/>
    <w:rsid w:val="52A64F62"/>
    <w:rsid w:val="52AD57D3"/>
    <w:rsid w:val="52DB2E5E"/>
    <w:rsid w:val="52E141EC"/>
    <w:rsid w:val="530323B4"/>
    <w:rsid w:val="53112EB3"/>
    <w:rsid w:val="53165C44"/>
    <w:rsid w:val="53191BD8"/>
    <w:rsid w:val="531B14AC"/>
    <w:rsid w:val="534F1156"/>
    <w:rsid w:val="535350EA"/>
    <w:rsid w:val="53784B50"/>
    <w:rsid w:val="53E144A4"/>
    <w:rsid w:val="5402266C"/>
    <w:rsid w:val="541A1764"/>
    <w:rsid w:val="548D462B"/>
    <w:rsid w:val="54A379AB"/>
    <w:rsid w:val="54AA6F8B"/>
    <w:rsid w:val="54B55930"/>
    <w:rsid w:val="54BE47E5"/>
    <w:rsid w:val="54E51D72"/>
    <w:rsid w:val="54F16968"/>
    <w:rsid w:val="54F71AA5"/>
    <w:rsid w:val="54F9581D"/>
    <w:rsid w:val="550F3292"/>
    <w:rsid w:val="55102B67"/>
    <w:rsid w:val="5517212A"/>
    <w:rsid w:val="551B5793"/>
    <w:rsid w:val="551C150B"/>
    <w:rsid w:val="5536081F"/>
    <w:rsid w:val="55436A98"/>
    <w:rsid w:val="554747DA"/>
    <w:rsid w:val="55642E8C"/>
    <w:rsid w:val="556E15B6"/>
    <w:rsid w:val="558F1CDD"/>
    <w:rsid w:val="55B33C1E"/>
    <w:rsid w:val="55C027DF"/>
    <w:rsid w:val="55C4407D"/>
    <w:rsid w:val="55CD0EBB"/>
    <w:rsid w:val="55EB160A"/>
    <w:rsid w:val="55EC5382"/>
    <w:rsid w:val="55FC102D"/>
    <w:rsid w:val="5604091D"/>
    <w:rsid w:val="560D23B9"/>
    <w:rsid w:val="562B5EAA"/>
    <w:rsid w:val="5637484F"/>
    <w:rsid w:val="56382375"/>
    <w:rsid w:val="56436613"/>
    <w:rsid w:val="56821842"/>
    <w:rsid w:val="569F51AC"/>
    <w:rsid w:val="56C65BD3"/>
    <w:rsid w:val="56D71B8E"/>
    <w:rsid w:val="56DC71A4"/>
    <w:rsid w:val="56FC15F5"/>
    <w:rsid w:val="572648C3"/>
    <w:rsid w:val="5728063B"/>
    <w:rsid w:val="574D00A2"/>
    <w:rsid w:val="57E035B9"/>
    <w:rsid w:val="57FA1FD8"/>
    <w:rsid w:val="582232DD"/>
    <w:rsid w:val="58304C11"/>
    <w:rsid w:val="586E02D0"/>
    <w:rsid w:val="587A6C75"/>
    <w:rsid w:val="587C13DB"/>
    <w:rsid w:val="587D49B7"/>
    <w:rsid w:val="5894683F"/>
    <w:rsid w:val="58AB32D2"/>
    <w:rsid w:val="58C16652"/>
    <w:rsid w:val="58D42829"/>
    <w:rsid w:val="58D8399B"/>
    <w:rsid w:val="58EB4BB9"/>
    <w:rsid w:val="58F06F37"/>
    <w:rsid w:val="58F5454D"/>
    <w:rsid w:val="59102873"/>
    <w:rsid w:val="59262959"/>
    <w:rsid w:val="595B5175"/>
    <w:rsid w:val="59B14918"/>
    <w:rsid w:val="59CA7788"/>
    <w:rsid w:val="59DD570D"/>
    <w:rsid w:val="59FDC7ED"/>
    <w:rsid w:val="5A225816"/>
    <w:rsid w:val="5A5654C0"/>
    <w:rsid w:val="5A6E5C7B"/>
    <w:rsid w:val="5A92474A"/>
    <w:rsid w:val="5A9A53AC"/>
    <w:rsid w:val="5AA63D51"/>
    <w:rsid w:val="5ABC17C7"/>
    <w:rsid w:val="5ABD72ED"/>
    <w:rsid w:val="5AC661A1"/>
    <w:rsid w:val="5AE061D8"/>
    <w:rsid w:val="5AED7BD2"/>
    <w:rsid w:val="5AFA5E4B"/>
    <w:rsid w:val="5B1A64ED"/>
    <w:rsid w:val="5B24736C"/>
    <w:rsid w:val="5B2D4026"/>
    <w:rsid w:val="5B307ABF"/>
    <w:rsid w:val="5B3A6B8F"/>
    <w:rsid w:val="5B445318"/>
    <w:rsid w:val="5B4B48F9"/>
    <w:rsid w:val="5B61236E"/>
    <w:rsid w:val="5B615ECA"/>
    <w:rsid w:val="5B8322E4"/>
    <w:rsid w:val="5B885B4D"/>
    <w:rsid w:val="5B975D90"/>
    <w:rsid w:val="5BB84217"/>
    <w:rsid w:val="5BBC4120"/>
    <w:rsid w:val="5BC00E43"/>
    <w:rsid w:val="5BD3501A"/>
    <w:rsid w:val="5BDE39BF"/>
    <w:rsid w:val="5BFB631F"/>
    <w:rsid w:val="5C1318BA"/>
    <w:rsid w:val="5C1473E0"/>
    <w:rsid w:val="5C182A2D"/>
    <w:rsid w:val="5C2238AB"/>
    <w:rsid w:val="5C237623"/>
    <w:rsid w:val="5C7D4F86"/>
    <w:rsid w:val="5C902F0B"/>
    <w:rsid w:val="5CA61FE4"/>
    <w:rsid w:val="5CB00EB7"/>
    <w:rsid w:val="5CD34BA6"/>
    <w:rsid w:val="5CDC7EFE"/>
    <w:rsid w:val="5D080CF3"/>
    <w:rsid w:val="5D107BA8"/>
    <w:rsid w:val="5D787B99"/>
    <w:rsid w:val="5D7E0FB5"/>
    <w:rsid w:val="5D7E7207"/>
    <w:rsid w:val="5D887D08"/>
    <w:rsid w:val="5DDB6408"/>
    <w:rsid w:val="5DE11544"/>
    <w:rsid w:val="5DFB43B4"/>
    <w:rsid w:val="5DFB598F"/>
    <w:rsid w:val="5E3C4AC5"/>
    <w:rsid w:val="5E413D91"/>
    <w:rsid w:val="5E473A9D"/>
    <w:rsid w:val="5E583CFE"/>
    <w:rsid w:val="5E6957C1"/>
    <w:rsid w:val="5E734892"/>
    <w:rsid w:val="5E7D301B"/>
    <w:rsid w:val="5E993BCD"/>
    <w:rsid w:val="5EC62C14"/>
    <w:rsid w:val="5ECE7D1A"/>
    <w:rsid w:val="5ED864A3"/>
    <w:rsid w:val="5EDA221B"/>
    <w:rsid w:val="5EF77271"/>
    <w:rsid w:val="5F0C439F"/>
    <w:rsid w:val="5F100333"/>
    <w:rsid w:val="5F2E2567"/>
    <w:rsid w:val="5F313E05"/>
    <w:rsid w:val="5F585836"/>
    <w:rsid w:val="5F7637F7"/>
    <w:rsid w:val="5F7B2BA2"/>
    <w:rsid w:val="5FA56CCD"/>
    <w:rsid w:val="5FBF7663"/>
    <w:rsid w:val="5FC3459E"/>
    <w:rsid w:val="5FC829BC"/>
    <w:rsid w:val="5FCE083C"/>
    <w:rsid w:val="5FD72BFF"/>
    <w:rsid w:val="5FE33352"/>
    <w:rsid w:val="6025396A"/>
    <w:rsid w:val="60525479"/>
    <w:rsid w:val="607246D5"/>
    <w:rsid w:val="60803296"/>
    <w:rsid w:val="608E137D"/>
    <w:rsid w:val="60BA67A8"/>
    <w:rsid w:val="60D40EEC"/>
    <w:rsid w:val="60D61108"/>
    <w:rsid w:val="60D94755"/>
    <w:rsid w:val="60F021CA"/>
    <w:rsid w:val="60F31CBA"/>
    <w:rsid w:val="60FD6695"/>
    <w:rsid w:val="61135EB8"/>
    <w:rsid w:val="611834CF"/>
    <w:rsid w:val="611D2893"/>
    <w:rsid w:val="6155202D"/>
    <w:rsid w:val="616131D1"/>
    <w:rsid w:val="617C580C"/>
    <w:rsid w:val="61840B64"/>
    <w:rsid w:val="61C6117D"/>
    <w:rsid w:val="61D92C5E"/>
    <w:rsid w:val="61E138C1"/>
    <w:rsid w:val="61E433B1"/>
    <w:rsid w:val="61ED495B"/>
    <w:rsid w:val="61FE0917"/>
    <w:rsid w:val="6200468F"/>
    <w:rsid w:val="62065A1D"/>
    <w:rsid w:val="622540F5"/>
    <w:rsid w:val="62255EA3"/>
    <w:rsid w:val="62600C89"/>
    <w:rsid w:val="6263077A"/>
    <w:rsid w:val="62B66AFB"/>
    <w:rsid w:val="62BE3C02"/>
    <w:rsid w:val="62CC4571"/>
    <w:rsid w:val="62E01DCA"/>
    <w:rsid w:val="62EC123C"/>
    <w:rsid w:val="62F45876"/>
    <w:rsid w:val="62F87114"/>
    <w:rsid w:val="630F26B0"/>
    <w:rsid w:val="63275C4B"/>
    <w:rsid w:val="632E6FDA"/>
    <w:rsid w:val="63442359"/>
    <w:rsid w:val="637A3FCD"/>
    <w:rsid w:val="63A23524"/>
    <w:rsid w:val="63C90AB0"/>
    <w:rsid w:val="63D23E09"/>
    <w:rsid w:val="63D538F9"/>
    <w:rsid w:val="63E1404C"/>
    <w:rsid w:val="63ED0C43"/>
    <w:rsid w:val="64095351"/>
    <w:rsid w:val="64287EE0"/>
    <w:rsid w:val="642A77A1"/>
    <w:rsid w:val="642D7291"/>
    <w:rsid w:val="64414AEB"/>
    <w:rsid w:val="644545DB"/>
    <w:rsid w:val="64540CC2"/>
    <w:rsid w:val="64A05CB5"/>
    <w:rsid w:val="64CE2822"/>
    <w:rsid w:val="64D37E39"/>
    <w:rsid w:val="64D4770D"/>
    <w:rsid w:val="64E57B6C"/>
    <w:rsid w:val="64E831B8"/>
    <w:rsid w:val="64EE1C5B"/>
    <w:rsid w:val="64F909E0"/>
    <w:rsid w:val="64FF0C2E"/>
    <w:rsid w:val="6502071E"/>
    <w:rsid w:val="65197815"/>
    <w:rsid w:val="65206DF6"/>
    <w:rsid w:val="652E32C1"/>
    <w:rsid w:val="653603C7"/>
    <w:rsid w:val="653B59DE"/>
    <w:rsid w:val="6554084E"/>
    <w:rsid w:val="65605444"/>
    <w:rsid w:val="65735178"/>
    <w:rsid w:val="65757142"/>
    <w:rsid w:val="65783306"/>
    <w:rsid w:val="657D7565"/>
    <w:rsid w:val="65801643"/>
    <w:rsid w:val="65921AA2"/>
    <w:rsid w:val="65995A23"/>
    <w:rsid w:val="65C32A4A"/>
    <w:rsid w:val="65CE23AE"/>
    <w:rsid w:val="65D87504"/>
    <w:rsid w:val="65F242EE"/>
    <w:rsid w:val="65F30067"/>
    <w:rsid w:val="660A7C60"/>
    <w:rsid w:val="661F0E5C"/>
    <w:rsid w:val="6635067F"/>
    <w:rsid w:val="664A237C"/>
    <w:rsid w:val="66613222"/>
    <w:rsid w:val="66652D12"/>
    <w:rsid w:val="666B5E4F"/>
    <w:rsid w:val="667473F9"/>
    <w:rsid w:val="66D103A8"/>
    <w:rsid w:val="66D32372"/>
    <w:rsid w:val="66D954AE"/>
    <w:rsid w:val="66E14363"/>
    <w:rsid w:val="66E53E53"/>
    <w:rsid w:val="66E56E75"/>
    <w:rsid w:val="670562A3"/>
    <w:rsid w:val="67201D84"/>
    <w:rsid w:val="67236729"/>
    <w:rsid w:val="673152EA"/>
    <w:rsid w:val="67332E10"/>
    <w:rsid w:val="676905E0"/>
    <w:rsid w:val="676F50D8"/>
    <w:rsid w:val="677D408C"/>
    <w:rsid w:val="6796514D"/>
    <w:rsid w:val="679F04A6"/>
    <w:rsid w:val="67B04461"/>
    <w:rsid w:val="67E91721"/>
    <w:rsid w:val="67F84949"/>
    <w:rsid w:val="6817003C"/>
    <w:rsid w:val="68172E69"/>
    <w:rsid w:val="683C5113"/>
    <w:rsid w:val="6852376A"/>
    <w:rsid w:val="68534DEC"/>
    <w:rsid w:val="686D23BF"/>
    <w:rsid w:val="68774F7F"/>
    <w:rsid w:val="688D47A2"/>
    <w:rsid w:val="68993147"/>
    <w:rsid w:val="689A2A1B"/>
    <w:rsid w:val="68B27D65"/>
    <w:rsid w:val="68D67EF7"/>
    <w:rsid w:val="68F15ADF"/>
    <w:rsid w:val="69083E29"/>
    <w:rsid w:val="69232A11"/>
    <w:rsid w:val="694A2693"/>
    <w:rsid w:val="695B03FD"/>
    <w:rsid w:val="69931944"/>
    <w:rsid w:val="69A753F0"/>
    <w:rsid w:val="69F10D61"/>
    <w:rsid w:val="69F525FF"/>
    <w:rsid w:val="6A132A85"/>
    <w:rsid w:val="6A174619"/>
    <w:rsid w:val="6A2021EE"/>
    <w:rsid w:val="6A537326"/>
    <w:rsid w:val="6A66349E"/>
    <w:rsid w:val="6A6D6639"/>
    <w:rsid w:val="6A95793E"/>
    <w:rsid w:val="6AA06A0F"/>
    <w:rsid w:val="6ABD7B87"/>
    <w:rsid w:val="6AD466B8"/>
    <w:rsid w:val="6B014FD4"/>
    <w:rsid w:val="6B15453C"/>
    <w:rsid w:val="6B1C1E0E"/>
    <w:rsid w:val="6B48020E"/>
    <w:rsid w:val="6B4B624F"/>
    <w:rsid w:val="6B625A72"/>
    <w:rsid w:val="6B65640B"/>
    <w:rsid w:val="6B6F63E1"/>
    <w:rsid w:val="6B817D5D"/>
    <w:rsid w:val="6BAC3191"/>
    <w:rsid w:val="6BBF210D"/>
    <w:rsid w:val="6BC56001"/>
    <w:rsid w:val="6C0134DD"/>
    <w:rsid w:val="6C05153C"/>
    <w:rsid w:val="6C1442C8"/>
    <w:rsid w:val="6C1825D5"/>
    <w:rsid w:val="6C262F44"/>
    <w:rsid w:val="6C2B2308"/>
    <w:rsid w:val="6C354F35"/>
    <w:rsid w:val="6C3D64DF"/>
    <w:rsid w:val="6C3F7B62"/>
    <w:rsid w:val="6C56221D"/>
    <w:rsid w:val="6C5D3FF5"/>
    <w:rsid w:val="6C7D068A"/>
    <w:rsid w:val="6C8E0AE9"/>
    <w:rsid w:val="6C953C26"/>
    <w:rsid w:val="6CA95923"/>
    <w:rsid w:val="6CBC5656"/>
    <w:rsid w:val="6CE626D3"/>
    <w:rsid w:val="6D1B05CF"/>
    <w:rsid w:val="6D341690"/>
    <w:rsid w:val="6D417909"/>
    <w:rsid w:val="6D4B0788"/>
    <w:rsid w:val="6D602485"/>
    <w:rsid w:val="6D6F4477"/>
    <w:rsid w:val="6D725D15"/>
    <w:rsid w:val="6DA560EA"/>
    <w:rsid w:val="6DA57E98"/>
    <w:rsid w:val="6DB620A5"/>
    <w:rsid w:val="6DCC7B1B"/>
    <w:rsid w:val="6DD53539"/>
    <w:rsid w:val="6DE36C13"/>
    <w:rsid w:val="6DEB5A92"/>
    <w:rsid w:val="6E056B89"/>
    <w:rsid w:val="6E072901"/>
    <w:rsid w:val="6E245261"/>
    <w:rsid w:val="6E51728C"/>
    <w:rsid w:val="6E533D98"/>
    <w:rsid w:val="6E7A040C"/>
    <w:rsid w:val="6E7A30D3"/>
    <w:rsid w:val="6E9C129B"/>
    <w:rsid w:val="6EC07060"/>
    <w:rsid w:val="6EDC3D8E"/>
    <w:rsid w:val="6EDF562C"/>
    <w:rsid w:val="6EF015E7"/>
    <w:rsid w:val="6F0D2199"/>
    <w:rsid w:val="6F1E618F"/>
    <w:rsid w:val="6F1F1ECC"/>
    <w:rsid w:val="6F392F8E"/>
    <w:rsid w:val="6F3D018E"/>
    <w:rsid w:val="6F4D07E7"/>
    <w:rsid w:val="6F637D44"/>
    <w:rsid w:val="6F6C3363"/>
    <w:rsid w:val="6F7264A0"/>
    <w:rsid w:val="6F905582"/>
    <w:rsid w:val="6F975F07"/>
    <w:rsid w:val="6FCC3E02"/>
    <w:rsid w:val="6FCF56A0"/>
    <w:rsid w:val="6FF46EB5"/>
    <w:rsid w:val="6FFD045F"/>
    <w:rsid w:val="703674CE"/>
    <w:rsid w:val="70495453"/>
    <w:rsid w:val="707149AA"/>
    <w:rsid w:val="70827584"/>
    <w:rsid w:val="709B37D5"/>
    <w:rsid w:val="709F45E1"/>
    <w:rsid w:val="70B7060E"/>
    <w:rsid w:val="70C04FE9"/>
    <w:rsid w:val="70CD1B9F"/>
    <w:rsid w:val="70DE149D"/>
    <w:rsid w:val="70EB02B8"/>
    <w:rsid w:val="70F058CE"/>
    <w:rsid w:val="7104581E"/>
    <w:rsid w:val="71233EF6"/>
    <w:rsid w:val="712706EE"/>
    <w:rsid w:val="7128150C"/>
    <w:rsid w:val="71327C95"/>
    <w:rsid w:val="71597917"/>
    <w:rsid w:val="715C11B6"/>
    <w:rsid w:val="715C6E4A"/>
    <w:rsid w:val="717B788E"/>
    <w:rsid w:val="718F50E7"/>
    <w:rsid w:val="71AD37BF"/>
    <w:rsid w:val="71D13952"/>
    <w:rsid w:val="71D451F0"/>
    <w:rsid w:val="71DC5E53"/>
    <w:rsid w:val="71EF202A"/>
    <w:rsid w:val="71F92EA9"/>
    <w:rsid w:val="720535FB"/>
    <w:rsid w:val="72247F25"/>
    <w:rsid w:val="725325B9"/>
    <w:rsid w:val="72565E22"/>
    <w:rsid w:val="726227FC"/>
    <w:rsid w:val="72684737"/>
    <w:rsid w:val="726F4F19"/>
    <w:rsid w:val="72A03324"/>
    <w:rsid w:val="72A51424"/>
    <w:rsid w:val="72A9667D"/>
    <w:rsid w:val="72AB41A3"/>
    <w:rsid w:val="72B017B9"/>
    <w:rsid w:val="72C2329A"/>
    <w:rsid w:val="72D51220"/>
    <w:rsid w:val="72D60AF4"/>
    <w:rsid w:val="72D74F98"/>
    <w:rsid w:val="72DD1E82"/>
    <w:rsid w:val="72DF209E"/>
    <w:rsid w:val="72F13B80"/>
    <w:rsid w:val="732775A1"/>
    <w:rsid w:val="73520AC2"/>
    <w:rsid w:val="736D3206"/>
    <w:rsid w:val="736D76AA"/>
    <w:rsid w:val="738E13CF"/>
    <w:rsid w:val="73905147"/>
    <w:rsid w:val="73C82B32"/>
    <w:rsid w:val="73D74B24"/>
    <w:rsid w:val="73DC65DE"/>
    <w:rsid w:val="73F43927"/>
    <w:rsid w:val="73FE0302"/>
    <w:rsid w:val="73FE47A6"/>
    <w:rsid w:val="741915E0"/>
    <w:rsid w:val="742C1313"/>
    <w:rsid w:val="74327C85"/>
    <w:rsid w:val="74597C2E"/>
    <w:rsid w:val="74604B19"/>
    <w:rsid w:val="74620891"/>
    <w:rsid w:val="7467234B"/>
    <w:rsid w:val="7487479C"/>
    <w:rsid w:val="749649DF"/>
    <w:rsid w:val="74A52E74"/>
    <w:rsid w:val="74C94DB4"/>
    <w:rsid w:val="74EB6AD9"/>
    <w:rsid w:val="74EC7A89"/>
    <w:rsid w:val="753C5586"/>
    <w:rsid w:val="753E02ED"/>
    <w:rsid w:val="75412B9C"/>
    <w:rsid w:val="754206C3"/>
    <w:rsid w:val="755C40D5"/>
    <w:rsid w:val="756D1BE3"/>
    <w:rsid w:val="759527DF"/>
    <w:rsid w:val="75AD0232"/>
    <w:rsid w:val="75CD4430"/>
    <w:rsid w:val="75DC4673"/>
    <w:rsid w:val="75E4177A"/>
    <w:rsid w:val="75ED4AD2"/>
    <w:rsid w:val="760140DA"/>
    <w:rsid w:val="76393874"/>
    <w:rsid w:val="76426BCC"/>
    <w:rsid w:val="76764AC8"/>
    <w:rsid w:val="76A076F1"/>
    <w:rsid w:val="76BF646F"/>
    <w:rsid w:val="76EC2FDC"/>
    <w:rsid w:val="770F2826"/>
    <w:rsid w:val="775672CA"/>
    <w:rsid w:val="775F37AE"/>
    <w:rsid w:val="777F7885"/>
    <w:rsid w:val="777FB444"/>
    <w:rsid w:val="779C230C"/>
    <w:rsid w:val="77B64FF7"/>
    <w:rsid w:val="77C655DB"/>
    <w:rsid w:val="77F2028A"/>
    <w:rsid w:val="78683D59"/>
    <w:rsid w:val="78782D79"/>
    <w:rsid w:val="78866B18"/>
    <w:rsid w:val="78BB0EB8"/>
    <w:rsid w:val="78C064CE"/>
    <w:rsid w:val="78C338C8"/>
    <w:rsid w:val="78D87374"/>
    <w:rsid w:val="78E90B42"/>
    <w:rsid w:val="78F63C9E"/>
    <w:rsid w:val="79110AD8"/>
    <w:rsid w:val="791D122B"/>
    <w:rsid w:val="79246A5D"/>
    <w:rsid w:val="794C6296"/>
    <w:rsid w:val="79674B9C"/>
    <w:rsid w:val="799314ED"/>
    <w:rsid w:val="79AE6327"/>
    <w:rsid w:val="79B3393D"/>
    <w:rsid w:val="79C23DD0"/>
    <w:rsid w:val="79C478F8"/>
    <w:rsid w:val="79CE4C1B"/>
    <w:rsid w:val="79D42231"/>
    <w:rsid w:val="79E955B1"/>
    <w:rsid w:val="79EF9387"/>
    <w:rsid w:val="79F015DC"/>
    <w:rsid w:val="7A122D59"/>
    <w:rsid w:val="7A195E96"/>
    <w:rsid w:val="7A291E51"/>
    <w:rsid w:val="7A41719B"/>
    <w:rsid w:val="7A421633"/>
    <w:rsid w:val="7A4A24F3"/>
    <w:rsid w:val="7A4F18B8"/>
    <w:rsid w:val="7A540C7C"/>
    <w:rsid w:val="7A796935"/>
    <w:rsid w:val="7AA339B1"/>
    <w:rsid w:val="7ACF29F8"/>
    <w:rsid w:val="7AD93877"/>
    <w:rsid w:val="7AF4420D"/>
    <w:rsid w:val="7B0568FD"/>
    <w:rsid w:val="7B0F1047"/>
    <w:rsid w:val="7B25086A"/>
    <w:rsid w:val="7B2A290D"/>
    <w:rsid w:val="7B542EFE"/>
    <w:rsid w:val="7B5B428C"/>
    <w:rsid w:val="7B767318"/>
    <w:rsid w:val="7B922DFD"/>
    <w:rsid w:val="7B9A1258"/>
    <w:rsid w:val="7BBA5457"/>
    <w:rsid w:val="7BBB4173"/>
    <w:rsid w:val="7BC462D5"/>
    <w:rsid w:val="7BDF0A19"/>
    <w:rsid w:val="7C09018C"/>
    <w:rsid w:val="7C0B3F04"/>
    <w:rsid w:val="7C120DEF"/>
    <w:rsid w:val="7C1C1C6D"/>
    <w:rsid w:val="7C3C40BE"/>
    <w:rsid w:val="7C532359"/>
    <w:rsid w:val="7C556F2D"/>
    <w:rsid w:val="7C5F7DAC"/>
    <w:rsid w:val="7C662EE9"/>
    <w:rsid w:val="7C827AEC"/>
    <w:rsid w:val="7C8518AA"/>
    <w:rsid w:val="7C9F63FA"/>
    <w:rsid w:val="7CB24380"/>
    <w:rsid w:val="7CC06A9D"/>
    <w:rsid w:val="7CC31340"/>
    <w:rsid w:val="7CDC13FD"/>
    <w:rsid w:val="7CE107C1"/>
    <w:rsid w:val="7CE24C65"/>
    <w:rsid w:val="7CF84488"/>
    <w:rsid w:val="7CFE75C5"/>
    <w:rsid w:val="7D036989"/>
    <w:rsid w:val="7D162B61"/>
    <w:rsid w:val="7D1D5C9D"/>
    <w:rsid w:val="7D311748"/>
    <w:rsid w:val="7D360B0D"/>
    <w:rsid w:val="7D376633"/>
    <w:rsid w:val="7D734D87"/>
    <w:rsid w:val="7D831878"/>
    <w:rsid w:val="7D9F66B2"/>
    <w:rsid w:val="7DA939D5"/>
    <w:rsid w:val="7DC425BD"/>
    <w:rsid w:val="7DF52776"/>
    <w:rsid w:val="7E0C7AC0"/>
    <w:rsid w:val="7E152852"/>
    <w:rsid w:val="7E2D0162"/>
    <w:rsid w:val="7E5E656D"/>
    <w:rsid w:val="7E61605D"/>
    <w:rsid w:val="7E7933A7"/>
    <w:rsid w:val="7E8104AE"/>
    <w:rsid w:val="7E851D4C"/>
    <w:rsid w:val="7E8A564E"/>
    <w:rsid w:val="7E9F0934"/>
    <w:rsid w:val="7EA47CF8"/>
    <w:rsid w:val="7EB10D93"/>
    <w:rsid w:val="7EEB5927"/>
    <w:rsid w:val="7F1B7FBA"/>
    <w:rsid w:val="7F4734A5"/>
    <w:rsid w:val="7F6A0F42"/>
    <w:rsid w:val="7F6B4E3B"/>
    <w:rsid w:val="7F7D0C75"/>
    <w:rsid w:val="7F857B2A"/>
    <w:rsid w:val="7FAA57E2"/>
    <w:rsid w:val="7FC01A46"/>
    <w:rsid w:val="7FC5261C"/>
    <w:rsid w:val="7FC76394"/>
    <w:rsid w:val="7FE37BEC"/>
    <w:rsid w:val="BFBBEE99"/>
    <w:rsid w:val="C5A5873E"/>
    <w:rsid w:val="D6CFE39F"/>
    <w:rsid w:val="D7738468"/>
    <w:rsid w:val="DF23E05B"/>
    <w:rsid w:val="DF7FD53A"/>
    <w:rsid w:val="E77F6140"/>
    <w:rsid w:val="FF6B0BF8"/>
    <w:rsid w:val="FF7C978F"/>
    <w:rsid w:val="FFE78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等线" w:hAnsi="等线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480" w:lineRule="exact"/>
      <w:ind w:firstLine="200" w:firstLineChars="200"/>
    </w:pPr>
    <w:rPr>
      <w:rFonts w:eastAsia="仿宋_GB2312"/>
      <w:smallCaps/>
      <w:sz w:val="30"/>
      <w:szCs w:val="16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Plain Text"/>
    <w:basedOn w:val="1"/>
    <w:next w:val="1"/>
    <w:qFormat/>
    <w:uiPriority w:val="0"/>
    <w:rPr>
      <w:rFonts w:ascii="宋体" w:hAnsi="Times New Roman" w:eastAsia="宋体" w:cs="Times New Roman"/>
      <w:color w:val="00000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styleId="19">
    <w:name w:val="footnote reference"/>
    <w:basedOn w:val="16"/>
    <w:qFormat/>
    <w:uiPriority w:val="0"/>
    <w:rPr>
      <w:vertAlign w:val="superscript"/>
    </w:rPr>
  </w:style>
  <w:style w:type="paragraph" w:customStyle="1" w:styleId="20">
    <w:name w:val="_Style 1"/>
    <w:qFormat/>
    <w:uiPriority w:val="1"/>
    <w:pPr>
      <w:adjustRightInd w:val="0"/>
      <w:snapToGrid w:val="0"/>
      <w:ind w:firstLine="200" w:firstLineChars="200"/>
    </w:pPr>
    <w:rPr>
      <w:rFonts w:ascii="宋体" w:hAnsi="宋体" w:eastAsia="仿宋_GB2312" w:cs="Times New Roman"/>
      <w:sz w:val="32"/>
      <w:szCs w:val="21"/>
      <w:lang w:val="en-US" w:eastAsia="zh-CN" w:bidi="ar-SA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NormalCharacter"/>
    <w:link w:val="23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UserStyle_16"/>
    <w:link w:val="22"/>
    <w:qFormat/>
    <w:uiPriority w:val="0"/>
    <w:pPr>
      <w:widowControl w:val="0"/>
      <w:spacing w:line="360" w:lineRule="auto"/>
      <w:ind w:firstLine="20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font11"/>
    <w:basedOn w:val="1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1223</Words>
  <Characters>1254</Characters>
  <Lines>0</Lines>
  <Paragraphs>0</Paragraphs>
  <TotalTime>173</TotalTime>
  <ScaleCrop>false</ScaleCrop>
  <LinksUpToDate>false</LinksUpToDate>
  <CharactersWithSpaces>1394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2025-01-10T14:00:00Z</dcterms:created>
  <dc:creator>abab</dc:creator>
  <cp:lastModifiedBy>UOS</cp:lastModifiedBy>
  <cp:lastPrinted>2026-07-27T17:20:00Z</cp:lastPrinted>
  <dcterms:modified xsi:type="dcterms:W3CDTF">2026-07-27T14:35:48Z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27E000CA390148759C8C1DF2A439503C_13</vt:lpwstr>
  </property>
  <property fmtid="{D5CDD505-2E9C-101B-9397-08002B2CF9AE}" pid="4" name="KSOTemplateDocerSaveRecord">
    <vt:lpwstr>eyJoZGlkIjoiYjk3MjgxMDk3NmRlMGI2OTY1YzZiY2I4NWY5ZDg2MTkiLCJ1c2VySWQiOiI0NjM0NzAwNjgifQ==</vt:lpwstr>
  </property>
</Properties>
</file>