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60958C">
      <w:pPr>
        <w:spacing w:after="0" w:line="560" w:lineRule="exact"/>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lang w:val="en-US" w:eastAsia="zh-CN"/>
        </w:rPr>
        <w:t>北京市石景山区“十五五”一般专项规划</w:t>
      </w:r>
    </w:p>
    <w:p w14:paraId="178A2197">
      <w:pPr>
        <w:spacing w:after="0" w:line="640" w:lineRule="exact"/>
        <w:jc w:val="center"/>
        <w:textAlignment w:val="center"/>
        <w:rPr>
          <w:rFonts w:ascii="Times New Roman" w:hAnsi="Times New Roman" w:eastAsia="方正小标宋简体" w:cs="Times New Roman"/>
          <w:b/>
          <w:bCs/>
          <w:sz w:val="44"/>
          <w:szCs w:val="36"/>
        </w:rPr>
      </w:pPr>
    </w:p>
    <w:p w14:paraId="696FEE56">
      <w:pPr>
        <w:spacing w:after="0" w:line="640" w:lineRule="exact"/>
        <w:jc w:val="center"/>
        <w:textAlignment w:val="center"/>
        <w:rPr>
          <w:rFonts w:ascii="Times New Roman" w:hAnsi="Times New Roman" w:eastAsia="方正小标宋简体" w:cs="Times New Roman"/>
          <w:b/>
          <w:bCs/>
          <w:sz w:val="44"/>
          <w:szCs w:val="36"/>
        </w:rPr>
      </w:pPr>
    </w:p>
    <w:p w14:paraId="52CE878D">
      <w:pPr>
        <w:spacing w:after="0" w:line="640" w:lineRule="exact"/>
        <w:jc w:val="center"/>
        <w:textAlignment w:val="center"/>
        <w:rPr>
          <w:rFonts w:ascii="Times New Roman" w:hAnsi="Times New Roman" w:eastAsia="方正小标宋简体" w:cs="Times New Roman"/>
          <w:b/>
          <w:bCs/>
          <w:sz w:val="44"/>
          <w:szCs w:val="36"/>
        </w:rPr>
      </w:pPr>
    </w:p>
    <w:p w14:paraId="5588CD64">
      <w:pPr>
        <w:spacing w:after="0" w:line="640" w:lineRule="exact"/>
        <w:jc w:val="center"/>
        <w:textAlignment w:val="center"/>
        <w:rPr>
          <w:rFonts w:hint="eastAsia" w:ascii="Times New Roman" w:hAnsi="Times New Roman" w:eastAsia="方正小标宋简体" w:cs="Times New Roman"/>
          <w:sz w:val="52"/>
          <w:szCs w:val="52"/>
        </w:rPr>
      </w:pPr>
      <w:r>
        <w:rPr>
          <w:rFonts w:hint="eastAsia" w:ascii="Times New Roman" w:hAnsi="Times New Roman" w:eastAsia="方正小标宋简体" w:cs="Times New Roman"/>
          <w:sz w:val="52"/>
          <w:szCs w:val="52"/>
        </w:rPr>
        <w:t>石景山区“十五五”时期现代金融</w:t>
      </w:r>
    </w:p>
    <w:p w14:paraId="28D34C02">
      <w:pPr>
        <w:spacing w:after="0" w:line="640" w:lineRule="exact"/>
        <w:jc w:val="center"/>
        <w:textAlignment w:val="center"/>
        <w:rPr>
          <w:rFonts w:ascii="Times New Roman" w:hAnsi="Times New Roman" w:eastAsia="方正小标宋简体" w:cs="Times New Roman"/>
          <w:sz w:val="52"/>
          <w:szCs w:val="52"/>
        </w:rPr>
      </w:pPr>
      <w:r>
        <w:rPr>
          <w:rFonts w:hint="eastAsia" w:ascii="Times New Roman" w:hAnsi="Times New Roman" w:eastAsia="方正小标宋简体" w:cs="Times New Roman"/>
          <w:sz w:val="52"/>
          <w:szCs w:val="52"/>
        </w:rPr>
        <w:t>产业发展规划</w:t>
      </w:r>
    </w:p>
    <w:p w14:paraId="3F03F09D">
      <w:pPr>
        <w:spacing w:after="0" w:line="640" w:lineRule="exact"/>
        <w:jc w:val="center"/>
        <w:textAlignment w:val="center"/>
        <w:rPr>
          <w:rFonts w:ascii="Times New Roman" w:hAnsi="Times New Roman" w:eastAsia="方正小标宋简体" w:cs="Times New Roman"/>
          <w:sz w:val="44"/>
          <w:szCs w:val="36"/>
        </w:rPr>
      </w:pPr>
    </w:p>
    <w:p w14:paraId="0C3D9CA0">
      <w:pPr>
        <w:keepNext w:val="0"/>
        <w:keepLines w:val="0"/>
        <w:pageBreakBefore w:val="0"/>
        <w:widowControl w:val="0"/>
        <w:tabs>
          <w:tab w:val="left" w:pos="142"/>
        </w:tabs>
        <w:kinsoku/>
        <w:wordWrap/>
        <w:overflowPunct/>
        <w:topLinePunct w:val="0"/>
        <w:autoSpaceDE/>
        <w:autoSpaceDN/>
        <w:bidi w:val="0"/>
        <w:adjustRightInd w:val="0"/>
        <w:snapToGrid w:val="0"/>
        <w:spacing w:after="160" w:line="560" w:lineRule="exact"/>
        <w:ind w:left="0" w:leftChars="0" w:right="0" w:rightChars="0"/>
        <w:jc w:val="center"/>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（征求意见稿）</w:t>
      </w:r>
    </w:p>
    <w:p w14:paraId="08CEB773">
      <w:pPr>
        <w:spacing w:after="0" w:line="640" w:lineRule="exact"/>
        <w:jc w:val="center"/>
        <w:textAlignment w:val="center"/>
        <w:rPr>
          <w:rFonts w:ascii="Times New Roman" w:hAnsi="Times New Roman" w:eastAsia="方正小标宋简体" w:cs="Times New Roman"/>
          <w:b/>
          <w:bCs/>
          <w:sz w:val="44"/>
          <w:szCs w:val="36"/>
        </w:rPr>
      </w:pPr>
    </w:p>
    <w:p w14:paraId="1F6DFEF4">
      <w:pPr>
        <w:spacing w:after="0" w:line="640" w:lineRule="exact"/>
        <w:jc w:val="center"/>
        <w:textAlignment w:val="center"/>
        <w:rPr>
          <w:rFonts w:ascii="Times New Roman" w:hAnsi="Times New Roman" w:eastAsia="方正小标宋简体" w:cs="Times New Roman"/>
          <w:b/>
          <w:bCs/>
          <w:sz w:val="44"/>
          <w:szCs w:val="36"/>
        </w:rPr>
      </w:pPr>
    </w:p>
    <w:p w14:paraId="3C9A4C77">
      <w:pPr>
        <w:spacing w:after="0" w:line="640" w:lineRule="exact"/>
        <w:jc w:val="center"/>
        <w:textAlignment w:val="center"/>
        <w:rPr>
          <w:rFonts w:ascii="Times New Roman" w:hAnsi="Times New Roman" w:eastAsia="方正小标宋简体" w:cs="Times New Roman"/>
          <w:b/>
          <w:bCs/>
          <w:sz w:val="44"/>
          <w:szCs w:val="36"/>
        </w:rPr>
      </w:pPr>
    </w:p>
    <w:p w14:paraId="07E93779">
      <w:pPr>
        <w:spacing w:after="0" w:line="640" w:lineRule="exact"/>
        <w:jc w:val="center"/>
        <w:textAlignment w:val="center"/>
        <w:rPr>
          <w:rFonts w:ascii="Times New Roman" w:hAnsi="Times New Roman" w:eastAsia="方正小标宋简体" w:cs="Times New Roman"/>
          <w:b/>
          <w:bCs/>
          <w:sz w:val="44"/>
          <w:szCs w:val="36"/>
        </w:rPr>
      </w:pPr>
    </w:p>
    <w:p w14:paraId="0B7C371B">
      <w:pPr>
        <w:spacing w:after="0" w:line="640" w:lineRule="exact"/>
        <w:jc w:val="center"/>
        <w:textAlignment w:val="center"/>
        <w:rPr>
          <w:rFonts w:ascii="Times New Roman" w:hAnsi="Times New Roman" w:eastAsia="方正小标宋简体" w:cs="Times New Roman"/>
          <w:b/>
          <w:bCs/>
          <w:sz w:val="44"/>
          <w:szCs w:val="36"/>
        </w:rPr>
      </w:pPr>
    </w:p>
    <w:p w14:paraId="21EF3153">
      <w:pPr>
        <w:spacing w:after="0" w:line="640" w:lineRule="exact"/>
        <w:jc w:val="center"/>
        <w:textAlignment w:val="center"/>
        <w:rPr>
          <w:rFonts w:ascii="Times New Roman" w:hAnsi="Times New Roman" w:eastAsia="方正小标宋简体" w:cs="Times New Roman"/>
          <w:b/>
          <w:bCs/>
          <w:sz w:val="44"/>
          <w:szCs w:val="36"/>
        </w:rPr>
      </w:pPr>
    </w:p>
    <w:p w14:paraId="4F41DF5F">
      <w:pPr>
        <w:spacing w:after="0" w:line="640" w:lineRule="exact"/>
        <w:jc w:val="center"/>
        <w:textAlignment w:val="center"/>
        <w:rPr>
          <w:rFonts w:ascii="Times New Roman" w:hAnsi="Times New Roman" w:eastAsia="方正小标宋简体" w:cs="Times New Roman"/>
          <w:b/>
          <w:bCs/>
          <w:sz w:val="44"/>
          <w:szCs w:val="36"/>
        </w:rPr>
      </w:pPr>
    </w:p>
    <w:p w14:paraId="5DA6106E">
      <w:pPr>
        <w:spacing w:after="0" w:line="640" w:lineRule="exact"/>
        <w:jc w:val="center"/>
        <w:textAlignment w:val="center"/>
        <w:rPr>
          <w:rFonts w:ascii="Times New Roman" w:hAnsi="Times New Roman" w:eastAsia="方正小标宋简体" w:cs="Times New Roman"/>
          <w:b/>
          <w:bCs/>
          <w:sz w:val="44"/>
          <w:szCs w:val="36"/>
        </w:rPr>
      </w:pPr>
    </w:p>
    <w:p w14:paraId="4B4BD1E5">
      <w:pPr>
        <w:spacing w:after="0" w:line="640" w:lineRule="exact"/>
        <w:jc w:val="center"/>
        <w:textAlignment w:val="center"/>
        <w:rPr>
          <w:rFonts w:ascii="Times New Roman" w:hAnsi="Times New Roman" w:eastAsia="方正小标宋简体" w:cs="Times New Roman"/>
          <w:b/>
          <w:bCs/>
          <w:sz w:val="44"/>
          <w:szCs w:val="36"/>
        </w:rPr>
      </w:pPr>
    </w:p>
    <w:p w14:paraId="2B08A48B">
      <w:pPr>
        <w:spacing w:after="0" w:line="640" w:lineRule="exact"/>
        <w:jc w:val="center"/>
        <w:textAlignment w:val="center"/>
        <w:rPr>
          <w:rFonts w:ascii="Times New Roman" w:hAnsi="Times New Roman" w:eastAsia="方正小标宋简体" w:cs="Times New Roman"/>
          <w:b/>
          <w:bCs/>
          <w:sz w:val="44"/>
          <w:szCs w:val="36"/>
        </w:rPr>
      </w:pPr>
    </w:p>
    <w:p w14:paraId="637EBD00">
      <w:pPr>
        <w:spacing w:after="0" w:line="640" w:lineRule="exact"/>
        <w:jc w:val="center"/>
        <w:textAlignment w:val="center"/>
        <w:rPr>
          <w:rFonts w:hint="default" w:ascii="Times New Roman" w:hAnsi="Times New Roman" w:eastAsia="黑体" w:cs="Times New Roman"/>
          <w:sz w:val="32"/>
          <w:szCs w:val="32"/>
        </w:rPr>
      </w:pPr>
      <w:r>
        <w:rPr>
          <w:rFonts w:hint="eastAsia" w:ascii="Times New Roman" w:hAnsi="Times New Roman" w:eastAsia="黑体" w:cs="Times New Roman"/>
          <w:b w:val="0"/>
          <w:bCs w:val="0"/>
          <w:sz w:val="32"/>
          <w:szCs w:val="32"/>
          <w:lang w:val="en-US" w:eastAsia="zh-CN"/>
        </w:rPr>
        <w:t>北京市</w:t>
      </w:r>
      <w:r>
        <w:rPr>
          <w:rFonts w:hint="default" w:ascii="Times New Roman" w:hAnsi="Times New Roman" w:eastAsia="黑体" w:cs="Times New Roman"/>
          <w:b w:val="0"/>
          <w:bCs w:val="0"/>
          <w:sz w:val="32"/>
          <w:szCs w:val="32"/>
          <w:lang w:val="en-US" w:eastAsia="zh-CN"/>
        </w:rPr>
        <w:t>石景山区银行保险产业园</w:t>
      </w:r>
      <w:r>
        <w:rPr>
          <w:rFonts w:hint="eastAsia" w:ascii="Times New Roman" w:hAnsi="Times New Roman" w:eastAsia="黑体" w:cs="Times New Roman"/>
          <w:b w:val="0"/>
          <w:bCs w:val="0"/>
          <w:sz w:val="32"/>
          <w:szCs w:val="32"/>
          <w:lang w:val="en-US" w:eastAsia="zh-CN"/>
        </w:rPr>
        <w:t>管理委员</w:t>
      </w:r>
      <w:r>
        <w:rPr>
          <w:rFonts w:hint="default" w:ascii="Times New Roman" w:hAnsi="Times New Roman" w:eastAsia="黑体" w:cs="Times New Roman"/>
          <w:b w:val="0"/>
          <w:bCs w:val="0"/>
          <w:sz w:val="32"/>
          <w:szCs w:val="32"/>
          <w:lang w:val="en-US" w:eastAsia="zh-CN"/>
        </w:rPr>
        <w:t>会</w:t>
      </w:r>
    </w:p>
    <w:p w14:paraId="5A5A8978">
      <w:pPr>
        <w:spacing w:after="0" w:line="640" w:lineRule="exact"/>
        <w:jc w:val="center"/>
        <w:textAlignment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2026年</w:t>
      </w:r>
      <w:r>
        <w:rPr>
          <w:rFonts w:hint="eastAsia" w:ascii="Times New Roman" w:hAnsi="Times New Roman" w:eastAsia="黑体" w:cs="Times New Roman"/>
          <w:sz w:val="32"/>
          <w:szCs w:val="32"/>
          <w:lang w:val="en-US" w:eastAsia="zh-CN"/>
        </w:rPr>
        <w:t>7</w:t>
      </w:r>
      <w:r>
        <w:rPr>
          <w:rFonts w:hint="default" w:ascii="Times New Roman" w:hAnsi="Times New Roman" w:eastAsia="黑体" w:cs="Times New Roman"/>
          <w:sz w:val="32"/>
          <w:szCs w:val="32"/>
        </w:rPr>
        <w:t>月</w:t>
      </w:r>
    </w:p>
    <w:p w14:paraId="5CFDE91D">
      <w:pPr>
        <w:spacing w:after="0" w:line="640" w:lineRule="exact"/>
        <w:jc w:val="center"/>
        <w:textAlignment w:val="center"/>
        <w:rPr>
          <w:rFonts w:ascii="Times New Roman" w:hAnsi="Times New Roman" w:eastAsia="方正小标宋简体" w:cs="Times New Roman"/>
          <w:b/>
          <w:bCs/>
          <w:sz w:val="44"/>
          <w:szCs w:val="36"/>
        </w:rPr>
        <w:sectPr>
          <w:footerReference r:id="rId8" w:type="first"/>
          <w:footerReference r:id="rId6" w:type="default"/>
          <w:headerReference r:id="rId5" w:type="even"/>
          <w:footerReference r:id="rId7" w:type="even"/>
          <w:pgSz w:w="11906" w:h="16838"/>
          <w:pgMar w:top="1440" w:right="1797" w:bottom="1440" w:left="1797" w:header="851" w:footer="992" w:gutter="0"/>
          <w:pgNumType w:fmt="decimal" w:start="1"/>
          <w:cols w:space="425" w:num="1"/>
          <w:titlePg/>
          <w:docGrid w:type="linesAndChars" w:linePitch="312" w:charSpace="0"/>
        </w:sectPr>
      </w:pPr>
    </w:p>
    <w:p w14:paraId="3C39CC9D">
      <w:pPr>
        <w:spacing w:after="0" w:line="560" w:lineRule="exact"/>
        <w:ind w:firstLine="640" w:firstLineChars="200"/>
        <w:textAlignment w:val="center"/>
        <w:rPr>
          <w:rFonts w:hint="eastAsia" w:ascii="仿宋_GB2312" w:hAnsi="Calibri" w:eastAsia="仿宋_GB2312" w:cs="Times New Roman"/>
          <w:sz w:val="32"/>
          <w:szCs w:val="32"/>
        </w:rPr>
      </w:pPr>
    </w:p>
    <w:p w14:paraId="10404652">
      <w:pPr>
        <w:spacing w:after="0" w:line="560" w:lineRule="exact"/>
        <w:ind w:firstLine="640" w:firstLineChars="200"/>
        <w:textAlignment w:val="center"/>
        <w:rPr>
          <w:rFonts w:hint="eastAsia" w:ascii="仿宋_GB2312" w:hAnsi="Calibri" w:eastAsia="仿宋_GB2312" w:cs="Times New Roman"/>
          <w:sz w:val="32"/>
          <w:szCs w:val="32"/>
        </w:rPr>
        <w:sectPr>
          <w:footerReference r:id="rId9" w:type="default"/>
          <w:pgSz w:w="11906" w:h="16838"/>
          <w:pgMar w:top="2098" w:right="1474" w:bottom="1984" w:left="1587" w:header="851" w:footer="567" w:gutter="0"/>
          <w:pgNumType w:fmt="decimal" w:start="1"/>
          <w:cols w:space="425" w:num="1"/>
          <w:docGrid w:type="linesAndChars" w:linePitch="312" w:charSpace="0"/>
        </w:sectPr>
      </w:pPr>
    </w:p>
    <w:p w14:paraId="017CAD82">
      <w:pPr>
        <w:spacing w:after="0" w:line="640" w:lineRule="exact"/>
        <w:jc w:val="center"/>
        <w:textAlignment w:val="center"/>
        <w:rPr>
          <w:rFonts w:ascii="Times New Roman" w:hAnsi="Times New Roman" w:eastAsia="方正小标宋简体" w:cs="Times New Roman"/>
          <w:sz w:val="44"/>
          <w:szCs w:val="44"/>
        </w:rPr>
      </w:pPr>
      <w:bookmarkStart w:id="159" w:name="_GoBack"/>
      <w:bookmarkEnd w:id="159"/>
      <w:r>
        <w:rPr>
          <w:rFonts w:hint="eastAsia" w:ascii="Times New Roman" w:hAnsi="Times New Roman" w:eastAsia="方正小标宋简体" w:cs="Times New Roman"/>
          <w:sz w:val="44"/>
          <w:szCs w:val="44"/>
        </w:rPr>
        <w:t>目  录</w:t>
      </w:r>
    </w:p>
    <w:p w14:paraId="7BF28A29">
      <w:pPr>
        <w:pStyle w:val="11"/>
        <w:tabs>
          <w:tab w:val="right" w:leader="dot" w:pos="8835"/>
        </w:tabs>
        <w:spacing w:after="0" w:line="520" w:lineRule="exact"/>
        <w:textAlignment w:val="center"/>
        <w:rPr>
          <w:rFonts w:ascii="Times New Roman" w:hAnsi="Times New Roman" w:eastAsia="仿宋_GB2312" w:cs="Times New Roman"/>
          <w:sz w:val="28"/>
          <w:szCs w:val="28"/>
        </w:rPr>
      </w:pPr>
    </w:p>
    <w:p w14:paraId="18F47516">
      <w:pPr>
        <w:pStyle w:val="11"/>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TOC \o "1-2" \h \u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_Toc3908 </w:instrText>
      </w:r>
      <w:r>
        <w:rPr>
          <w:rFonts w:hint="default" w:ascii="Times New Roman" w:hAnsi="Times New Roman" w:eastAsia="仿宋_GB2312" w:cs="Times New Roman"/>
          <w:sz w:val="32"/>
          <w:szCs w:val="32"/>
        </w:rPr>
        <w:fldChar w:fldCharType="separate"/>
      </w:r>
      <w:r>
        <w:rPr>
          <w:rFonts w:hint="default" w:ascii="Times New Roman" w:hAnsi="Times New Roman" w:eastAsia="黑体" w:cs="Times New Roman"/>
          <w:sz w:val="32"/>
          <w:szCs w:val="32"/>
        </w:rPr>
        <w:t>一、</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_Toc23827 </w:instrText>
      </w:r>
      <w:r>
        <w:rPr>
          <w:rFonts w:hint="default" w:ascii="Times New Roman" w:hAnsi="Times New Roman" w:eastAsia="仿宋_GB2312" w:cs="Times New Roman"/>
          <w:sz w:val="32"/>
          <w:szCs w:val="32"/>
        </w:rPr>
        <w:fldChar w:fldCharType="separate"/>
      </w:r>
      <w:r>
        <w:rPr>
          <w:rFonts w:hint="default" w:ascii="Times New Roman" w:hAnsi="Times New Roman" w:eastAsia="黑体" w:cs="Times New Roman"/>
          <w:sz w:val="32"/>
          <w:szCs w:val="32"/>
        </w:rPr>
        <w:t>总体</w:t>
      </w:r>
      <w:r>
        <w:rPr>
          <w:rFonts w:hint="default" w:ascii="Times New Roman" w:hAnsi="Times New Roman" w:eastAsia="黑体" w:cs="Times New Roman"/>
          <w:sz w:val="32"/>
          <w:szCs w:val="32"/>
          <w:lang w:val="en-US" w:eastAsia="zh-CN"/>
        </w:rPr>
        <w:t>要求</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_Toc23827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7665481B">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_Toc22947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（一）指导思想</w:t>
      </w:r>
      <w:r>
        <w:rPr>
          <w:rFonts w:hint="default" w:ascii="Times New Roman" w:hAnsi="Times New Roman" w:eastAsia="方正仿宋_GB2312" w:cs="Times New Roman"/>
          <w:sz w:val="32"/>
          <w:szCs w:val="32"/>
        </w:rPr>
        <w:tab/>
      </w: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PAGEREF _Toc22947 \h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1</w:t>
      </w:r>
      <w:r>
        <w:rPr>
          <w:rFonts w:hint="default" w:ascii="Times New Roman" w:hAnsi="Times New Roman" w:eastAsia="方正仿宋_GB2312" w:cs="Times New Roman"/>
          <w:sz w:val="32"/>
          <w:szCs w:val="32"/>
        </w:rPr>
        <w:fldChar w:fldCharType="end"/>
      </w:r>
      <w:r>
        <w:rPr>
          <w:rFonts w:hint="default" w:ascii="Times New Roman" w:hAnsi="Times New Roman" w:eastAsia="方正仿宋_GB2312" w:cs="Times New Roman"/>
          <w:sz w:val="32"/>
          <w:szCs w:val="32"/>
        </w:rPr>
        <w:fldChar w:fldCharType="end"/>
      </w:r>
    </w:p>
    <w:p w14:paraId="410117B4">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_Toc4716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（二）发展目标</w:t>
      </w:r>
      <w:r>
        <w:rPr>
          <w:rFonts w:hint="default" w:ascii="Times New Roman" w:hAnsi="Times New Roman" w:eastAsia="方正仿宋_GB2312" w:cs="Times New Roman"/>
          <w:sz w:val="32"/>
          <w:szCs w:val="32"/>
        </w:rPr>
        <w:tab/>
      </w: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PAGEREF _Toc4716 \h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1</w:t>
      </w:r>
      <w:r>
        <w:rPr>
          <w:rFonts w:hint="default" w:ascii="Times New Roman" w:hAnsi="Times New Roman" w:eastAsia="方正仿宋_GB2312" w:cs="Times New Roman"/>
          <w:sz w:val="32"/>
          <w:szCs w:val="32"/>
        </w:rPr>
        <w:fldChar w:fldCharType="end"/>
      </w:r>
      <w:r>
        <w:rPr>
          <w:rFonts w:hint="default" w:ascii="Times New Roman" w:hAnsi="Times New Roman" w:eastAsia="方正仿宋_GB2312" w:cs="Times New Roman"/>
          <w:sz w:val="32"/>
          <w:szCs w:val="32"/>
        </w:rPr>
        <w:fldChar w:fldCharType="end"/>
      </w:r>
    </w:p>
    <w:p w14:paraId="59E0C263">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HYPERLINK \l _Toc31576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（三）空间布局</w:t>
      </w:r>
      <w:r>
        <w:rPr>
          <w:rFonts w:hint="default" w:ascii="Times New Roman" w:hAnsi="Times New Roman" w:eastAsia="方正仿宋_GB2312" w:cs="Times New Roman"/>
          <w:sz w:val="32"/>
          <w:szCs w:val="32"/>
        </w:rPr>
        <w:tab/>
      </w:r>
      <w:r>
        <w:rPr>
          <w:rFonts w:hint="default" w:ascii="Times New Roman" w:hAnsi="Times New Roman" w:eastAsia="方正仿宋_GB2312" w:cs="Times New Roman"/>
          <w:sz w:val="32"/>
          <w:szCs w:val="32"/>
        </w:rPr>
        <w:fldChar w:fldCharType="begin"/>
      </w:r>
      <w:r>
        <w:rPr>
          <w:rFonts w:hint="default" w:ascii="Times New Roman" w:hAnsi="Times New Roman" w:eastAsia="方正仿宋_GB2312" w:cs="Times New Roman"/>
          <w:sz w:val="32"/>
          <w:szCs w:val="32"/>
        </w:rPr>
        <w:instrText xml:space="preserve"> PAGEREF _Toc31576 \h </w:instrText>
      </w:r>
      <w:r>
        <w:rPr>
          <w:rFonts w:hint="default" w:ascii="Times New Roman" w:hAnsi="Times New Roman" w:eastAsia="方正仿宋_GB2312" w:cs="Times New Roman"/>
          <w:sz w:val="32"/>
          <w:szCs w:val="32"/>
        </w:rPr>
        <w:fldChar w:fldCharType="separate"/>
      </w:r>
      <w:r>
        <w:rPr>
          <w:rFonts w:hint="default" w:ascii="Times New Roman" w:hAnsi="Times New Roman" w:eastAsia="方正仿宋_GB2312" w:cs="Times New Roman"/>
          <w:sz w:val="32"/>
          <w:szCs w:val="32"/>
        </w:rPr>
        <w:t>2</w:t>
      </w:r>
      <w:r>
        <w:rPr>
          <w:rFonts w:hint="default" w:ascii="Times New Roman" w:hAnsi="Times New Roman" w:eastAsia="方正仿宋_GB2312" w:cs="Times New Roman"/>
          <w:sz w:val="32"/>
          <w:szCs w:val="32"/>
        </w:rPr>
        <w:fldChar w:fldCharType="end"/>
      </w:r>
      <w:r>
        <w:rPr>
          <w:rFonts w:hint="default" w:ascii="Times New Roman" w:hAnsi="Times New Roman" w:eastAsia="方正仿宋_GB2312" w:cs="Times New Roman"/>
          <w:sz w:val="32"/>
          <w:szCs w:val="32"/>
        </w:rPr>
        <w:fldChar w:fldCharType="end"/>
      </w:r>
    </w:p>
    <w:p w14:paraId="14E01A20">
      <w:pPr>
        <w:pStyle w:val="11"/>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_Toc27307 </w:instrText>
      </w:r>
      <w:r>
        <w:rPr>
          <w:rFonts w:hint="default" w:ascii="Times New Roman" w:hAnsi="Times New Roman" w:eastAsia="仿宋_GB2312" w:cs="Times New Roman"/>
          <w:sz w:val="32"/>
          <w:szCs w:val="32"/>
        </w:rPr>
        <w:fldChar w:fldCharType="separate"/>
      </w:r>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_Toc12957 </w:instrText>
      </w:r>
      <w:r>
        <w:rPr>
          <w:rFonts w:hint="default" w:ascii="Times New Roman" w:hAnsi="Times New Roman" w:eastAsia="仿宋_GB2312" w:cs="Times New Roman"/>
          <w:sz w:val="32"/>
          <w:szCs w:val="32"/>
        </w:rPr>
        <w:fldChar w:fldCharType="separate"/>
      </w:r>
      <w:r>
        <w:rPr>
          <w:rFonts w:hint="default" w:ascii="Times New Roman" w:hAnsi="Times New Roman" w:eastAsia="黑体" w:cs="Times New Roman"/>
          <w:bCs w:val="0"/>
          <w:sz w:val="32"/>
          <w:szCs w:val="32"/>
        </w:rPr>
        <w:t>加快现代金融产业高质量发展</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_Toc12957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01259609">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_Toc7290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（一）擦亮消费金融特色品牌</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_Toc7290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173679D2">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_Toc20349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（二）打造“保险创新试验区”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_Toc20349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3</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07E4241F">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_Toc913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（三）做强金融科技创新业态</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_Toc913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3</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23A772A9">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_Toc25385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（四）壮大“大资管”产业集群</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_Toc25385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4</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41848277">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_Toc26457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（五）培育金融专业服务板块</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_Toc26457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4</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3280A740">
      <w:pPr>
        <w:pStyle w:val="11"/>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_Toc28305 </w:instrText>
      </w:r>
      <w:r>
        <w:rPr>
          <w:rFonts w:hint="default" w:ascii="Times New Roman" w:hAnsi="Times New Roman" w:eastAsia="仿宋_GB2312" w:cs="Times New Roman"/>
          <w:sz w:val="32"/>
          <w:szCs w:val="32"/>
        </w:rPr>
        <w:fldChar w:fldCharType="separate"/>
      </w:r>
      <w:r>
        <w:rPr>
          <w:rFonts w:hint="default" w:ascii="Times New Roman" w:hAnsi="Times New Roman" w:eastAsia="黑体" w:cs="Times New Roman"/>
          <w:bCs w:val="0"/>
          <w:sz w:val="32"/>
          <w:szCs w:val="32"/>
          <w:lang w:val="en-US" w:eastAsia="zh-CN"/>
        </w:rPr>
        <w:t>三、</w:t>
      </w:r>
      <w:r>
        <w:rPr>
          <w:rFonts w:hint="default" w:ascii="Times New Roman" w:hAnsi="Times New Roman" w:eastAsia="黑体" w:cs="Times New Roman"/>
          <w:bCs w:val="0"/>
          <w:sz w:val="32"/>
          <w:szCs w:val="32"/>
        </w:rPr>
        <w:t>提升金融服务实体经济质效</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_Toc28305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5</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2EBB5CE4">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_Toc26492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（六）聚焦科技金融，促进科技创新和产业创新深度融合</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_Toc26492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5</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7D48FB60">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_Toc13108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（七）做优数字金融，高水平建设“数字人民币综合性试验区”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_Toc13108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5</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29BDC836">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_Toc17942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（八）</w:t>
      </w:r>
      <w:r>
        <w:rPr>
          <w:rFonts w:hint="default" w:ascii="Times New Roman" w:hAnsi="Times New Roman" w:eastAsia="仿宋_GB2312" w:cs="Times New Roman"/>
          <w:color w:val="000000"/>
          <w:kern w:val="2"/>
          <w:sz w:val="32"/>
          <w:szCs w:val="32"/>
          <w:lang w:val="en-US" w:eastAsia="zh-Hans" w:bidi="ar-SA"/>
        </w:rPr>
        <w:t>发力养老金融，</w:t>
      </w:r>
      <w:r>
        <w:rPr>
          <w:rFonts w:hint="default" w:ascii="Times New Roman" w:hAnsi="Times New Roman" w:eastAsia="仿宋_GB2312" w:cs="Times New Roman"/>
          <w:color w:val="000000"/>
          <w:kern w:val="2"/>
          <w:sz w:val="32"/>
          <w:szCs w:val="32"/>
          <w:lang w:val="en-US" w:eastAsia="zh-CN" w:bidi="ar-SA"/>
        </w:rPr>
        <w:t>构建全生命周期综合服务生态</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_Toc17942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6</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062042B0">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_Toc7940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（九）做实普惠金融，增强薄弱领域和社会民生服务水平</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_Toc7940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6</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3517B178">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_Toc17515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（十）拓展绿色金融，助力区域经济社会全面绿色转型</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_Toc17515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7</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7A0F2160">
      <w:pPr>
        <w:pStyle w:val="11"/>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_Toc21710 </w:instrText>
      </w:r>
      <w:r>
        <w:rPr>
          <w:rFonts w:hint="default" w:ascii="Times New Roman" w:hAnsi="Times New Roman" w:eastAsia="仿宋_GB2312" w:cs="Times New Roman"/>
          <w:sz w:val="32"/>
          <w:szCs w:val="32"/>
        </w:rPr>
        <w:fldChar w:fldCharType="separate"/>
      </w:r>
      <w:r>
        <w:rPr>
          <w:rFonts w:hint="default" w:ascii="Times New Roman" w:hAnsi="Times New Roman" w:eastAsia="黑体" w:cs="Times New Roman"/>
          <w:bCs w:val="0"/>
          <w:sz w:val="32"/>
          <w:szCs w:val="32"/>
          <w:lang w:val="en-US" w:eastAsia="zh-CN"/>
        </w:rPr>
        <w:t>四、</w:t>
      </w:r>
      <w:r>
        <w:rPr>
          <w:rFonts w:hint="default" w:ascii="Times New Roman" w:hAnsi="Times New Roman" w:eastAsia="黑体" w:cs="Times New Roman"/>
          <w:bCs w:val="0"/>
          <w:sz w:val="32"/>
          <w:szCs w:val="32"/>
        </w:rPr>
        <w:t>推动金融领域高水平对外开放</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_Toc21710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7</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24DE5262">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_Toc11853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（十一）打造首都开放型金融生态区</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_Toc11853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7</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5E65BEA8">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_Toc7308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（十二）打造金融品牌论坛集聚地</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_Toc7308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8</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05980C7F">
      <w:pPr>
        <w:pStyle w:val="11"/>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_Toc20876 </w:instrText>
      </w:r>
      <w:r>
        <w:rPr>
          <w:rFonts w:hint="default" w:ascii="Times New Roman" w:hAnsi="Times New Roman" w:eastAsia="仿宋_GB2312" w:cs="Times New Roman"/>
          <w:sz w:val="32"/>
          <w:szCs w:val="32"/>
        </w:rPr>
        <w:fldChar w:fldCharType="separate"/>
      </w:r>
      <w:r>
        <w:rPr>
          <w:rFonts w:hint="default" w:ascii="Times New Roman" w:hAnsi="Times New Roman" w:eastAsia="黑体" w:cs="Times New Roman"/>
          <w:bCs w:val="0"/>
          <w:sz w:val="32"/>
          <w:szCs w:val="32"/>
          <w:lang w:val="en-US" w:eastAsia="zh-CN"/>
        </w:rPr>
        <w:t>五、</w:t>
      </w:r>
      <w:r>
        <w:rPr>
          <w:rFonts w:hint="default" w:ascii="Times New Roman" w:hAnsi="Times New Roman" w:eastAsia="黑体" w:cs="Times New Roman"/>
          <w:bCs w:val="0"/>
          <w:sz w:val="32"/>
          <w:szCs w:val="32"/>
        </w:rPr>
        <w:t>增强金融风险防范化解能力</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_Toc20876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8</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2D365859">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_Toc9089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（十三）健全金融风险防范化解工作体系</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_Toc9089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8</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084BB61A">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_Toc18996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（十四）平稳有序推进金融风险化解处置</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_Toc18996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9</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17134E1C">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_Toc29210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（十五）提升现代金融多元调解服务能力</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_Toc29210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9</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2FDFFFF4">
      <w:pPr>
        <w:pStyle w:val="11"/>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_Toc4445 </w:instrText>
      </w:r>
      <w:r>
        <w:rPr>
          <w:rFonts w:hint="default" w:ascii="Times New Roman" w:hAnsi="Times New Roman" w:eastAsia="仿宋_GB2312" w:cs="Times New Roman"/>
          <w:sz w:val="32"/>
          <w:szCs w:val="32"/>
        </w:rPr>
        <w:fldChar w:fldCharType="separate"/>
      </w:r>
      <w:r>
        <w:rPr>
          <w:rFonts w:hint="default"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、保障措施</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_Toc4445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9</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1F6B7317">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_Toc28129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（十六）加强党的领导</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_Toc28129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9</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259C150D">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_Toc27610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（十七）强化组织实施</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_Toc27610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10</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2A039B92">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_Toc12300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（十八）加大服务保障</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_Toc12300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10</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0879DF2A">
      <w:pPr>
        <w:pStyle w:val="13"/>
        <w:keepNext w:val="0"/>
        <w:keepLines w:val="0"/>
        <w:pageBreakBefore w:val="0"/>
        <w:widowControl w:val="0"/>
        <w:tabs>
          <w:tab w:val="right" w:leader="dot" w:pos="8845"/>
        </w:tabs>
        <w:kinsoku/>
        <w:wordWrap/>
        <w:overflowPunct/>
        <w:topLinePunct w:val="0"/>
        <w:autoSpaceDE/>
        <w:autoSpaceDN/>
        <w:bidi w:val="0"/>
        <w:adjustRightInd/>
        <w:snapToGrid/>
        <w:spacing w:after="0" w:line="240" w:lineRule="auto"/>
        <w:rPr>
          <w:rFonts w:hint="default" w:ascii="Times New Roman" w:hAnsi="Times New Roman"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\l _Toc32529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color w:val="000000"/>
          <w:kern w:val="2"/>
          <w:sz w:val="32"/>
          <w:szCs w:val="32"/>
          <w:lang w:val="en-US" w:eastAsia="zh-CN" w:bidi="ar-SA"/>
        </w:rPr>
        <w:t>（十九）开展规划评估</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_Toc32529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10</w:t>
      </w:r>
      <w:r>
        <w:rPr>
          <w:rFonts w:hint="default" w:ascii="Times New Roman" w:hAnsi="Times New Roman" w:cs="Times New Roman"/>
          <w:sz w:val="32"/>
          <w:szCs w:val="32"/>
        </w:rPr>
        <w:fldChar w:fldCharType="end"/>
      </w:r>
      <w:r>
        <w:rPr>
          <w:rFonts w:hint="default" w:ascii="Times New Roman" w:hAnsi="Times New Roman" w:eastAsia="仿宋_GB2312" w:cs="Times New Roman"/>
          <w:sz w:val="32"/>
          <w:szCs w:val="32"/>
        </w:rPr>
        <w:fldChar w:fldCharType="end"/>
      </w:r>
    </w:p>
    <w:p w14:paraId="7710108F">
      <w:pPr>
        <w:keepNext w:val="0"/>
        <w:keepLines w:val="0"/>
        <w:pageBreakBefore w:val="0"/>
        <w:widowControl w:val="0"/>
        <w:kinsoku/>
        <w:wordWrap/>
        <w:overflowPunct/>
        <w:topLinePunct w:val="0"/>
        <w:autoSpaceDE/>
        <w:autoSpaceDN/>
        <w:bidi w:val="0"/>
        <w:adjustRightInd/>
        <w:snapToGrid/>
        <w:spacing w:after="0" w:line="240" w:lineRule="auto"/>
        <w:textAlignment w:val="center"/>
        <w:rPr>
          <w:rFonts w:ascii="Times New Roman" w:hAnsi="Times New Roman" w:eastAsia="仿宋_GB2312" w:cs="Times New Roman"/>
          <w:sz w:val="32"/>
          <w:szCs w:val="32"/>
        </w:rPr>
        <w:sectPr>
          <w:footerReference r:id="rId11" w:type="first"/>
          <w:footerReference r:id="rId10" w:type="default"/>
          <w:pgSz w:w="11906" w:h="16838"/>
          <w:pgMar w:top="2098" w:right="1474" w:bottom="1984" w:left="1587" w:header="851" w:footer="624" w:gutter="0"/>
          <w:pgNumType w:fmt="decimal" w:start="1"/>
          <w:cols w:space="425" w:num="1"/>
          <w:titlePg/>
          <w:docGrid w:type="linesAndChars" w:linePitch="312" w:charSpace="0"/>
        </w:sectPr>
      </w:pPr>
      <w:r>
        <w:rPr>
          <w:rFonts w:hint="default" w:ascii="Times New Roman" w:hAnsi="Times New Roman" w:eastAsia="仿宋_GB2312" w:cs="Times New Roman"/>
          <w:sz w:val="32"/>
          <w:szCs w:val="32"/>
        </w:rPr>
        <w:fldChar w:fldCharType="end"/>
      </w:r>
    </w:p>
    <w:p w14:paraId="4D5ACFAD">
      <w:pPr>
        <w:spacing w:after="0" w:line="560" w:lineRule="exact"/>
        <w:ind w:firstLine="640" w:firstLineChars="200"/>
        <w:textAlignment w:val="center"/>
        <w:outlineLvl w:val="0"/>
        <w:rPr>
          <w:rFonts w:ascii="Times New Roman" w:hAnsi="Times New Roman" w:eastAsia="黑体" w:cs="Times New Roman"/>
          <w:sz w:val="32"/>
          <w:szCs w:val="32"/>
        </w:rPr>
      </w:pPr>
      <w:bookmarkStart w:id="0" w:name="_Toc3908"/>
      <w:bookmarkStart w:id="1" w:name="OLE_LINK2"/>
      <w:bookmarkStart w:id="2" w:name="_Toc22680"/>
      <w:bookmarkStart w:id="3" w:name="_Toc185959525"/>
      <w:bookmarkStart w:id="4" w:name="_Toc6468"/>
      <w:bookmarkStart w:id="5" w:name="_Toc19522"/>
      <w:bookmarkStart w:id="6" w:name="_Toc423103335"/>
      <w:bookmarkStart w:id="7" w:name="_Toc214375910"/>
      <w:bookmarkStart w:id="8" w:name="_Toc4626"/>
      <w:bookmarkStart w:id="9" w:name="_Toc125040919"/>
      <w:r>
        <w:rPr>
          <w:rFonts w:hint="eastAsia" w:ascii="Times New Roman" w:hAnsi="Times New Roman" w:eastAsia="黑体" w:cs="Times New Roman"/>
          <w:sz w:val="32"/>
          <w:szCs w:val="32"/>
        </w:rPr>
        <w:t>一、</w:t>
      </w:r>
      <w:bookmarkEnd w:id="0"/>
      <w:bookmarkEnd w:id="1"/>
      <w:bookmarkEnd w:id="2"/>
      <w:bookmarkEnd w:id="3"/>
      <w:bookmarkEnd w:id="4"/>
      <w:bookmarkEnd w:id="5"/>
      <w:bookmarkEnd w:id="6"/>
      <w:bookmarkEnd w:id="7"/>
      <w:bookmarkEnd w:id="8"/>
      <w:bookmarkEnd w:id="9"/>
      <w:bookmarkStart w:id="10" w:name="_Toc3234"/>
      <w:bookmarkStart w:id="11" w:name="_Toc32595"/>
      <w:bookmarkStart w:id="12" w:name="_Toc1369309181"/>
      <w:bookmarkStart w:id="13" w:name="_Toc15599"/>
      <w:bookmarkStart w:id="14" w:name="_Toc185959538"/>
      <w:bookmarkStart w:id="15" w:name="_Toc23827"/>
      <w:bookmarkStart w:id="16" w:name="_Toc1761850470"/>
      <w:bookmarkStart w:id="17" w:name="_Toc214375914"/>
      <w:bookmarkStart w:id="18" w:name="_Toc5269"/>
      <w:r>
        <w:rPr>
          <w:rFonts w:hint="eastAsia" w:ascii="Times New Roman" w:hAnsi="Times New Roman" w:eastAsia="黑体" w:cs="Times New Roman"/>
          <w:sz w:val="32"/>
          <w:szCs w:val="32"/>
        </w:rPr>
        <w:t>总体</w:t>
      </w:r>
      <w:r>
        <w:rPr>
          <w:rFonts w:hint="eastAsia" w:ascii="Times New Roman" w:hAnsi="Times New Roman" w:eastAsia="黑体" w:cs="Times New Roman"/>
          <w:sz w:val="32"/>
          <w:szCs w:val="32"/>
          <w:lang w:val="en-US" w:eastAsia="zh-CN"/>
        </w:rPr>
        <w:t>要求</w:t>
      </w:r>
      <w:bookmarkEnd w:id="10"/>
      <w:bookmarkEnd w:id="11"/>
      <w:bookmarkEnd w:id="12"/>
      <w:bookmarkEnd w:id="13"/>
      <w:bookmarkEnd w:id="14"/>
      <w:bookmarkEnd w:id="15"/>
      <w:bookmarkEnd w:id="16"/>
      <w:bookmarkEnd w:id="17"/>
      <w:bookmarkEnd w:id="18"/>
    </w:p>
    <w:p w14:paraId="18721A53">
      <w:pPr>
        <w:spacing w:after="0" w:line="560" w:lineRule="exact"/>
        <w:ind w:firstLine="640" w:firstLineChars="200"/>
        <w:textAlignment w:val="center"/>
        <w:outlineLvl w:val="1"/>
        <w:rPr>
          <w:rFonts w:ascii="Times New Roman" w:hAnsi="Times New Roman" w:eastAsia="楷体_GB2312" w:cs="Times New Roman"/>
          <w:b w:val="0"/>
          <w:bCs w:val="0"/>
          <w:color w:val="000000"/>
          <w:sz w:val="32"/>
          <w:szCs w:val="36"/>
        </w:rPr>
      </w:pPr>
      <w:bookmarkStart w:id="19" w:name="_Toc185959540"/>
      <w:bookmarkStart w:id="20" w:name="_Toc22947"/>
      <w:bookmarkStart w:id="21" w:name="_Toc1507145172"/>
      <w:bookmarkStart w:id="22" w:name="_Toc1152548047"/>
      <w:bookmarkStart w:id="23" w:name="_Toc17713"/>
      <w:bookmarkStart w:id="24" w:name="_Toc28541"/>
      <w:bookmarkStart w:id="25" w:name="_Toc214375915"/>
      <w:bookmarkStart w:id="26" w:name="_Toc18625"/>
      <w:bookmarkStart w:id="27" w:name="_Toc3268"/>
      <w:r>
        <w:rPr>
          <w:rFonts w:hint="eastAsia" w:ascii="Times New Roman" w:hAnsi="Times New Roman" w:eastAsia="楷体_GB2312" w:cs="Times New Roman"/>
          <w:b w:val="0"/>
          <w:bCs w:val="0"/>
          <w:color w:val="000000"/>
          <w:sz w:val="32"/>
          <w:szCs w:val="36"/>
        </w:rPr>
        <w:t>（一）</w:t>
      </w:r>
      <w:bookmarkEnd w:id="19"/>
      <w:r>
        <w:rPr>
          <w:rFonts w:hint="eastAsia" w:ascii="Times New Roman" w:hAnsi="Times New Roman" w:eastAsia="楷体_GB2312" w:cs="Times New Roman"/>
          <w:b w:val="0"/>
          <w:bCs w:val="0"/>
          <w:color w:val="000000"/>
          <w:sz w:val="32"/>
          <w:szCs w:val="36"/>
        </w:rPr>
        <w:t>指导思想</w:t>
      </w:r>
      <w:bookmarkEnd w:id="20"/>
      <w:bookmarkEnd w:id="21"/>
      <w:bookmarkEnd w:id="22"/>
      <w:bookmarkEnd w:id="23"/>
      <w:bookmarkEnd w:id="24"/>
      <w:bookmarkEnd w:id="25"/>
      <w:bookmarkEnd w:id="26"/>
      <w:bookmarkEnd w:id="27"/>
    </w:p>
    <w:p w14:paraId="750EBCAF">
      <w:pPr>
        <w:spacing w:after="0" w:line="560" w:lineRule="exact"/>
        <w:ind w:firstLine="640" w:firstLineChars="200"/>
        <w:textAlignment w:val="center"/>
        <w:rPr>
          <w:rFonts w:ascii="仿宋_GB2312" w:hAnsi="Calibri" w:eastAsia="仿宋_GB2312" w:cs="Times New Roman"/>
          <w:sz w:val="32"/>
          <w:szCs w:val="32"/>
        </w:rPr>
      </w:pPr>
      <w:r>
        <w:rPr>
          <w:rFonts w:hint="eastAsia" w:ascii="Times New Roman" w:hAnsi="Times New Roman" w:eastAsia="仿宋_GB2312" w:cs="Times New Roman"/>
          <w:color w:val="000000"/>
          <w:sz w:val="32"/>
          <w:szCs w:val="36"/>
        </w:rPr>
        <w:t>坚持以习近平新时代中国特色社会主义思想为指导，全面贯彻党的二十大和二十届历次全会、中央金融工作会议精神，</w:t>
      </w:r>
      <w:r>
        <w:rPr>
          <w:rFonts w:ascii="仿宋_GB2312" w:hAnsi="Calibri" w:eastAsia="仿宋_GB2312" w:cs="Times New Roman"/>
          <w:sz w:val="32"/>
          <w:szCs w:val="32"/>
        </w:rPr>
        <w:t>深入贯彻习近平</w:t>
      </w:r>
      <w:r>
        <w:rPr>
          <w:rFonts w:ascii="Times New Roman" w:hAnsi="Times New Roman" w:eastAsia="仿宋_GB2312" w:cs="Times New Roman"/>
          <w:sz w:val="32"/>
          <w:szCs w:val="36"/>
        </w:rPr>
        <w:t>总书记</w:t>
      </w:r>
      <w:r>
        <w:rPr>
          <w:rFonts w:hint="eastAsia" w:ascii="仿宋_GB2312" w:hAnsi="Calibri" w:eastAsia="仿宋_GB2312" w:cs="Times New Roman"/>
          <w:sz w:val="32"/>
          <w:szCs w:val="32"/>
        </w:rPr>
        <w:t>对</w:t>
      </w:r>
      <w:r>
        <w:rPr>
          <w:rFonts w:ascii="仿宋_GB2312" w:hAnsi="Calibri" w:eastAsia="仿宋_GB2312" w:cs="Times New Roman"/>
          <w:sz w:val="32"/>
          <w:szCs w:val="32"/>
        </w:rPr>
        <w:t>北京重要讲话精神，</w:t>
      </w:r>
      <w:r>
        <w:rPr>
          <w:rFonts w:hint="eastAsia" w:ascii="仿宋_GB2312" w:hAnsi="Calibri" w:eastAsia="仿宋_GB2312" w:cs="Times New Roman"/>
          <w:sz w:val="32"/>
          <w:szCs w:val="32"/>
        </w:rPr>
        <w:t>以新时代首都发展为统领，坚持和加强党对金融工作的全面领导，深刻把握金融工作的政治性、人民性。以服务实体经济为根本宗旨，以深化金融供给侧结构性改革为</w:t>
      </w:r>
      <w:r>
        <w:rPr>
          <w:rFonts w:hint="default" w:ascii="Times New Roman" w:hAnsi="Times New Roman" w:eastAsia="仿宋_GB2312" w:cs="Times New Roman"/>
          <w:bCs/>
          <w:color w:val="000000"/>
          <w:sz w:val="32"/>
          <w:szCs w:val="32"/>
          <w:lang w:eastAsia="zh-Hans"/>
        </w:rPr>
        <w:t>主线</w:t>
      </w:r>
      <w:r>
        <w:rPr>
          <w:rFonts w:hint="eastAsia" w:ascii="仿宋_GB2312" w:hAnsi="Calibri" w:eastAsia="仿宋_GB2312" w:cs="Times New Roman"/>
          <w:sz w:val="32"/>
          <w:szCs w:val="32"/>
        </w:rPr>
        <w:t>，以全面加强金融监管、防范化解风险为保障，锚定“产业实力强、服务实体</w:t>
      </w:r>
      <w:r>
        <w:rPr>
          <w:rFonts w:hint="default" w:ascii="Times New Roman" w:hAnsi="Times New Roman" w:eastAsia="仿宋_GB2312" w:cs="Times New Roman"/>
          <w:bCs/>
          <w:color w:val="000000"/>
          <w:sz w:val="32"/>
          <w:szCs w:val="32"/>
          <w:lang w:eastAsia="zh-Hans"/>
        </w:rPr>
        <w:t>经济</w:t>
      </w:r>
      <w:r>
        <w:rPr>
          <w:rFonts w:hint="eastAsia" w:ascii="仿宋_GB2312" w:hAnsi="Calibri" w:eastAsia="仿宋_GB2312" w:cs="Times New Roman"/>
          <w:sz w:val="32"/>
          <w:szCs w:val="32"/>
        </w:rPr>
        <w:t>强、防风险能力强”的目标，持续巩固提升“消费金融”特色优势，加速培育“保险+”综合生态与数字金融新动能，加快建设国家级金融产业示范区，全力做好科技金融、数字金融、养老金融、普惠金融、绿色金融“五篇大文章”，为石景山区打造更高水平的首都城市西大门、实现高质量发展贡献更大金融力量。</w:t>
      </w:r>
    </w:p>
    <w:p w14:paraId="3BA54D8B">
      <w:pPr>
        <w:spacing w:after="0" w:line="560" w:lineRule="exact"/>
        <w:ind w:firstLine="640" w:firstLineChars="200"/>
        <w:textAlignment w:val="center"/>
        <w:outlineLvl w:val="1"/>
        <w:rPr>
          <w:rFonts w:ascii="Times New Roman" w:hAnsi="Times New Roman" w:eastAsia="楷体_GB2312" w:cs="Times New Roman"/>
          <w:b w:val="0"/>
          <w:bCs w:val="0"/>
          <w:color w:val="000000"/>
          <w:sz w:val="32"/>
          <w:szCs w:val="36"/>
        </w:rPr>
      </w:pPr>
      <w:bookmarkStart w:id="28" w:name="_Toc937680005"/>
      <w:bookmarkStart w:id="29" w:name="_Toc4716"/>
      <w:bookmarkStart w:id="30" w:name="_Toc185959542"/>
      <w:bookmarkStart w:id="31" w:name="_Toc887892816"/>
      <w:bookmarkStart w:id="32" w:name="_Toc19124"/>
      <w:bookmarkStart w:id="33" w:name="_Toc24520"/>
      <w:bookmarkStart w:id="34" w:name="_Toc214375917"/>
      <w:bookmarkStart w:id="35" w:name="_Toc1995"/>
      <w:bookmarkStart w:id="36" w:name="_Toc704"/>
      <w:r>
        <w:rPr>
          <w:rFonts w:hint="eastAsia" w:ascii="Times New Roman" w:hAnsi="Times New Roman" w:eastAsia="楷体_GB2312" w:cs="Times New Roman"/>
          <w:b w:val="0"/>
          <w:bCs w:val="0"/>
          <w:color w:val="000000"/>
          <w:sz w:val="32"/>
          <w:szCs w:val="36"/>
        </w:rPr>
        <w:t>（</w:t>
      </w:r>
      <w:r>
        <w:rPr>
          <w:rFonts w:hint="eastAsia" w:ascii="Times New Roman" w:hAnsi="Times New Roman" w:eastAsia="楷体_GB2312" w:cs="Times New Roman"/>
          <w:b w:val="0"/>
          <w:bCs w:val="0"/>
          <w:color w:val="000000"/>
          <w:sz w:val="32"/>
          <w:szCs w:val="36"/>
          <w:lang w:val="en-US" w:eastAsia="zh-CN"/>
        </w:rPr>
        <w:t>二</w:t>
      </w:r>
      <w:r>
        <w:rPr>
          <w:rFonts w:hint="eastAsia" w:ascii="Times New Roman" w:hAnsi="Times New Roman" w:eastAsia="楷体_GB2312" w:cs="Times New Roman"/>
          <w:b w:val="0"/>
          <w:bCs w:val="0"/>
          <w:color w:val="000000"/>
          <w:sz w:val="32"/>
          <w:szCs w:val="36"/>
        </w:rPr>
        <w:t>）发展目标</w:t>
      </w:r>
      <w:bookmarkEnd w:id="28"/>
      <w:bookmarkEnd w:id="29"/>
      <w:bookmarkEnd w:id="30"/>
      <w:bookmarkEnd w:id="31"/>
      <w:bookmarkEnd w:id="32"/>
      <w:bookmarkEnd w:id="33"/>
      <w:bookmarkEnd w:id="34"/>
      <w:bookmarkEnd w:id="35"/>
      <w:bookmarkEnd w:id="36"/>
    </w:p>
    <w:p w14:paraId="427F1F0E">
      <w:pPr>
        <w:spacing w:after="0" w:line="560" w:lineRule="exact"/>
        <w:ind w:firstLine="640" w:firstLineChars="200"/>
        <w:textAlignment w:val="center"/>
        <w:rPr>
          <w:rFonts w:hint="eastAsia" w:ascii="Times New Roman" w:hAnsi="Times New Roman" w:eastAsia="仿宋_GB2312" w:cs="Times New Roman"/>
          <w:color w:val="000000"/>
          <w:sz w:val="32"/>
          <w:szCs w:val="36"/>
        </w:rPr>
      </w:pPr>
      <w:r>
        <w:rPr>
          <w:rFonts w:hint="eastAsia" w:ascii="仿宋_GB2312" w:hAnsi="Times New Roman" w:eastAsia="仿宋_GB2312" w:cs="Times New Roman"/>
          <w:color w:val="000000"/>
          <w:sz w:val="32"/>
          <w:szCs w:val="36"/>
        </w:rPr>
        <w:t>到“十五五”末</w:t>
      </w:r>
      <w:r>
        <w:rPr>
          <w:rFonts w:ascii="Times New Roman" w:hAnsi="Times New Roman" w:eastAsia="仿宋_GB2312" w:cs="Times New Roman"/>
          <w:color w:val="000000"/>
          <w:sz w:val="32"/>
          <w:szCs w:val="36"/>
        </w:rPr>
        <w:t>，</w:t>
      </w:r>
      <w:bookmarkStart w:id="37" w:name="_Hlk190963354"/>
      <w:r>
        <w:rPr>
          <w:rFonts w:hint="eastAsia" w:ascii="Times New Roman" w:hAnsi="Times New Roman" w:eastAsia="仿宋_GB2312" w:cs="Times New Roman"/>
          <w:b/>
          <w:color w:val="000000"/>
          <w:sz w:val="32"/>
          <w:szCs w:val="32"/>
        </w:rPr>
        <w:t>“</w:t>
      </w:r>
      <w:r>
        <w:rPr>
          <w:rFonts w:ascii="Times New Roman" w:hAnsi="Times New Roman" w:eastAsia="仿宋_GB2312" w:cs="Times New Roman"/>
          <w:b/>
          <w:color w:val="000000"/>
          <w:sz w:val="32"/>
          <w:szCs w:val="32"/>
          <w:lang w:eastAsia="zh-Hans"/>
        </w:rPr>
        <w:t>国家级金融产业示范区</w:t>
      </w:r>
      <w:r>
        <w:rPr>
          <w:rFonts w:hint="eastAsia" w:ascii="Times New Roman" w:hAnsi="Times New Roman" w:eastAsia="仿宋_GB2312" w:cs="Times New Roman"/>
          <w:b/>
          <w:color w:val="000000"/>
          <w:sz w:val="32"/>
          <w:szCs w:val="32"/>
        </w:rPr>
        <w:t>”</w:t>
      </w:r>
      <w:r>
        <w:rPr>
          <w:rFonts w:hint="eastAsia" w:ascii="Times New Roman" w:hAnsi="Times New Roman" w:eastAsia="仿宋_GB2312" w:cs="Times New Roman"/>
          <w:b/>
          <w:color w:val="000000"/>
          <w:sz w:val="32"/>
          <w:szCs w:val="32"/>
          <w:lang w:eastAsia="zh-Hans"/>
        </w:rPr>
        <w:t>基本建成</w:t>
      </w:r>
      <w:r>
        <w:rPr>
          <w:rFonts w:hint="eastAsia" w:ascii="Times New Roman" w:hAnsi="Times New Roman" w:eastAsia="仿宋_GB2312" w:cs="Times New Roman"/>
          <w:b/>
          <w:color w:val="000000"/>
          <w:sz w:val="32"/>
          <w:szCs w:val="32"/>
        </w:rPr>
        <w:t>。</w:t>
      </w:r>
      <w:r>
        <w:rPr>
          <w:rFonts w:ascii="Times New Roman" w:hAnsi="Times New Roman" w:eastAsia="仿宋_GB2312"/>
          <w:b/>
          <w:color w:val="000000"/>
          <w:sz w:val="32"/>
          <w:szCs w:val="32"/>
          <w:lang w:eastAsia="zh-Hans"/>
        </w:rPr>
        <w:t>产业</w:t>
      </w:r>
      <w:r>
        <w:rPr>
          <w:rFonts w:hint="eastAsia" w:ascii="Times New Roman" w:hAnsi="Times New Roman" w:eastAsia="仿宋_GB2312"/>
          <w:b/>
          <w:color w:val="000000"/>
          <w:sz w:val="32"/>
          <w:szCs w:val="32"/>
          <w:lang w:eastAsia="zh-Hans"/>
        </w:rPr>
        <w:t>总体实力</w:t>
      </w:r>
      <w:r>
        <w:rPr>
          <w:rFonts w:ascii="Times New Roman" w:hAnsi="Times New Roman" w:eastAsia="仿宋_GB2312"/>
          <w:b/>
          <w:color w:val="000000"/>
          <w:sz w:val="32"/>
          <w:szCs w:val="32"/>
          <w:lang w:eastAsia="zh-Hans"/>
        </w:rPr>
        <w:t>迈上新台阶</w:t>
      </w:r>
      <w:r>
        <w:rPr>
          <w:rFonts w:hint="eastAsia" w:ascii="Times New Roman" w:hAnsi="Times New Roman" w:eastAsia="仿宋_GB2312"/>
          <w:b/>
          <w:color w:val="000000"/>
          <w:sz w:val="32"/>
          <w:szCs w:val="32"/>
        </w:rPr>
        <w:t>，</w:t>
      </w:r>
      <w:r>
        <w:rPr>
          <w:rFonts w:hint="eastAsia" w:ascii="Times New Roman" w:hAnsi="Times New Roman" w:eastAsia="仿宋_GB2312" w:cs="Times New Roman"/>
          <w:color w:val="000000"/>
          <w:sz w:val="32"/>
          <w:szCs w:val="36"/>
        </w:rPr>
        <w:t>产业结构进一步优化，特色领域高端资源要素加快集聚，现代金融机构数量突破400家</w:t>
      </w:r>
      <w:r>
        <w:rPr>
          <w:rFonts w:hint="eastAsia" w:ascii="Times New Roman" w:hAnsi="Times New Roman" w:eastAsia="仿宋_GB2312" w:cs="Times New Roman"/>
          <w:color w:val="auto"/>
          <w:sz w:val="32"/>
          <w:szCs w:val="36"/>
        </w:rPr>
        <w:t>。</w:t>
      </w:r>
      <w:r>
        <w:rPr>
          <w:rFonts w:hint="eastAsia" w:ascii="Times New Roman" w:hAnsi="Times New Roman" w:eastAsia="仿宋_GB2312" w:cs="Times New Roman"/>
          <w:b/>
          <w:bCs/>
          <w:color w:val="000000"/>
          <w:sz w:val="32"/>
          <w:szCs w:val="36"/>
        </w:rPr>
        <w:t>服务实体经济实现新突破</w:t>
      </w:r>
      <w:r>
        <w:rPr>
          <w:rFonts w:hint="eastAsia" w:ascii="Times New Roman" w:hAnsi="Times New Roman" w:eastAsia="仿宋_GB2312" w:cs="Times New Roman"/>
          <w:color w:val="000000"/>
          <w:sz w:val="32"/>
          <w:szCs w:val="36"/>
        </w:rPr>
        <w:t>，</w:t>
      </w:r>
      <w:r>
        <w:rPr>
          <w:rFonts w:hint="eastAsia" w:ascii="Times New Roman" w:hAnsi="Times New Roman" w:eastAsia="仿宋_GB2312" w:cs="Times New Roman"/>
          <w:bCs/>
          <w:color w:val="000000"/>
          <w:sz w:val="32"/>
          <w:szCs w:val="32"/>
        </w:rPr>
        <w:t>金融“</w:t>
      </w:r>
      <w:r>
        <w:rPr>
          <w:rFonts w:ascii="Times New Roman" w:hAnsi="Times New Roman" w:eastAsia="仿宋_GB2312" w:cs="Times New Roman"/>
          <w:bCs/>
          <w:color w:val="000000"/>
          <w:sz w:val="32"/>
          <w:szCs w:val="32"/>
          <w:lang w:eastAsia="zh-Hans"/>
        </w:rPr>
        <w:t>五篇大文章</w:t>
      </w:r>
      <w:r>
        <w:rPr>
          <w:rFonts w:hint="eastAsia" w:ascii="Times New Roman" w:hAnsi="Times New Roman" w:eastAsia="仿宋_GB2312" w:cs="Times New Roman"/>
          <w:bCs/>
          <w:color w:val="000000"/>
          <w:sz w:val="32"/>
          <w:szCs w:val="32"/>
        </w:rPr>
        <w:t>”</w:t>
      </w:r>
      <w:r>
        <w:rPr>
          <w:rFonts w:hint="eastAsia" w:ascii="Times New Roman" w:hAnsi="Times New Roman" w:eastAsia="仿宋_GB2312" w:cs="Times New Roman"/>
          <w:bCs/>
          <w:color w:val="000000"/>
          <w:sz w:val="32"/>
          <w:szCs w:val="32"/>
          <w:lang w:eastAsia="zh-Hans"/>
        </w:rPr>
        <w:t>落地</w:t>
      </w:r>
      <w:r>
        <w:rPr>
          <w:rFonts w:hint="eastAsia" w:ascii="Times New Roman" w:hAnsi="Times New Roman" w:eastAsia="仿宋_GB2312" w:cs="Times New Roman"/>
          <w:bCs/>
          <w:color w:val="000000"/>
          <w:sz w:val="32"/>
          <w:szCs w:val="32"/>
        </w:rPr>
        <w:t>见效，形成</w:t>
      </w:r>
      <w:r>
        <w:rPr>
          <w:rFonts w:hint="eastAsia" w:ascii="Times New Roman" w:hAnsi="Times New Roman" w:eastAsia="仿宋_GB2312" w:cs="Times New Roman"/>
          <w:bCs/>
          <w:color w:val="000000"/>
          <w:sz w:val="32"/>
          <w:szCs w:val="32"/>
          <w:lang w:eastAsia="zh-Hans"/>
        </w:rPr>
        <w:t>一批在全市、全国具有示范意义的创新案例。</w:t>
      </w:r>
      <w:r>
        <w:rPr>
          <w:rFonts w:hint="eastAsia" w:ascii="Times New Roman" w:hAnsi="Times New Roman" w:eastAsia="仿宋_GB2312" w:cs="Times New Roman"/>
          <w:color w:val="000000"/>
          <w:sz w:val="32"/>
          <w:szCs w:val="36"/>
        </w:rPr>
        <w:t>科创金融改革试验区建设取得明显成效，</w:t>
      </w:r>
      <w:r>
        <w:rPr>
          <w:rFonts w:ascii="Times New Roman" w:hAnsi="Times New Roman" w:eastAsia="仿宋_GB2312" w:cs="Times New Roman"/>
          <w:bCs/>
          <w:color w:val="000000"/>
          <w:sz w:val="32"/>
          <w:szCs w:val="32"/>
          <w:lang w:eastAsia="zh-Hans"/>
        </w:rPr>
        <w:t>新增</w:t>
      </w:r>
      <w:r>
        <w:rPr>
          <w:rFonts w:hint="eastAsia" w:ascii="Times New Roman" w:hAnsi="Times New Roman" w:eastAsia="仿宋_GB2312" w:cs="Times New Roman"/>
          <w:bCs/>
          <w:color w:val="000000"/>
          <w:sz w:val="32"/>
          <w:szCs w:val="32"/>
          <w:lang w:eastAsia="zh-Hans"/>
        </w:rPr>
        <w:t>境内外</w:t>
      </w:r>
      <w:r>
        <w:rPr>
          <w:rFonts w:ascii="Times New Roman" w:hAnsi="Times New Roman" w:eastAsia="仿宋_GB2312" w:cs="Times New Roman"/>
          <w:bCs/>
          <w:color w:val="000000"/>
          <w:sz w:val="32"/>
          <w:szCs w:val="32"/>
          <w:lang w:eastAsia="zh-Hans"/>
        </w:rPr>
        <w:t>上市</w:t>
      </w:r>
      <w:r>
        <w:rPr>
          <w:rFonts w:hint="eastAsia" w:ascii="Times New Roman" w:hAnsi="Times New Roman" w:eastAsia="仿宋_GB2312" w:cs="Times New Roman"/>
          <w:bCs/>
          <w:color w:val="000000"/>
          <w:sz w:val="32"/>
          <w:szCs w:val="32"/>
        </w:rPr>
        <w:t>及</w:t>
      </w:r>
      <w:r>
        <w:rPr>
          <w:rFonts w:hint="eastAsia" w:ascii="Times New Roman" w:hAnsi="Times New Roman" w:eastAsia="仿宋_GB2312" w:cs="Times New Roman"/>
          <w:bCs/>
          <w:color w:val="000000"/>
          <w:sz w:val="32"/>
          <w:szCs w:val="32"/>
          <w:lang w:eastAsia="zh-Hans"/>
        </w:rPr>
        <w:t>新三板挂牌企业</w:t>
      </w:r>
      <w:r>
        <w:rPr>
          <w:rFonts w:ascii="Times New Roman" w:hAnsi="Times New Roman" w:eastAsia="仿宋_GB2312"/>
          <w:bCs/>
          <w:color w:val="000000"/>
          <w:sz w:val="32"/>
          <w:szCs w:val="32"/>
          <w:lang w:eastAsia="zh-Hans"/>
        </w:rPr>
        <w:t>不少于</w:t>
      </w:r>
      <w:r>
        <w:rPr>
          <w:rFonts w:hint="eastAsia" w:ascii="Times New Roman" w:hAnsi="Times New Roman" w:eastAsia="仿宋_GB2312" w:cs="Times New Roman"/>
          <w:bCs/>
          <w:color w:val="000000"/>
          <w:sz w:val="32"/>
          <w:szCs w:val="32"/>
          <w:lang w:val="en-US" w:eastAsia="zh-CN"/>
        </w:rPr>
        <w:t>5</w:t>
      </w:r>
      <w:r>
        <w:rPr>
          <w:rFonts w:ascii="Times New Roman" w:hAnsi="Times New Roman" w:eastAsia="仿宋_GB2312" w:cs="Times New Roman"/>
          <w:bCs/>
          <w:color w:val="000000"/>
          <w:sz w:val="32"/>
          <w:szCs w:val="32"/>
          <w:lang w:eastAsia="zh-Hans"/>
        </w:rPr>
        <w:t>家，</w:t>
      </w:r>
      <w:r>
        <w:rPr>
          <w:rFonts w:ascii="Times New Roman" w:hAnsi="Times New Roman" w:eastAsia="仿宋_GB2312" w:cs="Times New Roman"/>
          <w:bCs/>
          <w:color w:val="000000"/>
          <w:sz w:val="32"/>
          <w:szCs w:val="32"/>
          <w:highlight w:val="none"/>
          <w:lang w:eastAsia="zh-Hans"/>
        </w:rPr>
        <w:t>贷款余额年均增速不低于</w:t>
      </w:r>
      <w:r>
        <w:rPr>
          <w:rFonts w:hint="eastAsia" w:ascii="Times New Roman" w:hAnsi="Times New Roman" w:eastAsia="仿宋_GB2312" w:cs="Times New Roman"/>
          <w:bCs/>
          <w:color w:val="000000"/>
          <w:sz w:val="32"/>
          <w:szCs w:val="32"/>
          <w:highlight w:val="none"/>
          <w:lang w:eastAsia="zh-CN"/>
        </w:rPr>
        <w:t>1</w:t>
      </w:r>
      <w:r>
        <w:rPr>
          <w:rFonts w:hint="eastAsia" w:ascii="Times New Roman" w:hAnsi="Times New Roman" w:eastAsia="仿宋_GB2312" w:cs="Times New Roman"/>
          <w:bCs/>
          <w:color w:val="000000"/>
          <w:sz w:val="32"/>
          <w:szCs w:val="32"/>
          <w:highlight w:val="none"/>
          <w:lang w:val="en-US" w:eastAsia="zh-CN"/>
        </w:rPr>
        <w:t>0</w:t>
      </w:r>
      <w:r>
        <w:rPr>
          <w:rFonts w:ascii="Times New Roman" w:hAnsi="Times New Roman" w:eastAsia="仿宋_GB2312" w:cs="Times New Roman"/>
          <w:bCs/>
          <w:color w:val="000000"/>
          <w:sz w:val="32"/>
          <w:szCs w:val="32"/>
          <w:highlight w:val="none"/>
          <w:lang w:eastAsia="zh-Hans"/>
        </w:rPr>
        <w:t>%</w:t>
      </w:r>
      <w:r>
        <w:rPr>
          <w:rFonts w:hint="eastAsia" w:ascii="Times New Roman" w:hAnsi="Times New Roman" w:eastAsia="仿宋_GB2312" w:cs="Times New Roman"/>
          <w:bCs/>
          <w:color w:val="000000"/>
          <w:sz w:val="32"/>
          <w:szCs w:val="32"/>
          <w:highlight w:val="none"/>
          <w:lang w:eastAsia="zh-Hans"/>
        </w:rPr>
        <w:t>，普惠小微贷款年均增速不低于20%</w:t>
      </w:r>
      <w:r>
        <w:rPr>
          <w:rFonts w:ascii="Times New Roman" w:hAnsi="Times New Roman" w:eastAsia="仿宋_GB2312" w:cs="Times New Roman"/>
          <w:bCs/>
          <w:color w:val="000000"/>
          <w:sz w:val="32"/>
          <w:szCs w:val="32"/>
          <w:lang w:eastAsia="zh-Hans"/>
        </w:rPr>
        <w:t>。</w:t>
      </w:r>
      <w:r>
        <w:rPr>
          <w:rFonts w:hint="eastAsia" w:ascii="Times New Roman" w:hAnsi="Times New Roman" w:eastAsia="仿宋_GB2312" w:cs="Times New Roman"/>
          <w:b/>
          <w:bCs/>
          <w:color w:val="000000"/>
          <w:sz w:val="32"/>
          <w:szCs w:val="36"/>
        </w:rPr>
        <w:t>风险防范化解形成新格局，</w:t>
      </w:r>
      <w:r>
        <w:rPr>
          <w:rFonts w:hint="eastAsia" w:ascii="Times New Roman" w:hAnsi="Times New Roman" w:eastAsia="仿宋_GB2312" w:cs="Times New Roman"/>
          <w:color w:val="000000"/>
          <w:sz w:val="32"/>
          <w:szCs w:val="36"/>
        </w:rPr>
        <w:t>地方金融监管能力明显提升，金融纠纷多元调解体系高效运转，金融风险防控的精准性、协同性显著增强。</w:t>
      </w:r>
    </w:p>
    <w:p w14:paraId="5B260904">
      <w:pPr>
        <w:spacing w:after="0" w:line="560" w:lineRule="exact"/>
        <w:ind w:firstLine="640" w:firstLineChars="200"/>
        <w:textAlignment w:val="center"/>
        <w:outlineLvl w:val="1"/>
        <w:rPr>
          <w:rFonts w:ascii="Times New Roman" w:hAnsi="Times New Roman" w:eastAsia="楷体_GB2312" w:cs="Times New Roman"/>
          <w:b w:val="0"/>
          <w:bCs w:val="0"/>
          <w:color w:val="000000"/>
          <w:sz w:val="32"/>
          <w:szCs w:val="36"/>
        </w:rPr>
      </w:pPr>
      <w:bookmarkStart w:id="38" w:name="_Toc31576"/>
      <w:bookmarkStart w:id="39" w:name="_Toc26532"/>
      <w:bookmarkStart w:id="40" w:name="_Toc214375918"/>
      <w:bookmarkStart w:id="41" w:name="_Toc2030723838"/>
      <w:bookmarkStart w:id="42" w:name="_Toc1496604767"/>
      <w:bookmarkStart w:id="43" w:name="_Toc22136"/>
      <w:bookmarkStart w:id="44" w:name="_Toc24097"/>
      <w:bookmarkStart w:id="45" w:name="_Toc23599"/>
      <w:r>
        <w:rPr>
          <w:rFonts w:hint="eastAsia" w:ascii="Times New Roman" w:hAnsi="Times New Roman" w:eastAsia="楷体_GB2312" w:cs="Times New Roman"/>
          <w:b w:val="0"/>
          <w:bCs w:val="0"/>
          <w:color w:val="000000"/>
          <w:sz w:val="32"/>
          <w:szCs w:val="36"/>
        </w:rPr>
        <w:t>（</w:t>
      </w:r>
      <w:r>
        <w:rPr>
          <w:rFonts w:hint="eastAsia" w:ascii="Times New Roman" w:hAnsi="Times New Roman" w:eastAsia="楷体_GB2312" w:cs="Times New Roman"/>
          <w:b w:val="0"/>
          <w:bCs w:val="0"/>
          <w:color w:val="000000"/>
          <w:sz w:val="32"/>
          <w:szCs w:val="36"/>
          <w:lang w:val="en-US" w:eastAsia="zh-CN"/>
        </w:rPr>
        <w:t>三</w:t>
      </w:r>
      <w:r>
        <w:rPr>
          <w:rFonts w:hint="eastAsia" w:ascii="Times New Roman" w:hAnsi="Times New Roman" w:eastAsia="楷体_GB2312" w:cs="Times New Roman"/>
          <w:b w:val="0"/>
          <w:bCs w:val="0"/>
          <w:color w:val="000000"/>
          <w:sz w:val="32"/>
          <w:szCs w:val="36"/>
        </w:rPr>
        <w:t>）空间布局</w:t>
      </w:r>
      <w:bookmarkEnd w:id="38"/>
      <w:bookmarkEnd w:id="39"/>
      <w:bookmarkEnd w:id="40"/>
      <w:bookmarkEnd w:id="41"/>
      <w:bookmarkEnd w:id="42"/>
      <w:bookmarkEnd w:id="43"/>
      <w:bookmarkEnd w:id="44"/>
      <w:bookmarkEnd w:id="45"/>
    </w:p>
    <w:p w14:paraId="4938DBE5">
      <w:pPr>
        <w:spacing w:after="0" w:line="560" w:lineRule="exact"/>
        <w:ind w:firstLine="640" w:firstLineChars="200"/>
        <w:textAlignment w:val="center"/>
        <w:rPr>
          <w:rFonts w:ascii="Times New Roman" w:hAnsi="Times New Roman" w:eastAsia="仿宋_GB2312"/>
          <w:color w:val="000000"/>
          <w:sz w:val="32"/>
          <w:szCs w:val="36"/>
        </w:rPr>
      </w:pPr>
      <w:r>
        <w:rPr>
          <w:rFonts w:hint="eastAsia" w:ascii="Times New Roman" w:hAnsi="Times New Roman" w:eastAsia="仿宋_GB2312" w:cs="Times New Roman"/>
          <w:color w:val="000000"/>
          <w:sz w:val="32"/>
          <w:szCs w:val="36"/>
        </w:rPr>
        <w:t>坚持空间统筹、</w:t>
      </w:r>
      <w:r>
        <w:rPr>
          <w:rFonts w:hint="default" w:ascii="Times New Roman" w:hAnsi="Times New Roman" w:eastAsia="仿宋_GB2312" w:cs="Times New Roman"/>
          <w:bCs/>
          <w:color w:val="000000"/>
          <w:sz w:val="32"/>
          <w:szCs w:val="32"/>
          <w:lang w:eastAsia="zh-Hans"/>
        </w:rPr>
        <w:t>功能</w:t>
      </w:r>
      <w:r>
        <w:rPr>
          <w:rFonts w:hint="eastAsia" w:ascii="Times New Roman" w:hAnsi="Times New Roman" w:eastAsia="仿宋_GB2312" w:cs="Times New Roman"/>
          <w:color w:val="000000"/>
          <w:sz w:val="32"/>
          <w:szCs w:val="36"/>
        </w:rPr>
        <w:t>互补、特色发展，</w:t>
      </w:r>
      <w:r>
        <w:rPr>
          <w:rFonts w:hint="eastAsia" w:ascii="Times New Roman" w:hAnsi="Times New Roman" w:eastAsia="仿宋_GB2312"/>
          <w:color w:val="000000"/>
          <w:sz w:val="32"/>
          <w:szCs w:val="36"/>
        </w:rPr>
        <w:t>持续优化提升“一园一轴”现代金融产业发展空间格局。</w:t>
      </w:r>
    </w:p>
    <w:p w14:paraId="6B81B6A2">
      <w:pPr>
        <w:spacing w:after="0" w:line="560" w:lineRule="exact"/>
        <w:ind w:firstLine="643" w:firstLineChars="200"/>
        <w:textAlignment w:val="center"/>
        <w:rPr>
          <w:rFonts w:hint="eastAsia" w:ascii="Times New Roman" w:hAnsi="Times New Roman" w:eastAsia="仿宋_GB2312" w:cs="Times New Roman"/>
          <w:color w:val="000000"/>
          <w:sz w:val="32"/>
          <w:szCs w:val="36"/>
        </w:rPr>
      </w:pPr>
      <w:r>
        <w:rPr>
          <w:rFonts w:hint="eastAsia" w:ascii="Times New Roman" w:hAnsi="Times New Roman" w:eastAsia="仿宋_GB2312" w:cs="Times New Roman"/>
          <w:b/>
          <w:bCs/>
          <w:color w:val="000000"/>
          <w:sz w:val="32"/>
          <w:szCs w:val="36"/>
        </w:rPr>
        <w:t>一园：</w:t>
      </w:r>
      <w:bookmarkStart w:id="46" w:name="OLE_LINK4"/>
      <w:r>
        <w:rPr>
          <w:rFonts w:hint="eastAsia" w:ascii="Times New Roman" w:hAnsi="Times New Roman" w:eastAsia="仿宋_GB2312" w:cs="Times New Roman"/>
          <w:b/>
          <w:bCs/>
          <w:color w:val="000000"/>
          <w:sz w:val="32"/>
          <w:szCs w:val="36"/>
        </w:rPr>
        <w:t>北京·银行保险产业园。</w:t>
      </w:r>
      <w:r>
        <w:rPr>
          <w:rFonts w:hint="eastAsia" w:ascii="Times New Roman" w:hAnsi="Times New Roman" w:eastAsia="仿宋_GB2312" w:cs="Times New Roman"/>
          <w:color w:val="000000"/>
          <w:sz w:val="32"/>
          <w:szCs w:val="36"/>
        </w:rPr>
        <w:t>以国家级金融产业示范区建设为引领，探索开展金融“小切口”改革试点，</w:t>
      </w:r>
      <w:r>
        <w:rPr>
          <w:rFonts w:hint="eastAsia" w:ascii="Times New Roman" w:hAnsi="Times New Roman" w:eastAsia="仿宋_GB2312"/>
          <w:color w:val="000000"/>
          <w:sz w:val="32"/>
          <w:szCs w:val="36"/>
        </w:rPr>
        <w:t>加快推进数字金融港、</w:t>
      </w:r>
      <w:r>
        <w:rPr>
          <w:rFonts w:hint="eastAsia" w:ascii="仿宋_GB2312" w:hAnsi="Calibri" w:eastAsia="仿宋_GB2312" w:cs="Times New Roman"/>
          <w:sz w:val="32"/>
          <w:szCs w:val="32"/>
        </w:rPr>
        <w:t>中央财经大学</w:t>
      </w:r>
      <w:r>
        <w:rPr>
          <w:rFonts w:hint="eastAsia" w:ascii="Times New Roman" w:hAnsi="Times New Roman" w:eastAsia="仿宋_GB2312"/>
          <w:color w:val="000000"/>
          <w:sz w:val="32"/>
          <w:szCs w:val="36"/>
        </w:rPr>
        <w:t>西山校区等重大项目建设，打造保险创新试验区、京西数字金融新增长极</w:t>
      </w:r>
      <w:bookmarkStart w:id="47" w:name="OLE_LINK1"/>
      <w:r>
        <w:rPr>
          <w:rFonts w:hint="eastAsia" w:ascii="Times New Roman" w:hAnsi="Times New Roman" w:eastAsia="仿宋_GB2312"/>
          <w:color w:val="000000"/>
          <w:sz w:val="32"/>
          <w:szCs w:val="36"/>
          <w:lang w:eastAsia="zh-CN"/>
        </w:rPr>
        <w:t>，</w:t>
      </w:r>
      <w:r>
        <w:rPr>
          <w:rFonts w:hint="eastAsia" w:ascii="Times New Roman" w:hAnsi="Times New Roman" w:eastAsia="仿宋_GB2312"/>
          <w:color w:val="000000"/>
          <w:sz w:val="32"/>
          <w:szCs w:val="36"/>
          <w:lang w:val="en-US" w:eastAsia="zh-CN"/>
        </w:rPr>
        <w:t>到</w:t>
      </w:r>
      <w:r>
        <w:rPr>
          <w:rFonts w:hint="eastAsia" w:ascii="Times New Roman" w:hAnsi="Times New Roman" w:eastAsia="仿宋_GB2312" w:cs="Times New Roman"/>
          <w:color w:val="000000"/>
          <w:sz w:val="32"/>
          <w:szCs w:val="36"/>
        </w:rPr>
        <w:t>2030年</w:t>
      </w:r>
      <w:bookmarkEnd w:id="47"/>
      <w:r>
        <w:rPr>
          <w:rFonts w:hint="eastAsia" w:ascii="Times New Roman" w:hAnsi="Times New Roman" w:eastAsia="仿宋_GB2312" w:cs="Times New Roman"/>
          <w:color w:val="000000"/>
          <w:sz w:val="32"/>
          <w:szCs w:val="36"/>
        </w:rPr>
        <w:t>全面完成园区开发建设</w:t>
      </w:r>
      <w:r>
        <w:rPr>
          <w:rFonts w:hint="eastAsia" w:ascii="Times New Roman" w:hAnsi="Times New Roman" w:eastAsia="仿宋_GB2312" w:cs="Times New Roman"/>
          <w:color w:val="000000"/>
          <w:sz w:val="32"/>
          <w:szCs w:val="36"/>
          <w:lang w:eastAsia="zh-CN"/>
        </w:rPr>
        <w:t>，</w:t>
      </w:r>
      <w:r>
        <w:rPr>
          <w:rFonts w:hint="eastAsia" w:ascii="Times New Roman" w:hAnsi="Times New Roman" w:eastAsia="仿宋_GB2312" w:cs="Times New Roman"/>
          <w:color w:val="000000"/>
          <w:sz w:val="32"/>
          <w:szCs w:val="36"/>
        </w:rPr>
        <w:t>基本建成首都新金融产业高地。</w:t>
      </w:r>
    </w:p>
    <w:bookmarkEnd w:id="46"/>
    <w:p w14:paraId="2B382476">
      <w:pPr>
        <w:spacing w:after="0" w:line="560" w:lineRule="exact"/>
        <w:ind w:firstLine="643" w:firstLineChars="200"/>
        <w:textAlignment w:val="center"/>
        <w:rPr>
          <w:rFonts w:ascii="Times New Roman" w:hAnsi="Times New Roman" w:eastAsia="仿宋_GB2312"/>
          <w:sz w:val="32"/>
          <w:szCs w:val="36"/>
        </w:rPr>
      </w:pPr>
      <w:r>
        <w:rPr>
          <w:rFonts w:hint="eastAsia" w:ascii="Times New Roman" w:hAnsi="Times New Roman" w:eastAsia="仿宋_GB2312" w:cs="Times New Roman"/>
          <w:b/>
          <w:bCs/>
          <w:color w:val="000000"/>
          <w:sz w:val="32"/>
          <w:szCs w:val="36"/>
        </w:rPr>
        <w:t>一轴：长安金轴。</w:t>
      </w:r>
      <w:r>
        <w:rPr>
          <w:rFonts w:hint="eastAsia" w:ascii="Times New Roman" w:hAnsi="Times New Roman" w:eastAsia="仿宋_GB2312" w:cs="Times New Roman"/>
          <w:b w:val="0"/>
          <w:bCs w:val="0"/>
          <w:color w:val="000000"/>
          <w:sz w:val="32"/>
          <w:szCs w:val="36"/>
        </w:rPr>
        <w:t>充分发挥长安街西延线独特的区位优势和金融机构集聚优势，</w:t>
      </w:r>
      <w:r>
        <w:rPr>
          <w:rFonts w:hint="eastAsia" w:ascii="Times New Roman" w:hAnsi="Times New Roman" w:eastAsia="仿宋_GB2312"/>
          <w:color w:val="000000"/>
          <w:sz w:val="32"/>
          <w:szCs w:val="36"/>
        </w:rPr>
        <w:t>依托中汇人寿广场、</w:t>
      </w:r>
      <w:r>
        <w:rPr>
          <w:rFonts w:hint="eastAsia" w:ascii="Times New Roman" w:hAnsi="Times New Roman" w:eastAsia="仿宋_GB2312"/>
          <w:sz w:val="32"/>
          <w:szCs w:val="36"/>
        </w:rPr>
        <w:t>华夏数字科技大厦</w:t>
      </w:r>
      <w:r>
        <w:rPr>
          <w:rFonts w:hint="eastAsia" w:ascii="Times New Roman" w:hAnsi="Times New Roman" w:eastAsia="仿宋_GB2312"/>
          <w:color w:val="000000"/>
          <w:sz w:val="32"/>
          <w:szCs w:val="36"/>
        </w:rPr>
        <w:t>等载体，做强消费金融、大资管等业态。强化与首钢园等周边区域的联动，打造成为彰显首都金融活力、引领京西消费升级的“含金量”发展轴。</w:t>
      </w:r>
    </w:p>
    <w:bookmarkEnd w:id="37"/>
    <w:p w14:paraId="2FE73F12">
      <w:pPr>
        <w:spacing w:after="0" w:line="560" w:lineRule="exact"/>
        <w:ind w:firstLine="640" w:firstLineChars="200"/>
        <w:textAlignment w:val="center"/>
        <w:outlineLvl w:val="0"/>
        <w:rPr>
          <w:rFonts w:hint="eastAsia" w:ascii="Times New Roman" w:hAnsi="Times New Roman" w:eastAsia="黑体" w:cs="Times New Roman"/>
          <w:b w:val="0"/>
          <w:bCs w:val="0"/>
          <w:sz w:val="32"/>
          <w:szCs w:val="32"/>
        </w:rPr>
      </w:pPr>
      <w:bookmarkStart w:id="48" w:name="_Toc2736"/>
      <w:bookmarkStart w:id="49" w:name="_Toc1320814493"/>
      <w:bookmarkStart w:id="50" w:name="_Toc6877"/>
      <w:bookmarkStart w:id="51" w:name="_Toc229584310"/>
      <w:bookmarkStart w:id="52" w:name="_Toc214375919"/>
      <w:bookmarkStart w:id="53" w:name="_Toc27307"/>
      <w:bookmarkStart w:id="54" w:name="_Toc185959543"/>
      <w:bookmarkStart w:id="55" w:name="_Toc254915673"/>
      <w:bookmarkStart w:id="56" w:name="_Toc7786"/>
      <w:bookmarkStart w:id="57" w:name="_Toc31868"/>
      <w:r>
        <w:rPr>
          <w:rFonts w:hint="eastAsia" w:ascii="Times New Roman" w:hAnsi="Times New Roman" w:eastAsia="黑体" w:cs="Times New Roman"/>
          <w:sz w:val="32"/>
          <w:szCs w:val="32"/>
          <w:lang w:val="en-US" w:eastAsia="zh-CN"/>
        </w:rPr>
        <w:t>二</w:t>
      </w:r>
      <w:r>
        <w:rPr>
          <w:rFonts w:hint="eastAsia" w:ascii="Times New Roman" w:hAnsi="Times New Roman" w:eastAsia="黑体" w:cs="Times New Roman"/>
          <w:sz w:val="32"/>
          <w:szCs w:val="32"/>
        </w:rPr>
        <w:t>、</w:t>
      </w:r>
      <w:bookmarkEnd w:id="48"/>
      <w:bookmarkEnd w:id="49"/>
      <w:bookmarkEnd w:id="50"/>
      <w:bookmarkEnd w:id="51"/>
      <w:bookmarkEnd w:id="52"/>
      <w:bookmarkEnd w:id="53"/>
      <w:bookmarkEnd w:id="54"/>
      <w:bookmarkEnd w:id="55"/>
      <w:bookmarkEnd w:id="56"/>
      <w:bookmarkEnd w:id="57"/>
      <w:bookmarkStart w:id="58" w:name="_Toc3677"/>
      <w:bookmarkStart w:id="59" w:name="_Toc214375921"/>
      <w:bookmarkStart w:id="60" w:name="_Toc1661906881"/>
      <w:bookmarkStart w:id="61" w:name="_Toc12957"/>
      <w:bookmarkStart w:id="62" w:name="_Toc52678365"/>
      <w:bookmarkStart w:id="63" w:name="_Toc18738"/>
      <w:bookmarkStart w:id="64" w:name="_Toc9537"/>
      <w:bookmarkStart w:id="65" w:name="_Toc3367"/>
      <w:bookmarkStart w:id="66" w:name="_Toc185959544"/>
      <w:r>
        <w:rPr>
          <w:rFonts w:hint="eastAsia" w:ascii="Times New Roman" w:hAnsi="Times New Roman" w:eastAsia="黑体" w:cs="Times New Roman"/>
          <w:b w:val="0"/>
          <w:bCs w:val="0"/>
          <w:sz w:val="32"/>
          <w:szCs w:val="32"/>
        </w:rPr>
        <w:t>加快现代金融产业高质量发展</w:t>
      </w:r>
      <w:bookmarkEnd w:id="58"/>
      <w:bookmarkEnd w:id="59"/>
      <w:bookmarkEnd w:id="60"/>
      <w:bookmarkEnd w:id="61"/>
      <w:bookmarkEnd w:id="62"/>
      <w:bookmarkEnd w:id="63"/>
      <w:bookmarkEnd w:id="64"/>
    </w:p>
    <w:bookmarkEnd w:id="65"/>
    <w:p w14:paraId="11FB8B16">
      <w:pPr>
        <w:spacing w:after="0" w:line="560" w:lineRule="exact"/>
        <w:ind w:firstLine="640" w:firstLineChars="200"/>
        <w:textAlignment w:val="center"/>
        <w:outlineLvl w:val="1"/>
        <w:rPr>
          <w:rFonts w:hint="eastAsia" w:ascii="Times New Roman" w:hAnsi="Times New Roman" w:eastAsia="楷体_GB2312" w:cs="Times New Roman"/>
          <w:b w:val="0"/>
          <w:bCs w:val="0"/>
          <w:color w:val="000000"/>
          <w:sz w:val="32"/>
          <w:szCs w:val="36"/>
        </w:rPr>
      </w:pPr>
      <w:bookmarkStart w:id="67" w:name="_Toc22268"/>
      <w:bookmarkStart w:id="68" w:name="_Toc7290"/>
      <w:r>
        <w:rPr>
          <w:rFonts w:hint="eastAsia" w:ascii="Times New Roman" w:hAnsi="Times New Roman" w:eastAsia="楷体_GB2312" w:cs="Times New Roman"/>
          <w:b w:val="0"/>
          <w:bCs w:val="0"/>
          <w:color w:val="000000"/>
          <w:sz w:val="32"/>
          <w:szCs w:val="36"/>
          <w:lang w:eastAsia="zh-CN"/>
        </w:rPr>
        <w:t>（</w:t>
      </w:r>
      <w:r>
        <w:rPr>
          <w:rFonts w:hint="eastAsia" w:ascii="Times New Roman" w:hAnsi="Times New Roman" w:eastAsia="楷体_GB2312" w:cs="Times New Roman"/>
          <w:b w:val="0"/>
          <w:bCs w:val="0"/>
          <w:color w:val="000000"/>
          <w:sz w:val="32"/>
          <w:szCs w:val="36"/>
          <w:lang w:val="en-US" w:eastAsia="zh-CN"/>
        </w:rPr>
        <w:t>一</w:t>
      </w:r>
      <w:r>
        <w:rPr>
          <w:rFonts w:hint="eastAsia" w:ascii="Times New Roman" w:hAnsi="Times New Roman" w:eastAsia="楷体_GB2312" w:cs="Times New Roman"/>
          <w:b w:val="0"/>
          <w:bCs w:val="0"/>
          <w:color w:val="000000"/>
          <w:sz w:val="32"/>
          <w:szCs w:val="36"/>
          <w:lang w:eastAsia="zh-CN"/>
        </w:rPr>
        <w:t>）</w:t>
      </w:r>
      <w:r>
        <w:rPr>
          <w:rFonts w:hint="eastAsia" w:ascii="Times New Roman" w:hAnsi="Times New Roman" w:eastAsia="楷体_GB2312" w:cs="Times New Roman"/>
          <w:b w:val="0"/>
          <w:bCs w:val="0"/>
          <w:color w:val="000000"/>
          <w:sz w:val="32"/>
          <w:szCs w:val="36"/>
        </w:rPr>
        <w:t>擦亮消费金融特色品牌</w:t>
      </w:r>
      <w:bookmarkEnd w:id="67"/>
      <w:bookmarkEnd w:id="68"/>
    </w:p>
    <w:p w14:paraId="2DB438C7">
      <w:pPr>
        <w:spacing w:after="0" w:line="560" w:lineRule="exact"/>
        <w:ind w:firstLine="640" w:firstLineChars="200"/>
        <w:textAlignment w:val="center"/>
        <w:rPr>
          <w:rFonts w:hint="eastAsia" w:ascii="Times New Roman" w:hAnsi="Times New Roman" w:eastAsia="仿宋_GB2312"/>
          <w:color w:val="000000"/>
          <w:sz w:val="32"/>
          <w:szCs w:val="36"/>
        </w:rPr>
      </w:pPr>
      <w:r>
        <w:rPr>
          <w:rFonts w:hint="eastAsia" w:ascii="Times New Roman" w:hAnsi="Times New Roman" w:eastAsia="仿宋_GB2312" w:cs="Times New Roman"/>
          <w:color w:val="000000"/>
          <w:sz w:val="32"/>
          <w:szCs w:val="36"/>
        </w:rPr>
        <w:t>依托“长安金轴”实施补链延链计划，</w:t>
      </w:r>
      <w:r>
        <w:rPr>
          <w:rFonts w:hint="eastAsia" w:ascii="Times New Roman" w:hAnsi="Times New Roman" w:eastAsia="仿宋_GB2312" w:cs="Times New Roman"/>
          <w:color w:val="000000"/>
          <w:sz w:val="32"/>
          <w:szCs w:val="36"/>
          <w:lang w:eastAsia="zh-CN"/>
        </w:rPr>
        <w:t>吸引持牌</w:t>
      </w:r>
      <w:r>
        <w:rPr>
          <w:rFonts w:ascii="Times New Roman" w:hAnsi="Times New Roman" w:eastAsia="仿宋_GB2312"/>
          <w:color w:val="000000"/>
          <w:sz w:val="32"/>
          <w:szCs w:val="32"/>
          <w:lang w:eastAsia="zh-Hans"/>
        </w:rPr>
        <w:t>消费金融</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eastAsia="zh-Hans"/>
        </w:rPr>
        <w:t>互联网消费金融</w:t>
      </w:r>
      <w:r>
        <w:rPr>
          <w:rFonts w:hint="eastAsia" w:ascii="Times New Roman" w:hAnsi="Times New Roman" w:eastAsia="仿宋_GB2312"/>
          <w:color w:val="000000"/>
          <w:sz w:val="32"/>
          <w:szCs w:val="32"/>
          <w:lang w:eastAsia="zh-CN"/>
        </w:rPr>
        <w:t>平台、第三方支付等多元主体</w:t>
      </w:r>
      <w:r>
        <w:rPr>
          <w:rFonts w:ascii="Times New Roman" w:hAnsi="Times New Roman" w:eastAsia="仿宋_GB2312"/>
          <w:color w:val="000000"/>
          <w:sz w:val="32"/>
          <w:szCs w:val="32"/>
          <w:lang w:eastAsia="zh-Hans"/>
        </w:rPr>
        <w:t>落地</w:t>
      </w:r>
      <w:r>
        <w:rPr>
          <w:rFonts w:hint="eastAsia" w:ascii="Times New Roman" w:hAnsi="Times New Roman" w:eastAsia="仿宋_GB2312"/>
          <w:color w:val="000000"/>
          <w:sz w:val="32"/>
          <w:szCs w:val="32"/>
          <w:lang w:eastAsia="zh-CN"/>
        </w:rPr>
        <w:t>，</w:t>
      </w:r>
      <w:r>
        <w:rPr>
          <w:rFonts w:ascii="Times New Roman" w:hAnsi="Times New Roman" w:eastAsia="仿宋_GB2312"/>
          <w:color w:val="000000"/>
          <w:sz w:val="32"/>
          <w:szCs w:val="32"/>
          <w:lang w:eastAsia="zh-Hans"/>
        </w:rPr>
        <w:t>构建</w:t>
      </w:r>
      <w:r>
        <w:rPr>
          <w:rFonts w:hint="eastAsia" w:ascii="Times New Roman" w:hAnsi="Times New Roman" w:eastAsia="仿宋_GB2312"/>
          <w:color w:val="000000"/>
          <w:sz w:val="32"/>
          <w:szCs w:val="32"/>
          <w:lang w:val="en-US" w:eastAsia="zh-CN"/>
        </w:rPr>
        <w:t>消费金融促消费</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lang w:eastAsia="zh-Hans"/>
        </w:rPr>
        <w:t>数据-资金-场景</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lang w:eastAsia="zh-Hans"/>
        </w:rPr>
        <w:t>闭环</w:t>
      </w:r>
      <w:r>
        <w:rPr>
          <w:rFonts w:hint="eastAsia" w:ascii="Times New Roman" w:hAnsi="Times New Roman" w:eastAsia="仿宋_GB2312" w:cs="Times New Roman"/>
          <w:color w:val="000000"/>
          <w:sz w:val="32"/>
          <w:szCs w:val="36"/>
        </w:rPr>
        <w:t>。设立AI风控金融科技平台，</w:t>
      </w:r>
      <w:r>
        <w:rPr>
          <w:rFonts w:ascii="Times New Roman" w:hAnsi="Times New Roman" w:eastAsia="仿宋_GB2312" w:cs="Times New Roman"/>
          <w:color w:val="000000"/>
          <w:sz w:val="32"/>
          <w:szCs w:val="32"/>
          <w:lang w:eastAsia="zh-Hans"/>
        </w:rPr>
        <w:t>构建新市民信用评估体系</w:t>
      </w:r>
      <w:r>
        <w:rPr>
          <w:rFonts w:hint="eastAsia" w:ascii="Times New Roman" w:hAnsi="Times New Roman" w:eastAsia="仿宋_GB2312" w:cs="Times New Roman"/>
          <w:color w:val="000000"/>
          <w:sz w:val="32"/>
          <w:szCs w:val="32"/>
          <w:lang w:eastAsia="zh-Hans"/>
        </w:rPr>
        <w:t>。</w:t>
      </w:r>
      <w:r>
        <w:rPr>
          <w:rFonts w:ascii="Times New Roman" w:hAnsi="Times New Roman" w:eastAsia="仿宋_GB2312"/>
          <w:color w:val="000000"/>
          <w:sz w:val="32"/>
          <w:szCs w:val="32"/>
          <w:lang w:eastAsia="zh-Hans"/>
        </w:rPr>
        <w:t>推动</w:t>
      </w:r>
      <w:r>
        <w:rPr>
          <w:rFonts w:hint="eastAsia" w:ascii="Times New Roman" w:hAnsi="Times New Roman" w:eastAsia="仿宋_GB2312"/>
          <w:color w:val="000000"/>
          <w:sz w:val="32"/>
          <w:szCs w:val="32"/>
          <w:lang w:eastAsia="zh-CN"/>
        </w:rPr>
        <w:t>信用</w:t>
      </w:r>
      <w:r>
        <w:rPr>
          <w:rFonts w:ascii="Times New Roman" w:hAnsi="Times New Roman" w:eastAsia="仿宋_GB2312"/>
          <w:color w:val="000000"/>
          <w:sz w:val="32"/>
          <w:szCs w:val="32"/>
          <w:lang w:eastAsia="zh-Hans"/>
        </w:rPr>
        <w:t>卡中心联合成立</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lang w:eastAsia="zh-Hans"/>
        </w:rPr>
        <w:t>京西消费金融数据联盟</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lang w:eastAsia="zh-Hans"/>
        </w:rPr>
        <w:t>，在隐私计算框架下共享持卡人行为数据。</w:t>
      </w:r>
      <w:r>
        <w:rPr>
          <w:rFonts w:hint="eastAsia" w:ascii="Times New Roman" w:hAnsi="Times New Roman" w:eastAsia="仿宋_GB2312" w:cs="Times New Roman"/>
          <w:color w:val="000000"/>
          <w:sz w:val="32"/>
          <w:szCs w:val="32"/>
        </w:rPr>
        <w:t>聚焦北京国际消费中心城市首钢节点建设，</w:t>
      </w:r>
      <w:r>
        <w:rPr>
          <w:rFonts w:hint="eastAsia" w:ascii="Times New Roman" w:hAnsi="Times New Roman" w:eastAsia="仿宋_GB2312"/>
          <w:color w:val="000000"/>
          <w:sz w:val="32"/>
          <w:szCs w:val="36"/>
        </w:rPr>
        <w:t>探索多元化“消费金融促消费”新场景，</w:t>
      </w:r>
      <w:r>
        <w:rPr>
          <w:rFonts w:hint="eastAsia" w:ascii="Times New Roman" w:hAnsi="Times New Roman" w:eastAsia="仿宋_GB2312" w:cs="Times New Roman"/>
          <w:color w:val="000000"/>
          <w:sz w:val="32"/>
          <w:szCs w:val="32"/>
        </w:rPr>
        <w:t>创新推出“文旅贷”“文化消费贷”等产品，</w:t>
      </w:r>
      <w:r>
        <w:rPr>
          <w:rFonts w:hint="eastAsia" w:ascii="Times New Roman" w:hAnsi="Times New Roman" w:eastAsia="仿宋_GB2312"/>
          <w:color w:val="000000"/>
          <w:sz w:val="32"/>
          <w:szCs w:val="32"/>
          <w:lang w:eastAsia="zh-Hans"/>
        </w:rPr>
        <w:t>鼓励消费金融机构</w:t>
      </w:r>
      <w:r>
        <w:rPr>
          <w:rFonts w:hint="eastAsia" w:ascii="Times New Roman" w:hAnsi="Times New Roman" w:eastAsia="仿宋_GB2312"/>
          <w:color w:val="000000"/>
          <w:sz w:val="32"/>
          <w:szCs w:val="36"/>
        </w:rPr>
        <w:t>拓展</w:t>
      </w:r>
      <w:r>
        <w:rPr>
          <w:rFonts w:hint="eastAsia" w:ascii="Times New Roman" w:hAnsi="Times New Roman" w:eastAsia="仿宋_GB2312"/>
          <w:color w:val="000000"/>
          <w:sz w:val="32"/>
          <w:szCs w:val="36"/>
          <w:highlight w:val="none"/>
          <w:lang w:val="en-US" w:eastAsia="zh-CN"/>
        </w:rPr>
        <w:t>会展经济</w:t>
      </w:r>
      <w:r>
        <w:rPr>
          <w:rFonts w:hint="eastAsia" w:ascii="Times New Roman" w:hAnsi="Times New Roman" w:eastAsia="仿宋_GB2312"/>
          <w:color w:val="000000"/>
          <w:sz w:val="32"/>
          <w:szCs w:val="36"/>
        </w:rPr>
        <w:t>、冰雪</w:t>
      </w:r>
      <w:r>
        <w:rPr>
          <w:rFonts w:hint="eastAsia" w:ascii="Times New Roman" w:hAnsi="Times New Roman" w:eastAsia="仿宋_GB2312"/>
          <w:color w:val="000000"/>
          <w:sz w:val="32"/>
          <w:szCs w:val="36"/>
          <w:lang w:val="en-US" w:eastAsia="zh-CN"/>
        </w:rPr>
        <w:t>经济等新</w:t>
      </w:r>
      <w:r>
        <w:rPr>
          <w:rFonts w:hint="eastAsia" w:ascii="Times New Roman" w:hAnsi="Times New Roman" w:eastAsia="仿宋_GB2312"/>
          <w:color w:val="000000"/>
          <w:sz w:val="32"/>
          <w:szCs w:val="36"/>
        </w:rPr>
        <w:t>场景。</w:t>
      </w:r>
    </w:p>
    <w:p w14:paraId="7BD60C53">
      <w:pPr>
        <w:spacing w:after="0" w:line="560" w:lineRule="exact"/>
        <w:ind w:firstLine="640" w:firstLineChars="200"/>
        <w:textAlignment w:val="center"/>
        <w:outlineLvl w:val="1"/>
        <w:rPr>
          <w:rFonts w:hint="eastAsia" w:ascii="Times New Roman" w:hAnsi="Times New Roman" w:eastAsia="楷体_GB2312" w:cs="Times New Roman"/>
          <w:b w:val="0"/>
          <w:color w:val="000000"/>
          <w:sz w:val="32"/>
          <w:szCs w:val="36"/>
        </w:rPr>
      </w:pPr>
      <w:bookmarkStart w:id="69" w:name="_Toc29464"/>
      <w:bookmarkStart w:id="70" w:name="_Toc20349"/>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lang w:val="en-US" w:eastAsia="zh-CN"/>
        </w:rPr>
        <w:t>二</w:t>
      </w:r>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rPr>
        <w:t>打造“保险创新试验区”</w:t>
      </w:r>
      <w:bookmarkEnd w:id="69"/>
      <w:bookmarkEnd w:id="70"/>
    </w:p>
    <w:p w14:paraId="30EA8738">
      <w:pPr>
        <w:spacing w:after="0" w:line="560" w:lineRule="exact"/>
        <w:ind w:firstLine="640" w:firstLineChars="200"/>
        <w:textAlignment w:val="center"/>
        <w:rPr>
          <w:rFonts w:hint="eastAsia" w:ascii="Times New Roman" w:hAnsi="Times New Roman" w:eastAsia="仿宋_GB2312"/>
          <w:color w:val="000000"/>
          <w:sz w:val="32"/>
          <w:szCs w:val="32"/>
          <w:lang w:eastAsia="zh-CN"/>
        </w:rPr>
      </w:pPr>
      <w:r>
        <w:rPr>
          <w:rFonts w:hint="eastAsia" w:ascii="Times New Roman" w:hAnsi="Times New Roman" w:eastAsia="仿宋_GB2312" w:cs="Times New Roman"/>
          <w:b w:val="0"/>
          <w:bCs/>
          <w:sz w:val="32"/>
          <w:szCs w:val="22"/>
          <w:lang w:eastAsia="zh-CN"/>
        </w:rPr>
        <w:t>推动</w:t>
      </w:r>
      <w:r>
        <w:rPr>
          <w:rFonts w:hint="eastAsia" w:ascii="Times New Roman" w:hAnsi="Times New Roman" w:eastAsia="仿宋_GB2312" w:cs="宋体"/>
          <w:b w:val="0"/>
          <w:color w:val="000000"/>
          <w:sz w:val="32"/>
          <w:szCs w:val="32"/>
        </w:rPr>
        <w:t>北京·银行保险产业园</w:t>
      </w:r>
      <w:r>
        <w:rPr>
          <w:rFonts w:hint="eastAsia" w:ascii="Times New Roman" w:hAnsi="Times New Roman" w:eastAsia="仿宋_GB2312" w:cs="Times New Roman"/>
          <w:b w:val="0"/>
          <w:bCs/>
          <w:sz w:val="32"/>
          <w:szCs w:val="22"/>
        </w:rPr>
        <w:t>全面完成开发建设</w:t>
      </w:r>
      <w:r>
        <w:rPr>
          <w:rFonts w:hint="eastAsia" w:ascii="Times New Roman" w:hAnsi="Times New Roman" w:eastAsia="仿宋_GB2312" w:cs="Times New Roman"/>
          <w:b w:val="0"/>
          <w:bCs/>
          <w:sz w:val="32"/>
          <w:szCs w:val="22"/>
          <w:lang w:eastAsia="zh-CN"/>
        </w:rPr>
        <w:t>，</w:t>
      </w:r>
      <w:r>
        <w:rPr>
          <w:rFonts w:hint="eastAsia" w:ascii="Times New Roman" w:hAnsi="Times New Roman" w:eastAsia="仿宋_GB2312"/>
          <w:color w:val="000000"/>
          <w:sz w:val="32"/>
          <w:szCs w:val="32"/>
        </w:rPr>
        <w:t>加快保险科技、保险资管等创新业态培育，推动保险机构地区总部、保险资金运营板块、保险中介等核心资源集聚</w:t>
      </w:r>
      <w:r>
        <w:rPr>
          <w:rFonts w:hint="eastAsia" w:ascii="Times New Roman" w:hAnsi="Times New Roman" w:eastAsia="仿宋_GB2312"/>
          <w:color w:val="000000"/>
          <w:sz w:val="32"/>
          <w:szCs w:val="32"/>
          <w:lang w:val="en-US" w:eastAsia="zh-CN"/>
        </w:rPr>
        <w:t>落地</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6"/>
        </w:rPr>
        <w:t>支持保险公司及保险资产管理公司参与保险资金长期投资改革试点，鼓励引导保险资金开展长期权益投资，</w:t>
      </w:r>
      <w:r>
        <w:rPr>
          <w:rFonts w:hint="eastAsia" w:ascii="Times New Roman" w:hAnsi="Times New Roman" w:eastAsia="仿宋_GB2312"/>
          <w:color w:val="000000"/>
          <w:sz w:val="32"/>
          <w:szCs w:val="32"/>
        </w:rPr>
        <w:t>推进保险</w:t>
      </w:r>
      <w:r>
        <w:rPr>
          <w:rFonts w:hint="eastAsia" w:ascii="Times New Roman" w:hAnsi="Times New Roman" w:eastAsia="仿宋_GB2312"/>
          <w:color w:val="000000"/>
          <w:sz w:val="32"/>
          <w:szCs w:val="32"/>
          <w:lang w:val="en-US" w:eastAsia="zh-CN"/>
        </w:rPr>
        <w:t>系</w:t>
      </w:r>
      <w:r>
        <w:rPr>
          <w:rFonts w:hint="eastAsia" w:ascii="Times New Roman" w:hAnsi="Times New Roman" w:eastAsia="仿宋_GB2312"/>
          <w:color w:val="000000"/>
          <w:sz w:val="32"/>
          <w:szCs w:val="32"/>
        </w:rPr>
        <w:t>私募证券基金公司落地。</w:t>
      </w:r>
      <w:r>
        <w:rPr>
          <w:rFonts w:hint="eastAsia" w:ascii="Times New Roman" w:hAnsi="Times New Roman" w:eastAsia="仿宋_GB2312" w:cs="Times New Roman"/>
          <w:color w:val="000000"/>
          <w:sz w:val="32"/>
          <w:szCs w:val="36"/>
        </w:rPr>
        <w:t>开展全国保险行业数据治理和标准化试点，</w:t>
      </w:r>
      <w:r>
        <w:rPr>
          <w:rFonts w:hint="eastAsia" w:ascii="Times New Roman" w:hAnsi="Times New Roman" w:eastAsia="仿宋_GB2312" w:cs="Times New Roman"/>
          <w:color w:val="000000"/>
          <w:sz w:val="32"/>
          <w:szCs w:val="36"/>
          <w:lang w:val="en-US" w:eastAsia="zh-CN"/>
        </w:rPr>
        <w:t>探索</w:t>
      </w:r>
      <w:r>
        <w:rPr>
          <w:rFonts w:hint="eastAsia" w:ascii="Times New Roman" w:hAnsi="Times New Roman" w:eastAsia="仿宋_GB2312" w:cs="Times New Roman"/>
          <w:color w:val="000000"/>
          <w:sz w:val="32"/>
          <w:szCs w:val="36"/>
        </w:rPr>
        <w:t>建设商业健康保险与医保数据信息共享专区，</w:t>
      </w:r>
      <w:r>
        <w:rPr>
          <w:rFonts w:hint="eastAsia" w:ascii="Times New Roman" w:hAnsi="Times New Roman" w:eastAsia="仿宋_GB2312"/>
          <w:color w:val="000000"/>
          <w:sz w:val="32"/>
          <w:szCs w:val="32"/>
          <w:lang w:val="en-US" w:eastAsia="zh-CN"/>
        </w:rPr>
        <w:t>建立</w:t>
      </w:r>
      <w:r>
        <w:rPr>
          <w:rFonts w:ascii="Times New Roman" w:hAnsi="Times New Roman" w:eastAsia="仿宋_GB2312"/>
          <w:color w:val="000000"/>
          <w:sz w:val="32"/>
          <w:szCs w:val="32"/>
          <w:lang w:eastAsia="zh-Hans"/>
        </w:rPr>
        <w:t>保险数据与其他行业跨行业数据协调共享机制</w:t>
      </w:r>
      <w:r>
        <w:rPr>
          <w:rFonts w:hint="eastAsia" w:ascii="Times New Roman" w:hAnsi="Times New Roman" w:eastAsia="仿宋_GB2312"/>
          <w:color w:val="000000"/>
          <w:sz w:val="32"/>
          <w:szCs w:val="32"/>
          <w:lang w:eastAsia="zh-Hans"/>
        </w:rPr>
        <w:t>，打造保险数据特区</w:t>
      </w:r>
      <w:r>
        <w:rPr>
          <w:rFonts w:hint="eastAsia" w:ascii="Times New Roman" w:hAnsi="Times New Roman" w:eastAsia="仿宋_GB2312" w:cs="Times New Roman"/>
          <w:color w:val="000000"/>
          <w:sz w:val="32"/>
          <w:szCs w:val="36"/>
        </w:rPr>
        <w:t>。</w:t>
      </w:r>
      <w:r>
        <w:rPr>
          <w:rFonts w:hint="eastAsia" w:ascii="Times New Roman" w:hAnsi="Times New Roman" w:eastAsia="仿宋_GB2312"/>
          <w:color w:val="000000"/>
          <w:sz w:val="32"/>
          <w:szCs w:val="32"/>
        </w:rPr>
        <w:t>联合保险业协会、保险机构</w:t>
      </w:r>
      <w:r>
        <w:rPr>
          <w:rFonts w:hint="eastAsia" w:ascii="Times New Roman" w:hAnsi="Times New Roman" w:eastAsia="仿宋_GB2312"/>
          <w:color w:val="000000"/>
          <w:sz w:val="32"/>
          <w:szCs w:val="32"/>
          <w:lang w:eastAsia="zh-CN"/>
        </w:rPr>
        <w:t>探索</w:t>
      </w:r>
      <w:r>
        <w:rPr>
          <w:rFonts w:hint="eastAsia" w:ascii="Times New Roman" w:hAnsi="Times New Roman" w:eastAsia="仿宋_GB2312"/>
          <w:color w:val="000000"/>
          <w:sz w:val="32"/>
          <w:szCs w:val="32"/>
        </w:rPr>
        <w:t>成立区域巨灾共保体，研发多业态“气候+”金融产品，定制</w:t>
      </w:r>
      <w:r>
        <w:rPr>
          <w:rFonts w:hint="eastAsia" w:ascii="Times New Roman" w:hAnsi="Times New Roman" w:eastAsia="仿宋_GB2312" w:cs="Times New Roman"/>
          <w:color w:val="000000"/>
          <w:sz w:val="32"/>
          <w:szCs w:val="36"/>
        </w:rPr>
        <w:t>以巨灾保险为核心的综合性保险保障方案</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eastAsia="zh-CN"/>
        </w:rPr>
        <w:t>聚焦</w:t>
      </w:r>
      <w:r>
        <w:rPr>
          <w:rFonts w:hint="eastAsia" w:ascii="Times New Roman" w:hAnsi="Times New Roman" w:eastAsia="仿宋_GB2312"/>
          <w:color w:val="000000"/>
          <w:sz w:val="32"/>
          <w:szCs w:val="32"/>
        </w:rPr>
        <w:t>科幻、人工智能等重点领域，</w:t>
      </w:r>
      <w:r>
        <w:rPr>
          <w:rFonts w:hint="eastAsia" w:ascii="Times New Roman" w:hAnsi="Times New Roman" w:eastAsia="仿宋_GB2312" w:cs="Times New Roman"/>
          <w:color w:val="000000"/>
          <w:sz w:val="32"/>
          <w:szCs w:val="32"/>
        </w:rPr>
        <w:t>将战略性新兴产业“白名单”企业纳入商业保险支持范围</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鼓励开发科技保险专属产品，支持“中试+保险”类项目布局</w:t>
      </w:r>
      <w:r>
        <w:rPr>
          <w:rFonts w:hint="eastAsia" w:ascii="Times New Roman" w:hAnsi="Times New Roman" w:eastAsia="仿宋_GB2312"/>
          <w:color w:val="000000"/>
          <w:sz w:val="32"/>
          <w:szCs w:val="32"/>
          <w:lang w:eastAsia="zh-CN"/>
        </w:rPr>
        <w:t>。</w:t>
      </w:r>
    </w:p>
    <w:p w14:paraId="2AA1465E">
      <w:pPr>
        <w:spacing w:after="0" w:line="560" w:lineRule="exact"/>
        <w:ind w:firstLine="640" w:firstLineChars="200"/>
        <w:textAlignment w:val="center"/>
        <w:outlineLvl w:val="1"/>
        <w:rPr>
          <w:rFonts w:hint="eastAsia" w:ascii="Times New Roman" w:hAnsi="Times New Roman" w:eastAsia="楷体_GB2312" w:cs="Times New Roman"/>
          <w:b w:val="0"/>
          <w:color w:val="000000"/>
          <w:sz w:val="32"/>
          <w:szCs w:val="36"/>
        </w:rPr>
      </w:pPr>
      <w:bookmarkStart w:id="71" w:name="_Toc913"/>
      <w:bookmarkStart w:id="72" w:name="_Toc10760"/>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lang w:val="en-US" w:eastAsia="zh-CN"/>
        </w:rPr>
        <w:t>三</w:t>
      </w:r>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rPr>
        <w:t>做强金融科技创新业态</w:t>
      </w:r>
      <w:bookmarkEnd w:id="71"/>
      <w:bookmarkEnd w:id="72"/>
    </w:p>
    <w:p w14:paraId="718958C5">
      <w:pPr>
        <w:spacing w:after="0" w:line="560" w:lineRule="exact"/>
        <w:ind w:firstLine="640" w:firstLineChars="200"/>
        <w:textAlignment w:val="center"/>
        <w:rPr>
          <w:rFonts w:ascii="Times New Roman" w:hAnsi="Times New Roman" w:eastAsia="仿宋_GB2312" w:cs="Times New Roman"/>
          <w:color w:val="000000" w:themeColor="text1"/>
          <w:sz w:val="32"/>
          <w:szCs w:val="36"/>
          <w14:textFill>
            <w14:solidFill>
              <w14:schemeClr w14:val="tx1"/>
            </w14:solidFill>
          </w14:textFill>
        </w:rPr>
      </w:pPr>
      <w:r>
        <w:rPr>
          <w:rFonts w:hint="eastAsia" w:ascii="Times New Roman" w:hAnsi="Times New Roman" w:eastAsia="仿宋_GB2312" w:cs="Times New Roman"/>
          <w:color w:val="000000" w:themeColor="text1"/>
          <w:sz w:val="32"/>
          <w:szCs w:val="36"/>
          <w14:textFill>
            <w14:solidFill>
              <w14:schemeClr w14:val="tx1"/>
            </w14:solidFill>
          </w14:textFill>
        </w:rPr>
        <w:t>发挥北京</w:t>
      </w:r>
      <w:r>
        <w:rPr>
          <w:rFonts w:hint="eastAsia" w:ascii="Times New Roman" w:hAnsi="Times New Roman" w:eastAsia="仿宋_GB2312" w:cs="Times New Roman"/>
          <w:kern w:val="0"/>
          <w:sz w:val="32"/>
          <w:szCs w:val="32"/>
        </w:rPr>
        <w:t>·</w:t>
      </w:r>
      <w:r>
        <w:rPr>
          <w:rFonts w:hint="eastAsia" w:ascii="Times New Roman" w:hAnsi="Times New Roman" w:eastAsia="仿宋_GB2312" w:cs="Times New Roman"/>
          <w:color w:val="000000" w:themeColor="text1"/>
          <w:sz w:val="32"/>
          <w:szCs w:val="36"/>
          <w14:textFill>
            <w14:solidFill>
              <w14:schemeClr w14:val="tx1"/>
            </w14:solidFill>
          </w14:textFill>
        </w:rPr>
        <w:t>银行保险产业园“金融+科技”融合优势，</w:t>
      </w:r>
      <w:r>
        <w:rPr>
          <w:rFonts w:ascii="Times New Roman" w:hAnsi="Times New Roman" w:eastAsia="仿宋_GB2312"/>
          <w:color w:val="000000"/>
          <w:sz w:val="32"/>
          <w:szCs w:val="32"/>
          <w:lang w:eastAsia="zh-Hans"/>
        </w:rPr>
        <w:t>支持</w:t>
      </w:r>
      <w:r>
        <w:rPr>
          <w:rFonts w:hint="eastAsia" w:ascii="Times New Roman" w:hAnsi="Times New Roman" w:eastAsia="仿宋_GB2312"/>
          <w:color w:val="000000"/>
          <w:sz w:val="32"/>
          <w:szCs w:val="32"/>
          <w:lang w:eastAsia="zh-Hans"/>
        </w:rPr>
        <w:t>银行、保险等</w:t>
      </w:r>
      <w:r>
        <w:rPr>
          <w:rFonts w:ascii="Times New Roman" w:hAnsi="Times New Roman" w:eastAsia="仿宋_GB2312"/>
          <w:color w:val="000000"/>
          <w:sz w:val="32"/>
          <w:szCs w:val="32"/>
          <w:lang w:eastAsia="zh-Hans"/>
        </w:rPr>
        <w:t>金融</w:t>
      </w:r>
      <w:r>
        <w:rPr>
          <w:rFonts w:hint="eastAsia" w:ascii="Times New Roman" w:hAnsi="Times New Roman" w:eastAsia="仿宋_GB2312"/>
          <w:color w:val="000000"/>
          <w:sz w:val="32"/>
          <w:szCs w:val="32"/>
          <w:lang w:eastAsia="zh-Hans"/>
        </w:rPr>
        <w:t>机构</w:t>
      </w:r>
      <w:r>
        <w:rPr>
          <w:rFonts w:ascii="Times New Roman" w:hAnsi="Times New Roman" w:eastAsia="仿宋_GB2312"/>
          <w:color w:val="000000"/>
          <w:sz w:val="32"/>
          <w:szCs w:val="32"/>
          <w:lang w:eastAsia="zh-Hans"/>
        </w:rPr>
        <w:t>研发中心、创新中心</w:t>
      </w:r>
      <w:r>
        <w:rPr>
          <w:rFonts w:hint="eastAsia" w:ascii="Times New Roman" w:hAnsi="Times New Roman" w:eastAsia="仿宋_GB2312"/>
          <w:color w:val="000000"/>
          <w:sz w:val="32"/>
          <w:szCs w:val="32"/>
          <w:lang w:eastAsia="zh-Hans"/>
        </w:rPr>
        <w:t>落地，</w:t>
      </w:r>
      <w:r>
        <w:rPr>
          <w:rFonts w:hint="eastAsia" w:ascii="Times New Roman" w:hAnsi="Times New Roman" w:eastAsia="仿宋_GB2312" w:cs="Times New Roman"/>
          <w:color w:val="000000" w:themeColor="text1"/>
          <w:sz w:val="32"/>
          <w:szCs w:val="36"/>
          <w14:textFill>
            <w14:solidFill>
              <w14:schemeClr w14:val="tx1"/>
            </w14:solidFill>
          </w14:textFill>
        </w:rPr>
        <w:t>加快金融科技机构、科技型企业、大型互联网企业及其他为金融业提供数据技术和专业服务的市场主体集聚，</w:t>
      </w:r>
      <w:r>
        <w:rPr>
          <w:rFonts w:hint="eastAsia" w:ascii="Times New Roman" w:hAnsi="Times New Roman" w:eastAsia="仿宋_GB2312"/>
          <w:color w:val="000000"/>
          <w:sz w:val="32"/>
          <w:szCs w:val="36"/>
        </w:rPr>
        <w:t>打造金融科技运营服务新高地。</w:t>
      </w:r>
      <w:r>
        <w:rPr>
          <w:rFonts w:hint="eastAsia" w:ascii="仿宋_GB2312" w:eastAsia="仿宋_GB2312"/>
          <w:sz w:val="32"/>
          <w:szCs w:val="32"/>
        </w:rPr>
        <w:t>推进金融业数字化转型，</w:t>
      </w:r>
      <w:r>
        <w:rPr>
          <w:rFonts w:hint="eastAsia" w:ascii="仿宋_GB2312" w:hAnsi="Verdana" w:eastAsia="仿宋_GB2312" w:cs="Times New Roman"/>
          <w:color w:val="000000"/>
          <w:sz w:val="32"/>
          <w:szCs w:val="32"/>
        </w:rPr>
        <w:t>释放“数字金融港”创新孵化平台效能，推动数字人民币、数字资产和金融算力等新型基础设施</w:t>
      </w:r>
      <w:r>
        <w:rPr>
          <w:rFonts w:hint="eastAsia" w:ascii="仿宋_GB2312" w:hAnsi="Verdana" w:eastAsia="仿宋_GB2312" w:cs="Times New Roman"/>
          <w:color w:val="000000"/>
          <w:sz w:val="32"/>
          <w:szCs w:val="32"/>
          <w:lang w:val="en-US" w:eastAsia="zh-CN"/>
        </w:rPr>
        <w:t>建设</w:t>
      </w:r>
      <w:r>
        <w:rPr>
          <w:rFonts w:hint="eastAsia" w:ascii="Times New Roman" w:hAnsi="Times New Roman" w:eastAsia="仿宋_GB2312" w:cs="Times New Roman"/>
          <w:color w:val="000000"/>
          <w:sz w:val="32"/>
          <w:szCs w:val="36"/>
        </w:rPr>
        <w:t>。</w:t>
      </w:r>
      <w:r>
        <w:rPr>
          <w:rFonts w:hint="eastAsia" w:ascii="Times New Roman" w:hAnsi="Times New Roman" w:eastAsia="仿宋_GB2312" w:cs="Times New Roman"/>
          <w:color w:val="000000" w:themeColor="text1"/>
          <w:sz w:val="32"/>
          <w:szCs w:val="36"/>
          <w14:textFill>
            <w14:solidFill>
              <w14:schemeClr w14:val="tx1"/>
            </w14:solidFill>
          </w14:textFill>
        </w:rPr>
        <w:t>鼓励有实力的金融主体主持或参与金融科技领域相关国际标准、国家标准制定。</w:t>
      </w:r>
    </w:p>
    <w:p w14:paraId="3503B49F">
      <w:pPr>
        <w:spacing w:after="0" w:line="560" w:lineRule="exact"/>
        <w:ind w:firstLine="640" w:firstLineChars="200"/>
        <w:textAlignment w:val="center"/>
        <w:outlineLvl w:val="1"/>
        <w:rPr>
          <w:rFonts w:hint="eastAsia" w:ascii="Times New Roman" w:hAnsi="Times New Roman" w:eastAsia="楷体_GB2312" w:cs="Times New Roman"/>
          <w:b w:val="0"/>
          <w:color w:val="000000"/>
          <w:sz w:val="32"/>
          <w:szCs w:val="36"/>
        </w:rPr>
      </w:pPr>
      <w:bookmarkStart w:id="73" w:name="_Toc25385"/>
      <w:bookmarkStart w:id="74" w:name="_Toc23519"/>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lang w:val="en-US" w:eastAsia="zh-CN"/>
        </w:rPr>
        <w:t>四</w:t>
      </w:r>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rPr>
        <w:t>壮大“大资管”产业集群</w:t>
      </w:r>
      <w:bookmarkEnd w:id="73"/>
      <w:bookmarkEnd w:id="74"/>
    </w:p>
    <w:p w14:paraId="7988CE9B">
      <w:pPr>
        <w:spacing w:after="0" w:line="560" w:lineRule="exact"/>
        <w:ind w:firstLine="640" w:firstLineChars="200"/>
        <w:textAlignment w:val="center"/>
        <w:rPr>
          <w:rFonts w:hint="eastAsia" w:ascii="Times New Roman" w:hAnsi="Times New Roman" w:eastAsia="仿宋_GB2312"/>
          <w:color w:val="000000"/>
          <w:sz w:val="32"/>
          <w:szCs w:val="36"/>
        </w:rPr>
      </w:pPr>
      <w:r>
        <w:rPr>
          <w:rFonts w:hint="eastAsia" w:ascii="Times New Roman" w:hAnsi="Times New Roman" w:eastAsia="仿宋_GB2312"/>
          <w:bCs/>
          <w:color w:val="000000"/>
          <w:sz w:val="32"/>
          <w:szCs w:val="36"/>
        </w:rPr>
        <w:t>加快集聚央国企资本管理、资本控股、投资运营、财务公司等业务子公司和新增业务板块，推动</w:t>
      </w:r>
      <w:r>
        <w:rPr>
          <w:rFonts w:hint="eastAsia" w:ascii="Times New Roman" w:hAnsi="Times New Roman" w:eastAsia="仿宋_GB2312" w:cs="Times New Roman"/>
          <w:color w:val="000000" w:themeColor="text1"/>
          <w:sz w:val="32"/>
          <w:szCs w:val="36"/>
          <w14:textFill>
            <w14:solidFill>
              <w14:schemeClr w14:val="tx1"/>
            </w14:solidFill>
          </w14:textFill>
        </w:rPr>
        <w:t>央国企管理或参与的股权类和创业投资基金、供应链金融平台项目落地。锚定</w:t>
      </w:r>
      <w:r>
        <w:rPr>
          <w:rFonts w:hint="eastAsia" w:ascii="Times New Roman" w:hAnsi="Times New Roman" w:eastAsia="仿宋_GB2312"/>
          <w:color w:val="000000"/>
          <w:sz w:val="32"/>
          <w:szCs w:val="36"/>
        </w:rPr>
        <w:t>金融领域资管机构，促进银行资金运营中心、</w:t>
      </w:r>
      <w:r>
        <w:rPr>
          <w:rFonts w:hint="eastAsia" w:ascii="Times New Roman" w:hAnsi="Times New Roman" w:eastAsia="仿宋_GB2312" w:cs="Times New Roman"/>
          <w:color w:val="000000"/>
          <w:sz w:val="32"/>
          <w:szCs w:val="32"/>
          <w:lang w:eastAsia="zh-Hans"/>
        </w:rPr>
        <w:t>票据</w:t>
      </w:r>
      <w:r>
        <w:rPr>
          <w:rFonts w:hint="eastAsia" w:ascii="Times New Roman" w:hAnsi="Times New Roman" w:eastAsia="仿宋_GB2312"/>
          <w:color w:val="000000"/>
          <w:sz w:val="32"/>
          <w:szCs w:val="36"/>
        </w:rPr>
        <w:t>中心等资金业务专营机构集聚，</w:t>
      </w:r>
      <w:r>
        <w:rPr>
          <w:rFonts w:ascii="Times New Roman" w:hAnsi="Times New Roman" w:eastAsia="仿宋_GB2312"/>
          <w:color w:val="000000"/>
          <w:sz w:val="32"/>
          <w:szCs w:val="36"/>
        </w:rPr>
        <w:t>吸引</w:t>
      </w:r>
      <w:r>
        <w:rPr>
          <w:rFonts w:hint="eastAsia" w:ascii="Times New Roman" w:hAnsi="Times New Roman" w:eastAsia="仿宋_GB2312"/>
          <w:color w:val="000000"/>
          <w:sz w:val="32"/>
          <w:szCs w:val="36"/>
        </w:rPr>
        <w:t>持牌类金融机构在石景山设立资管或理财子公司。积极对接</w:t>
      </w:r>
      <w:r>
        <w:rPr>
          <w:rFonts w:hint="eastAsia" w:ascii="Times New Roman" w:hAnsi="Times New Roman" w:eastAsia="仿宋_GB2312"/>
          <w:color w:val="000000"/>
          <w:sz w:val="32"/>
          <w:szCs w:val="36"/>
          <w:lang w:eastAsia="zh-CN"/>
        </w:rPr>
        <w:t>银行</w:t>
      </w:r>
      <w:r>
        <w:rPr>
          <w:rFonts w:hint="eastAsia" w:ascii="Times New Roman" w:hAnsi="Times New Roman" w:eastAsia="仿宋_GB2312"/>
          <w:color w:val="000000"/>
          <w:sz w:val="32"/>
          <w:szCs w:val="36"/>
        </w:rPr>
        <w:t>AIC机构，</w:t>
      </w:r>
      <w:r>
        <w:rPr>
          <w:rFonts w:hint="eastAsia" w:ascii="Times New Roman" w:hAnsi="Times New Roman" w:eastAsia="仿宋_GB2312"/>
          <w:color w:val="000000"/>
          <w:sz w:val="32"/>
          <w:szCs w:val="36"/>
          <w:lang w:eastAsia="zh-CN"/>
        </w:rPr>
        <w:t>推动</w:t>
      </w:r>
      <w:r>
        <w:rPr>
          <w:rFonts w:hint="eastAsia" w:ascii="Times New Roman" w:hAnsi="Times New Roman" w:eastAsia="仿宋_GB2312"/>
          <w:color w:val="000000"/>
          <w:sz w:val="32"/>
          <w:szCs w:val="36"/>
        </w:rPr>
        <w:t>设立AIC科创股权投资基金</w:t>
      </w:r>
      <w:r>
        <w:rPr>
          <w:rFonts w:hint="eastAsia" w:ascii="Times New Roman" w:hAnsi="Times New Roman" w:eastAsia="仿宋_GB2312"/>
          <w:color w:val="000000"/>
          <w:sz w:val="32"/>
          <w:szCs w:val="36"/>
          <w:lang w:eastAsia="zh-CN"/>
        </w:rPr>
        <w:t>。</w:t>
      </w:r>
      <w:r>
        <w:rPr>
          <w:rFonts w:hint="eastAsia" w:ascii="Times New Roman" w:hAnsi="Times New Roman" w:eastAsia="仿宋_GB2312"/>
          <w:color w:val="000000"/>
          <w:sz w:val="32"/>
          <w:szCs w:val="36"/>
        </w:rPr>
        <w:t>加快培育一批特色领域创业投资、股权投资机构，</w:t>
      </w:r>
      <w:r>
        <w:rPr>
          <w:rFonts w:hint="eastAsia" w:ascii="Times New Roman" w:hAnsi="Times New Roman" w:eastAsia="仿宋_GB2312" w:cs="Times New Roman"/>
          <w:color w:val="000000" w:themeColor="text1"/>
          <w:sz w:val="32"/>
          <w:szCs w:val="36"/>
          <w14:textFill>
            <w14:solidFill>
              <w14:schemeClr w14:val="tx1"/>
            </w14:solidFill>
          </w14:textFill>
        </w:rPr>
        <w:t>构建要素集聚、产融结合、良性互动的创投生态圈</w:t>
      </w:r>
      <w:r>
        <w:rPr>
          <w:rFonts w:hint="eastAsia" w:ascii="Times New Roman" w:hAnsi="Times New Roman" w:eastAsia="仿宋_GB2312"/>
          <w:color w:val="000000"/>
          <w:sz w:val="32"/>
          <w:szCs w:val="36"/>
        </w:rPr>
        <w:t>。</w:t>
      </w:r>
    </w:p>
    <w:p w14:paraId="2771E69B">
      <w:pPr>
        <w:spacing w:after="0" w:line="560" w:lineRule="exact"/>
        <w:ind w:firstLine="640" w:firstLineChars="200"/>
        <w:textAlignment w:val="center"/>
        <w:outlineLvl w:val="1"/>
        <w:rPr>
          <w:rFonts w:hint="eastAsia" w:ascii="Times New Roman" w:hAnsi="Times New Roman" w:eastAsia="楷体_GB2312" w:cs="Times New Roman"/>
          <w:b w:val="0"/>
          <w:color w:val="000000"/>
          <w:sz w:val="32"/>
          <w:szCs w:val="36"/>
        </w:rPr>
      </w:pPr>
      <w:bookmarkStart w:id="75" w:name="_Toc26457"/>
      <w:bookmarkStart w:id="76" w:name="_Toc6425"/>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lang w:val="en-US" w:eastAsia="zh-CN"/>
        </w:rPr>
        <w:t>五</w:t>
      </w:r>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rPr>
        <w:t>培育金融专业服务板块</w:t>
      </w:r>
      <w:bookmarkEnd w:id="75"/>
      <w:bookmarkEnd w:id="76"/>
    </w:p>
    <w:p w14:paraId="7762842A">
      <w:pPr>
        <w:spacing w:after="0" w:line="560" w:lineRule="exact"/>
        <w:ind w:firstLine="640" w:firstLineChars="200"/>
        <w:textAlignment w:val="center"/>
        <w:rPr>
          <w:rFonts w:ascii="Times New Roman" w:hAnsi="Times New Roman" w:eastAsia="仿宋_GB2312" w:cs="Times New Roman"/>
          <w:color w:val="000000"/>
          <w:sz w:val="32"/>
          <w:szCs w:val="32"/>
          <w:highlight w:val="yellow"/>
          <w:lang w:eastAsia="zh-Hans"/>
        </w:rPr>
      </w:pPr>
      <w:r>
        <w:rPr>
          <w:rFonts w:hint="eastAsia" w:ascii="Times New Roman" w:hAnsi="Times New Roman" w:eastAsia="仿宋_GB2312"/>
          <w:color w:val="000000"/>
          <w:sz w:val="32"/>
          <w:szCs w:val="36"/>
          <w:lang w:eastAsia="zh-CN"/>
        </w:rPr>
        <w:t>打造“并购重组生态区”，健全投融资服务机制，组建并购重组联盟，提供政策咨询、需求挖掘、撮合交易、资产交易等服务，支持并购基金落地，引导头部企业围绕产业链关键环节开展并购重组。</w:t>
      </w:r>
      <w:r>
        <w:rPr>
          <w:rFonts w:hint="eastAsia" w:ascii="Times New Roman" w:hAnsi="Times New Roman" w:eastAsia="仿宋_GB2312" w:cs="Times New Roman"/>
          <w:color w:val="000000"/>
          <w:sz w:val="32"/>
          <w:szCs w:val="32"/>
          <w:lang w:eastAsia="zh-Hans"/>
        </w:rPr>
        <w:t>加快</w:t>
      </w:r>
      <w:r>
        <w:rPr>
          <w:rFonts w:hint="eastAsia" w:ascii="Times New Roman" w:hAnsi="Times New Roman" w:eastAsia="仿宋_GB2312"/>
          <w:sz w:val="32"/>
          <w:szCs w:val="32"/>
        </w:rPr>
        <w:t>基金登记、评估核算、信用评级等专业服务机构集聚，支持会计审计、资产评估、投资咨询等中介机构提升专业服务水平。大力推动金融组织、高端金融智库、金融行业协会和自律组织入驻，</w:t>
      </w:r>
      <w:r>
        <w:rPr>
          <w:rFonts w:ascii="Times New Roman" w:hAnsi="Times New Roman" w:eastAsia="仿宋_GB2312" w:cs="Times New Roman"/>
          <w:color w:val="000000"/>
          <w:sz w:val="32"/>
          <w:szCs w:val="32"/>
          <w:lang w:eastAsia="zh-Hans"/>
        </w:rPr>
        <w:t>支持保险高端培训机构发展，</w:t>
      </w:r>
      <w:r>
        <w:rPr>
          <w:rFonts w:hint="eastAsia" w:ascii="Times New Roman" w:hAnsi="Times New Roman" w:eastAsia="仿宋_GB2312" w:cs="Times New Roman"/>
          <w:color w:val="000000"/>
          <w:sz w:val="32"/>
          <w:szCs w:val="32"/>
          <w:lang w:eastAsia="zh-Hans"/>
        </w:rPr>
        <w:t>加快</w:t>
      </w:r>
      <w:r>
        <w:rPr>
          <w:rFonts w:ascii="Times New Roman" w:hAnsi="Times New Roman" w:eastAsia="仿宋_GB2312" w:cs="Times New Roman"/>
          <w:color w:val="000000"/>
          <w:sz w:val="32"/>
          <w:szCs w:val="32"/>
          <w:lang w:eastAsia="zh-Hans"/>
        </w:rPr>
        <w:t>建立保险培训基地</w:t>
      </w:r>
      <w:r>
        <w:rPr>
          <w:rFonts w:hint="eastAsia" w:ascii="Times New Roman" w:hAnsi="Times New Roman" w:eastAsia="仿宋_GB2312" w:cs="Times New Roman"/>
          <w:color w:val="000000"/>
          <w:sz w:val="32"/>
          <w:szCs w:val="32"/>
          <w:lang w:eastAsia="zh-Hans"/>
        </w:rPr>
        <w:t>、</w:t>
      </w:r>
      <w:r>
        <w:rPr>
          <w:rFonts w:hint="eastAsia" w:ascii="Times New Roman" w:hAnsi="Times New Roman" w:eastAsia="仿宋_GB2312" w:cs="Times New Roman"/>
          <w:color w:val="000000"/>
          <w:sz w:val="32"/>
          <w:szCs w:val="32"/>
          <w:lang w:eastAsia="zh-CN"/>
        </w:rPr>
        <w:t>金融</w:t>
      </w:r>
      <w:r>
        <w:rPr>
          <w:rFonts w:ascii="Times New Roman" w:hAnsi="Times New Roman" w:eastAsia="仿宋_GB2312" w:cs="Times New Roman"/>
          <w:color w:val="000000"/>
          <w:sz w:val="32"/>
          <w:szCs w:val="32"/>
          <w:lang w:eastAsia="zh-Hans"/>
        </w:rPr>
        <w:t>消费者保护教育基地。</w:t>
      </w:r>
    </w:p>
    <w:p w14:paraId="5FCA8D5E">
      <w:pPr>
        <w:spacing w:after="0" w:line="560" w:lineRule="exact"/>
        <w:ind w:firstLine="640" w:firstLineChars="200"/>
        <w:textAlignment w:val="center"/>
        <w:outlineLvl w:val="0"/>
        <w:rPr>
          <w:rFonts w:ascii="Times New Roman" w:hAnsi="Times New Roman" w:eastAsia="黑体" w:cs="Times New Roman"/>
          <w:b w:val="0"/>
          <w:bCs w:val="0"/>
          <w:sz w:val="32"/>
          <w:szCs w:val="32"/>
        </w:rPr>
      </w:pPr>
      <w:bookmarkStart w:id="77" w:name="_Toc9572"/>
      <w:bookmarkStart w:id="78" w:name="_Toc4950"/>
      <w:bookmarkStart w:id="79" w:name="_Toc9504"/>
      <w:bookmarkStart w:id="80" w:name="_Toc28305"/>
      <w:bookmarkStart w:id="81" w:name="_Toc214375922"/>
      <w:bookmarkStart w:id="82" w:name="_Toc1144276791"/>
      <w:bookmarkStart w:id="83" w:name="_Toc1417039553"/>
      <w:bookmarkStart w:id="84" w:name="_Toc12339"/>
      <w:r>
        <w:rPr>
          <w:rFonts w:hint="eastAsia" w:ascii="Times New Roman" w:hAnsi="Times New Roman" w:eastAsia="黑体" w:cs="Times New Roman"/>
          <w:b w:val="0"/>
          <w:bCs w:val="0"/>
          <w:sz w:val="32"/>
          <w:szCs w:val="32"/>
          <w:lang w:val="en-US" w:eastAsia="zh-CN"/>
        </w:rPr>
        <w:t>三、</w:t>
      </w:r>
      <w:r>
        <w:rPr>
          <w:rFonts w:hint="default" w:ascii="Times New Roman" w:hAnsi="Times New Roman" w:eastAsia="黑体" w:cs="Times New Roman"/>
          <w:b w:val="0"/>
          <w:bCs w:val="0"/>
          <w:sz w:val="32"/>
          <w:szCs w:val="32"/>
        </w:rPr>
        <w:t>提升金融服务实体经济质效</w:t>
      </w:r>
      <w:bookmarkEnd w:id="77"/>
      <w:bookmarkEnd w:id="78"/>
      <w:bookmarkEnd w:id="79"/>
      <w:bookmarkEnd w:id="80"/>
      <w:bookmarkEnd w:id="81"/>
      <w:bookmarkEnd w:id="82"/>
      <w:bookmarkEnd w:id="83"/>
    </w:p>
    <w:p w14:paraId="6E1CE80B">
      <w:pPr>
        <w:spacing w:after="0" w:line="560" w:lineRule="exact"/>
        <w:ind w:firstLine="640" w:firstLineChars="200"/>
        <w:textAlignment w:val="center"/>
        <w:outlineLvl w:val="1"/>
        <w:rPr>
          <w:rFonts w:hint="eastAsia" w:ascii="Times New Roman" w:hAnsi="Times New Roman" w:eastAsia="楷体_GB2312" w:cs="Times New Roman"/>
          <w:b w:val="0"/>
          <w:color w:val="000000"/>
          <w:sz w:val="32"/>
          <w:szCs w:val="36"/>
        </w:rPr>
      </w:pPr>
      <w:bookmarkStart w:id="85" w:name="_Toc26492"/>
      <w:bookmarkStart w:id="86" w:name="_Toc16922"/>
      <w:bookmarkStart w:id="87" w:name="_Toc203569289"/>
      <w:bookmarkStart w:id="88" w:name="_Toc185959549"/>
      <w:bookmarkStart w:id="89" w:name="_Toc185959546"/>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lang w:val="en-US" w:eastAsia="zh-CN"/>
        </w:rPr>
        <w:t>六</w:t>
      </w:r>
      <w:r>
        <w:rPr>
          <w:rFonts w:hint="eastAsia" w:ascii="Times New Roman" w:hAnsi="Times New Roman" w:eastAsia="楷体_GB2312" w:cs="Times New Roman"/>
          <w:b w:val="0"/>
          <w:color w:val="000000"/>
          <w:sz w:val="32"/>
          <w:szCs w:val="36"/>
          <w:lang w:eastAsia="zh-CN"/>
        </w:rPr>
        <w:t>）聚焦科技金融，促进科技创新和产业创新深度融合</w:t>
      </w:r>
      <w:bookmarkEnd w:id="85"/>
      <w:bookmarkEnd w:id="86"/>
      <w:bookmarkEnd w:id="87"/>
    </w:p>
    <w:p w14:paraId="3D268B9E">
      <w:pPr>
        <w:spacing w:after="0" w:line="560" w:lineRule="exact"/>
        <w:ind w:firstLine="640" w:firstLineChars="200"/>
        <w:textAlignment w:val="center"/>
        <w:rPr>
          <w:rFonts w:ascii="Times New Roman" w:hAnsi="Times New Roman" w:eastAsia="仿宋_GB2312" w:cs="Times New Roman"/>
          <w:bCs/>
          <w:color w:val="000000"/>
          <w:sz w:val="32"/>
          <w:szCs w:val="32"/>
        </w:rPr>
      </w:pPr>
      <w:r>
        <w:rPr>
          <w:rFonts w:hint="eastAsia" w:ascii="Times New Roman" w:hAnsi="Times New Roman" w:eastAsia="仿宋_GB2312" w:cs="Times New Roman"/>
          <w:sz w:val="32"/>
          <w:szCs w:val="32"/>
        </w:rPr>
        <w:t>加快科创金融改革试验区建设，引导长期资本、耐心资本和优质资本投向战略性新兴产业，构建具有石景山特色的股权融资支持机制。</w:t>
      </w:r>
      <w:r>
        <w:rPr>
          <w:rFonts w:hint="eastAsia" w:ascii="Times New Roman" w:hAnsi="Times New Roman" w:eastAsia="仿宋_GB2312" w:cs="Times New Roman"/>
          <w:bCs/>
          <w:sz w:val="32"/>
          <w:szCs w:val="22"/>
        </w:rPr>
        <w:t>深入实施</w:t>
      </w:r>
      <w:r>
        <w:rPr>
          <w:rFonts w:hint="eastAsia" w:ascii="Times New Roman" w:hAnsi="Times New Roman" w:eastAsia="仿宋_GB2312" w:cs="Times New Roman"/>
          <w:sz w:val="32"/>
          <w:szCs w:val="32"/>
        </w:rPr>
        <w:t>“一产业一基金”战略，</w:t>
      </w:r>
      <w:r>
        <w:rPr>
          <w:rFonts w:ascii="Times New Roman" w:hAnsi="Times New Roman" w:eastAsia="仿宋_GB2312" w:cs="Times New Roman"/>
          <w:bCs/>
          <w:color w:val="000000"/>
          <w:sz w:val="32"/>
          <w:szCs w:val="32"/>
        </w:rPr>
        <w:t>构建</w:t>
      </w:r>
      <w:r>
        <w:rPr>
          <w:rFonts w:hint="eastAsia" w:ascii="Times New Roman" w:hAnsi="Times New Roman" w:eastAsia="仿宋_GB2312" w:cs="Times New Roman"/>
          <w:bCs/>
          <w:color w:val="000000"/>
          <w:sz w:val="32"/>
          <w:szCs w:val="32"/>
        </w:rPr>
        <w:t>“</w:t>
      </w:r>
      <w:r>
        <w:rPr>
          <w:rFonts w:ascii="Times New Roman" w:hAnsi="Times New Roman" w:eastAsia="仿宋_GB2312" w:cs="Times New Roman"/>
          <w:bCs/>
          <w:color w:val="000000"/>
          <w:sz w:val="32"/>
          <w:szCs w:val="32"/>
        </w:rPr>
        <w:t>1+X</w:t>
      </w:r>
      <w:r>
        <w:rPr>
          <w:rFonts w:hint="eastAsia" w:ascii="Times New Roman" w:hAnsi="Times New Roman" w:eastAsia="仿宋_GB2312" w:cs="Times New Roman"/>
          <w:bCs/>
          <w:color w:val="000000"/>
          <w:sz w:val="32"/>
          <w:szCs w:val="32"/>
        </w:rPr>
        <w:t>”</w:t>
      </w:r>
      <w:r>
        <w:rPr>
          <w:rFonts w:ascii="Times New Roman" w:hAnsi="Times New Roman" w:eastAsia="仿宋_GB2312" w:cs="Times New Roman"/>
          <w:bCs/>
          <w:color w:val="000000"/>
          <w:sz w:val="32"/>
          <w:szCs w:val="32"/>
        </w:rPr>
        <w:t>基金矩阵，创新运用债券融资工具丰富资金来源，</w:t>
      </w:r>
      <w:r>
        <w:rPr>
          <w:rFonts w:hint="eastAsia" w:ascii="Times New Roman" w:hAnsi="Times New Roman" w:eastAsia="仿宋_GB2312" w:cs="Times New Roman"/>
          <w:bCs/>
          <w:color w:val="000000"/>
          <w:sz w:val="32"/>
          <w:szCs w:val="32"/>
        </w:rPr>
        <w:t>完善“募、投、管、退”市场化运作机制。</w:t>
      </w:r>
      <w:r>
        <w:rPr>
          <w:rFonts w:ascii="Times New Roman" w:hAnsi="Times New Roman" w:eastAsia="仿宋_GB2312" w:cs="Times New Roman"/>
          <w:bCs/>
          <w:color w:val="000000"/>
          <w:sz w:val="32"/>
          <w:szCs w:val="32"/>
        </w:rPr>
        <w:t>建立与国家级基金、央企基金、地方资本战略协同机制，引导社会资本设立S基金。</w:t>
      </w:r>
      <w:r>
        <w:rPr>
          <w:rFonts w:hint="eastAsia" w:ascii="Times New Roman" w:hAnsi="Times New Roman" w:eastAsia="仿宋_GB2312" w:cs="Times New Roman"/>
          <w:color w:val="000000"/>
          <w:sz w:val="32"/>
          <w:szCs w:val="36"/>
        </w:rPr>
        <w:t>深化知识产权质押融资，</w:t>
      </w:r>
      <w:r>
        <w:rPr>
          <w:rFonts w:hint="eastAsia" w:ascii="Times New Roman" w:hAnsi="Times New Roman" w:eastAsia="仿宋_GB2312" w:cs="Times New Roman"/>
          <w:sz w:val="32"/>
          <w:szCs w:val="32"/>
        </w:rPr>
        <w:t>打造多种知识产权混合质押模式，</w:t>
      </w:r>
      <w:r>
        <w:rPr>
          <w:rFonts w:hint="eastAsia" w:ascii="Times New Roman" w:hAnsi="Times New Roman" w:eastAsia="仿宋_GB2312" w:cs="Times New Roman"/>
          <w:sz w:val="32"/>
          <w:szCs w:val="32"/>
          <w:lang w:val="en-US" w:eastAsia="zh-CN"/>
        </w:rPr>
        <w:t>配套</w:t>
      </w:r>
      <w:r>
        <w:rPr>
          <w:rFonts w:ascii="Times New Roman" w:hAnsi="Times New Roman" w:eastAsia="仿宋_GB2312" w:cs="Times New Roman"/>
          <w:color w:val="000000"/>
          <w:sz w:val="32"/>
          <w:szCs w:val="32"/>
        </w:rPr>
        <w:t>完善质</w:t>
      </w:r>
      <w:r>
        <w:rPr>
          <w:rFonts w:hint="eastAsia" w:ascii="Times New Roman" w:hAnsi="Times New Roman" w:eastAsia="仿宋_GB2312" w:cs="Times New Roman"/>
          <w:color w:val="000000"/>
          <w:sz w:val="32"/>
          <w:szCs w:val="32"/>
          <w:lang w:val="en-US" w:eastAsia="zh-CN"/>
        </w:rPr>
        <w:t>押</w:t>
      </w:r>
      <w:r>
        <w:rPr>
          <w:rFonts w:ascii="Times New Roman" w:hAnsi="Times New Roman" w:eastAsia="仿宋_GB2312" w:cs="Times New Roman"/>
          <w:color w:val="000000"/>
          <w:sz w:val="32"/>
          <w:szCs w:val="32"/>
        </w:rPr>
        <w:t>物处置机制，</w:t>
      </w:r>
      <w:r>
        <w:rPr>
          <w:rFonts w:hint="eastAsia" w:ascii="Times New Roman" w:hAnsi="Times New Roman" w:eastAsia="仿宋_GB2312" w:cs="Times New Roman"/>
          <w:sz w:val="32"/>
          <w:szCs w:val="32"/>
        </w:rPr>
        <w:t>探索</w:t>
      </w:r>
      <w:r>
        <w:rPr>
          <w:rFonts w:ascii="Times New Roman" w:hAnsi="Times New Roman" w:eastAsia="仿宋_GB2312" w:cs="Times New Roman"/>
          <w:sz w:val="32"/>
          <w:szCs w:val="32"/>
        </w:rPr>
        <w:t>发行知识产权资产支持证券（ABS）</w:t>
      </w:r>
      <w:r>
        <w:rPr>
          <w:rFonts w:hint="eastAsia" w:ascii="Times New Roman" w:hAnsi="Times New Roman" w:eastAsia="仿宋_GB2312" w:cs="Times New Roman"/>
          <w:color w:val="000000"/>
          <w:sz w:val="32"/>
          <w:szCs w:val="32"/>
        </w:rPr>
        <w:t>。支持金融机构创新升级</w:t>
      </w:r>
      <w:r>
        <w:rPr>
          <w:rFonts w:hint="eastAsia" w:ascii="Times New Roman" w:hAnsi="Times New Roman" w:eastAsia="仿宋_GB2312"/>
          <w:color w:val="000000"/>
          <w:sz w:val="32"/>
          <w:szCs w:val="32"/>
        </w:rPr>
        <w:t>专精特新贷、供应链金融等</w:t>
      </w:r>
      <w:r>
        <w:rPr>
          <w:rFonts w:hint="eastAsia" w:ascii="Times New Roman" w:hAnsi="Times New Roman" w:eastAsia="仿宋_GB2312" w:cs="Times New Roman"/>
          <w:color w:val="000000"/>
          <w:sz w:val="32"/>
          <w:szCs w:val="32"/>
          <w:lang w:val="en-US" w:eastAsia="zh-CN"/>
        </w:rPr>
        <w:t>产品</w:t>
      </w:r>
      <w:r>
        <w:rPr>
          <w:rFonts w:hint="eastAsia"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以</w:t>
      </w:r>
      <w:r>
        <w:rPr>
          <w:rFonts w:ascii="Times New Roman" w:hAnsi="Times New Roman" w:eastAsia="仿宋_GB2312" w:cs="Times New Roman"/>
          <w:color w:val="000000"/>
          <w:sz w:val="32"/>
          <w:szCs w:val="32"/>
        </w:rPr>
        <w:t>基金、债券、</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投资+贷款+IPO保荐</w:t>
      </w:r>
      <w:r>
        <w:rPr>
          <w:rFonts w:hint="eastAsia"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的</w:t>
      </w:r>
      <w:r>
        <w:rPr>
          <w:rFonts w:ascii="Times New Roman" w:hAnsi="Times New Roman" w:eastAsia="仿宋_GB2312" w:cs="Times New Roman"/>
          <w:color w:val="000000"/>
          <w:sz w:val="32"/>
          <w:szCs w:val="32"/>
        </w:rPr>
        <w:t>综合服务</w:t>
      </w:r>
      <w:r>
        <w:rPr>
          <w:rFonts w:hint="eastAsia" w:ascii="Times New Roman" w:hAnsi="Times New Roman" w:eastAsia="仿宋_GB2312" w:cs="Times New Roman"/>
          <w:color w:val="000000"/>
          <w:sz w:val="32"/>
          <w:szCs w:val="32"/>
          <w:lang w:val="en-US" w:eastAsia="zh-CN"/>
        </w:rPr>
        <w:t>模式</w:t>
      </w:r>
      <w:r>
        <w:rPr>
          <w:rFonts w:ascii="Times New Roman" w:hAnsi="Times New Roman" w:eastAsia="仿宋_GB2312" w:cs="Times New Roman"/>
          <w:color w:val="000000"/>
          <w:sz w:val="32"/>
          <w:szCs w:val="32"/>
        </w:rPr>
        <w:t>，促进优质科技成果</w:t>
      </w:r>
      <w:r>
        <w:rPr>
          <w:rFonts w:hint="eastAsia" w:ascii="Times New Roman" w:hAnsi="Times New Roman" w:eastAsia="仿宋_GB2312" w:cs="Times New Roman"/>
          <w:color w:val="000000"/>
          <w:sz w:val="32"/>
          <w:szCs w:val="32"/>
          <w:lang w:val="en-US" w:eastAsia="zh-CN"/>
        </w:rPr>
        <w:t>落地</w:t>
      </w:r>
      <w:r>
        <w:rPr>
          <w:rFonts w:ascii="Times New Roman" w:hAnsi="Times New Roman" w:eastAsia="仿宋_GB2312" w:cs="Times New Roman"/>
          <w:color w:val="000000"/>
          <w:sz w:val="32"/>
          <w:szCs w:val="32"/>
        </w:rPr>
        <w:t>转化</w:t>
      </w:r>
      <w:r>
        <w:rPr>
          <w:rFonts w:hint="eastAsia" w:ascii="Times New Roman" w:hAnsi="Times New Roman" w:eastAsia="仿宋_GB2312" w:cs="Times New Roman"/>
          <w:color w:val="000000"/>
          <w:sz w:val="32"/>
          <w:szCs w:val="36"/>
        </w:rPr>
        <w:t>。构建“领航积分”评价模型，建立科创企业识别标准和精准画像，</w:t>
      </w:r>
      <w:r>
        <w:rPr>
          <w:rFonts w:hint="eastAsia" w:ascii="Times New Roman" w:hAnsi="Times New Roman" w:eastAsia="仿宋_GB2312" w:cs="Times New Roman"/>
          <w:color w:val="000000"/>
          <w:sz w:val="32"/>
          <w:szCs w:val="36"/>
          <w:lang w:val="en-US" w:eastAsia="zh-CN"/>
        </w:rPr>
        <w:t>打通</w:t>
      </w:r>
      <w:r>
        <w:rPr>
          <w:rFonts w:hint="eastAsia" w:ascii="Times New Roman" w:hAnsi="Times New Roman" w:eastAsia="仿宋_GB2312" w:cs="Times New Roman"/>
          <w:color w:val="000000"/>
          <w:sz w:val="32"/>
          <w:szCs w:val="36"/>
        </w:rPr>
        <w:t>“科创贷”与科技创新再贷款协同联动</w:t>
      </w:r>
      <w:r>
        <w:rPr>
          <w:rFonts w:hint="eastAsia" w:ascii="Times New Roman" w:hAnsi="Times New Roman" w:eastAsia="仿宋_GB2312" w:cs="Times New Roman"/>
          <w:color w:val="000000"/>
          <w:sz w:val="32"/>
          <w:szCs w:val="36"/>
          <w:lang w:val="en-US" w:eastAsia="zh-CN"/>
        </w:rPr>
        <w:t>路径</w:t>
      </w:r>
      <w:r>
        <w:rPr>
          <w:rFonts w:hint="eastAsia" w:ascii="Times New Roman" w:hAnsi="Times New Roman" w:eastAsia="仿宋_GB2312" w:cs="Times New Roman"/>
          <w:color w:val="000000"/>
          <w:sz w:val="32"/>
          <w:szCs w:val="36"/>
        </w:rPr>
        <w:t>。</w:t>
      </w:r>
      <w:r>
        <w:rPr>
          <w:rFonts w:ascii="Times New Roman" w:hAnsi="Times New Roman" w:eastAsia="仿宋_GB2312" w:cs="Times New Roman"/>
          <w:color w:val="000000"/>
          <w:sz w:val="32"/>
          <w:szCs w:val="32"/>
          <w:lang w:eastAsia="zh-Hans"/>
        </w:rPr>
        <w:t>深入实施上市培育</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lang w:eastAsia="zh-Hans"/>
        </w:rPr>
        <w:t>领航计划</w:t>
      </w:r>
      <w:r>
        <w:rPr>
          <w:rFonts w:hint="eastAsia"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Hans"/>
        </w:rPr>
        <w:t>，</w:t>
      </w:r>
      <w:r>
        <w:rPr>
          <w:rFonts w:hint="eastAsia" w:ascii="Times New Roman" w:hAnsi="Times New Roman" w:eastAsia="仿宋_GB2312" w:cs="Times New Roman"/>
          <w:sz w:val="32"/>
          <w:szCs w:val="32"/>
        </w:rPr>
        <w:t>做好“孵化-辅导-培育-挂牌-上市”全流程服务</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lang w:eastAsia="zh-Hans"/>
        </w:rPr>
        <w:t>支持企业在新三板挂牌，</w:t>
      </w:r>
      <w:r>
        <w:rPr>
          <w:rFonts w:hint="eastAsia" w:ascii="Times New Roman" w:hAnsi="Times New Roman" w:eastAsia="仿宋_GB2312" w:cs="Times New Roman"/>
          <w:color w:val="000000"/>
          <w:sz w:val="32"/>
          <w:szCs w:val="32"/>
        </w:rPr>
        <w:t>加强</w:t>
      </w:r>
      <w:r>
        <w:rPr>
          <w:rFonts w:ascii="Times New Roman" w:hAnsi="Times New Roman" w:eastAsia="仿宋_GB2312" w:cs="Times New Roman"/>
          <w:color w:val="000000"/>
          <w:sz w:val="32"/>
          <w:szCs w:val="32"/>
          <w:lang w:eastAsia="zh-Hans"/>
        </w:rPr>
        <w:t>北交所拟上市储备</w:t>
      </w:r>
      <w:r>
        <w:rPr>
          <w:rFonts w:hint="eastAsia" w:ascii="Times New Roman" w:hAnsi="Times New Roman" w:eastAsia="仿宋_GB2312" w:cs="Times New Roman"/>
          <w:color w:val="000000"/>
          <w:sz w:val="32"/>
          <w:szCs w:val="32"/>
          <w:lang w:eastAsia="zh-Hans"/>
        </w:rPr>
        <w:t>，</w:t>
      </w:r>
      <w:r>
        <w:rPr>
          <w:rFonts w:ascii="Times New Roman" w:hAnsi="Times New Roman" w:eastAsia="仿宋_GB2312" w:cs="Times New Roman"/>
          <w:color w:val="000000"/>
          <w:sz w:val="32"/>
          <w:szCs w:val="36"/>
        </w:rPr>
        <w:t>鼓励优质境外上市企业回归境内上市</w:t>
      </w:r>
      <w:r>
        <w:rPr>
          <w:rFonts w:hint="eastAsia" w:ascii="Times New Roman" w:hAnsi="Times New Roman" w:eastAsia="仿宋_GB2312" w:cs="Times New Roman"/>
          <w:sz w:val="32"/>
          <w:szCs w:val="32"/>
        </w:rPr>
        <w:t>。</w:t>
      </w:r>
    </w:p>
    <w:p w14:paraId="1EE964C8">
      <w:pPr>
        <w:spacing w:after="0" w:line="560" w:lineRule="exact"/>
        <w:ind w:firstLine="640" w:firstLineChars="200"/>
        <w:textAlignment w:val="center"/>
        <w:outlineLvl w:val="1"/>
        <w:rPr>
          <w:rFonts w:hint="eastAsia" w:ascii="Times New Roman" w:hAnsi="Times New Roman" w:eastAsia="楷体_GB2312" w:cs="Times New Roman"/>
          <w:b w:val="0"/>
          <w:bCs w:val="0"/>
          <w:color w:val="000000"/>
          <w:sz w:val="32"/>
          <w:szCs w:val="36"/>
        </w:rPr>
      </w:pPr>
      <w:bookmarkStart w:id="90" w:name="_Toc17260"/>
      <w:bookmarkStart w:id="91" w:name="_Toc13108"/>
      <w:r>
        <w:rPr>
          <w:rFonts w:hint="eastAsia" w:ascii="Times New Roman" w:hAnsi="Times New Roman" w:eastAsia="楷体_GB2312" w:cs="Times New Roman"/>
          <w:b w:val="0"/>
          <w:bCs w:val="0"/>
          <w:color w:val="000000"/>
          <w:sz w:val="32"/>
          <w:szCs w:val="36"/>
          <w:lang w:eastAsia="zh-CN"/>
        </w:rPr>
        <w:t>（</w:t>
      </w:r>
      <w:r>
        <w:rPr>
          <w:rFonts w:hint="eastAsia" w:ascii="Times New Roman" w:hAnsi="Times New Roman" w:eastAsia="楷体_GB2312" w:cs="Times New Roman"/>
          <w:b w:val="0"/>
          <w:bCs w:val="0"/>
          <w:color w:val="000000"/>
          <w:sz w:val="32"/>
          <w:szCs w:val="36"/>
          <w:lang w:val="en-US" w:eastAsia="zh-CN"/>
        </w:rPr>
        <w:t>七</w:t>
      </w:r>
      <w:r>
        <w:rPr>
          <w:rFonts w:hint="eastAsia" w:ascii="Times New Roman" w:hAnsi="Times New Roman" w:eastAsia="楷体_GB2312" w:cs="Times New Roman"/>
          <w:b w:val="0"/>
          <w:bCs w:val="0"/>
          <w:color w:val="000000"/>
          <w:sz w:val="32"/>
          <w:szCs w:val="36"/>
          <w:lang w:eastAsia="zh-CN"/>
        </w:rPr>
        <w:t>）</w:t>
      </w:r>
      <w:r>
        <w:rPr>
          <w:rFonts w:hint="eastAsia" w:ascii="Times New Roman" w:hAnsi="Times New Roman" w:eastAsia="楷体_GB2312" w:cs="Times New Roman"/>
          <w:b w:val="0"/>
          <w:bCs w:val="0"/>
          <w:color w:val="000000"/>
          <w:sz w:val="32"/>
          <w:szCs w:val="36"/>
        </w:rPr>
        <w:t>做优</w:t>
      </w:r>
      <w:r>
        <w:rPr>
          <w:rFonts w:hint="eastAsia" w:ascii="Times New Roman" w:hAnsi="Times New Roman" w:eastAsia="楷体_GB2312" w:cs="Times New Roman"/>
          <w:b w:val="0"/>
          <w:bCs w:val="0"/>
          <w:color w:val="000000"/>
          <w:sz w:val="32"/>
          <w:szCs w:val="36"/>
          <w:lang w:eastAsia="zh-CN"/>
        </w:rPr>
        <w:t>数字金融，高水平建设</w:t>
      </w:r>
      <w:r>
        <w:rPr>
          <w:rFonts w:hint="eastAsia" w:ascii="Times New Roman" w:hAnsi="Times New Roman" w:eastAsia="楷体_GB2312" w:cs="Times New Roman"/>
          <w:b w:val="0"/>
          <w:bCs w:val="0"/>
          <w:color w:val="000000"/>
          <w:sz w:val="32"/>
          <w:szCs w:val="36"/>
        </w:rPr>
        <w:t>“</w:t>
      </w:r>
      <w:r>
        <w:rPr>
          <w:rFonts w:hint="eastAsia" w:ascii="Times New Roman" w:hAnsi="Times New Roman" w:eastAsia="楷体_GB2312" w:cs="Times New Roman"/>
          <w:b w:val="0"/>
          <w:bCs w:val="0"/>
          <w:color w:val="000000"/>
          <w:sz w:val="32"/>
          <w:szCs w:val="36"/>
          <w:lang w:eastAsia="zh-CN"/>
        </w:rPr>
        <w:t>数字人民币综合性试验区</w:t>
      </w:r>
      <w:r>
        <w:rPr>
          <w:rFonts w:hint="eastAsia" w:ascii="Times New Roman" w:hAnsi="Times New Roman" w:eastAsia="楷体_GB2312" w:cs="Times New Roman"/>
          <w:b w:val="0"/>
          <w:bCs w:val="0"/>
          <w:color w:val="000000"/>
          <w:sz w:val="32"/>
          <w:szCs w:val="36"/>
        </w:rPr>
        <w:t>”</w:t>
      </w:r>
      <w:bookmarkEnd w:id="90"/>
      <w:bookmarkEnd w:id="91"/>
    </w:p>
    <w:p w14:paraId="131B23D9">
      <w:pPr>
        <w:spacing w:after="0" w:line="560" w:lineRule="exact"/>
        <w:ind w:firstLine="640" w:firstLineChars="200"/>
        <w:textAlignment w:val="center"/>
      </w:pPr>
      <w:r>
        <w:rPr>
          <w:rFonts w:hint="eastAsia" w:ascii="仿宋_GB2312" w:eastAsia="仿宋_GB2312"/>
          <w:sz w:val="32"/>
          <w:szCs w:val="32"/>
        </w:rPr>
        <w:t>依托新首钢园区优化数字人民币支付环境，加快推动数字人民币“预付监管”平台全市推广。深化数字人民币跨境支付应用场景，推动多边央行数字货币桥应用落地，引导外贸企业在国际贸易结算、跨境电商、供应链金融等多领域</w:t>
      </w:r>
      <w:r>
        <w:rPr>
          <w:rFonts w:hint="eastAsia" w:ascii="仿宋_GB2312" w:eastAsia="仿宋_GB2312"/>
          <w:sz w:val="32"/>
          <w:szCs w:val="32"/>
          <w:lang w:val="en-US" w:eastAsia="zh-CN"/>
        </w:rPr>
        <w:t>扩大</w:t>
      </w:r>
      <w:r>
        <w:rPr>
          <w:rFonts w:hint="eastAsia" w:ascii="仿宋_GB2312" w:eastAsia="仿宋_GB2312"/>
          <w:sz w:val="32"/>
          <w:szCs w:val="32"/>
        </w:rPr>
        <w:t>数字货币桥应用。提升政府采购、国企资金归集等财政场景数字人民币支付渗透率，推动政务</w:t>
      </w:r>
      <w:r>
        <w:rPr>
          <w:rFonts w:hint="eastAsia" w:ascii="仿宋_GB2312" w:eastAsia="仿宋_GB2312"/>
          <w:sz w:val="32"/>
          <w:szCs w:val="32"/>
          <w:lang w:val="en-US" w:eastAsia="zh-CN"/>
        </w:rPr>
        <w:t>预算</w:t>
      </w:r>
      <w:r>
        <w:rPr>
          <w:rFonts w:hint="eastAsia" w:ascii="仿宋_GB2312" w:eastAsia="仿宋_GB2312"/>
          <w:sz w:val="32"/>
          <w:szCs w:val="32"/>
        </w:rPr>
        <w:t>资金以数字人民币形式拨付，</w:t>
      </w:r>
      <w:r>
        <w:rPr>
          <w:rFonts w:hint="eastAsia" w:ascii="仿宋_GB2312" w:eastAsia="仿宋_GB2312"/>
          <w:sz w:val="32"/>
          <w:szCs w:val="32"/>
          <w:lang w:val="en-US" w:eastAsia="zh-CN"/>
        </w:rPr>
        <w:t>拓宽</w:t>
      </w:r>
      <w:r>
        <w:rPr>
          <w:rFonts w:hint="eastAsia" w:ascii="仿宋_GB2312" w:eastAsia="仿宋_GB2312"/>
          <w:sz w:val="32"/>
          <w:szCs w:val="32"/>
        </w:rPr>
        <w:t>政策兑现应用范围。构建覆盖存</w:t>
      </w:r>
      <w:r>
        <w:rPr>
          <w:rFonts w:hint="eastAsia" w:ascii="仿宋_GB2312" w:eastAsia="仿宋_GB2312"/>
          <w:sz w:val="32"/>
          <w:szCs w:val="32"/>
          <w:lang w:val="en-US" w:eastAsia="zh-CN"/>
        </w:rPr>
        <w:t>款</w:t>
      </w:r>
      <w:r>
        <w:rPr>
          <w:rFonts w:hint="eastAsia" w:ascii="仿宋_GB2312" w:eastAsia="仿宋_GB2312"/>
          <w:sz w:val="32"/>
          <w:szCs w:val="32"/>
        </w:rPr>
        <w:t>、</w:t>
      </w:r>
      <w:r>
        <w:rPr>
          <w:rFonts w:hint="eastAsia" w:ascii="仿宋_GB2312" w:eastAsia="仿宋_GB2312"/>
          <w:sz w:val="32"/>
          <w:szCs w:val="32"/>
          <w:lang w:val="en-US" w:eastAsia="zh-CN"/>
        </w:rPr>
        <w:t>信</w:t>
      </w:r>
      <w:r>
        <w:rPr>
          <w:rFonts w:hint="eastAsia" w:ascii="仿宋_GB2312" w:eastAsia="仿宋_GB2312"/>
          <w:sz w:val="32"/>
          <w:szCs w:val="32"/>
        </w:rPr>
        <w:t>贷、汇</w:t>
      </w:r>
      <w:r>
        <w:rPr>
          <w:rFonts w:hint="eastAsia" w:ascii="仿宋_GB2312" w:eastAsia="仿宋_GB2312"/>
          <w:sz w:val="32"/>
          <w:szCs w:val="32"/>
          <w:lang w:val="en-US" w:eastAsia="zh-CN"/>
        </w:rPr>
        <w:t>兑</w:t>
      </w:r>
      <w:r>
        <w:rPr>
          <w:rFonts w:hint="eastAsia" w:ascii="仿宋_GB2312" w:eastAsia="仿宋_GB2312"/>
          <w:sz w:val="32"/>
          <w:szCs w:val="32"/>
        </w:rPr>
        <w:t>、投</w:t>
      </w:r>
      <w:r>
        <w:rPr>
          <w:rFonts w:hint="eastAsia" w:ascii="仿宋_GB2312" w:eastAsia="仿宋_GB2312"/>
          <w:sz w:val="32"/>
          <w:szCs w:val="32"/>
          <w:lang w:val="en-US" w:eastAsia="zh-CN"/>
        </w:rPr>
        <w:t>资</w:t>
      </w:r>
      <w:r>
        <w:rPr>
          <w:rFonts w:hint="eastAsia" w:ascii="仿宋_GB2312" w:eastAsia="仿宋_GB2312"/>
          <w:sz w:val="32"/>
          <w:szCs w:val="32"/>
        </w:rPr>
        <w:t>全链条的数字支付保障体系。推进</w:t>
      </w:r>
      <w:r>
        <w:rPr>
          <w:rFonts w:hint="eastAsia" w:ascii="仿宋_GB2312" w:hAnsi="Verdana" w:eastAsia="仿宋_GB2312" w:cs="Times New Roman"/>
          <w:color w:val="000000"/>
          <w:sz w:val="32"/>
          <w:szCs w:val="32"/>
        </w:rPr>
        <w:t>“全球供应商数字化服务平台”基础设施建设，搭建数字人民币技术平台，</w:t>
      </w:r>
      <w:r>
        <w:rPr>
          <w:rFonts w:hint="eastAsia" w:ascii="仿宋_GB2312" w:hAnsi="Verdana" w:eastAsia="仿宋_GB2312" w:cs="Times New Roman"/>
          <w:color w:val="000000"/>
          <w:sz w:val="32"/>
          <w:szCs w:val="32"/>
          <w:lang w:val="en-US" w:eastAsia="zh-CN"/>
        </w:rPr>
        <w:t>积极</w:t>
      </w:r>
      <w:r>
        <w:rPr>
          <w:rFonts w:hint="eastAsia" w:ascii="仿宋_GB2312" w:hAnsi="Verdana" w:eastAsia="仿宋_GB2312" w:cs="Times New Roman"/>
          <w:color w:val="000000"/>
          <w:sz w:val="32"/>
          <w:szCs w:val="32"/>
        </w:rPr>
        <w:t>参与数字货币相关标准制定。</w:t>
      </w:r>
    </w:p>
    <w:p w14:paraId="3024841A">
      <w:pPr>
        <w:spacing w:after="0" w:line="560" w:lineRule="exact"/>
        <w:ind w:firstLine="640" w:firstLineChars="200"/>
        <w:textAlignment w:val="center"/>
        <w:outlineLvl w:val="1"/>
        <w:rPr>
          <w:rFonts w:hint="eastAsia" w:ascii="Times New Roman" w:hAnsi="Times New Roman" w:eastAsia="楷体_GB2312" w:cs="Times New Roman"/>
          <w:b w:val="0"/>
          <w:color w:val="000000"/>
          <w:sz w:val="32"/>
          <w:szCs w:val="36"/>
        </w:rPr>
      </w:pPr>
      <w:bookmarkStart w:id="92" w:name="_Toc17942"/>
      <w:bookmarkStart w:id="93" w:name="_Toc9318"/>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lang w:val="en-US" w:eastAsia="zh-CN"/>
        </w:rPr>
        <w:t>八</w:t>
      </w:r>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lang w:eastAsia="zh-Hans"/>
        </w:rPr>
        <w:t>发力养老金融，</w:t>
      </w:r>
      <w:r>
        <w:rPr>
          <w:rFonts w:hint="eastAsia" w:ascii="Times New Roman" w:hAnsi="Times New Roman" w:eastAsia="楷体_GB2312" w:cs="Times New Roman"/>
          <w:b w:val="0"/>
          <w:color w:val="000000"/>
          <w:sz w:val="32"/>
          <w:szCs w:val="36"/>
        </w:rPr>
        <w:t>构建全生命周期综合服务生态</w:t>
      </w:r>
      <w:bookmarkEnd w:id="92"/>
      <w:bookmarkEnd w:id="93"/>
    </w:p>
    <w:p w14:paraId="2DE25F72">
      <w:pPr>
        <w:spacing w:after="0" w:line="560" w:lineRule="exact"/>
        <w:ind w:firstLine="640" w:firstLineChars="200"/>
        <w:textAlignment w:val="center"/>
        <w:rPr>
          <w:rFonts w:ascii="Times New Roman" w:hAnsi="Times New Roman" w:eastAsia="仿宋_GB2312" w:cs="Times New Roman"/>
          <w:sz w:val="32"/>
          <w:szCs w:val="36"/>
        </w:rPr>
      </w:pPr>
      <w:r>
        <w:rPr>
          <w:rFonts w:hint="eastAsia" w:ascii="Times New Roman" w:hAnsi="Times New Roman" w:eastAsia="仿宋_GB2312" w:cs="Times New Roman"/>
          <w:b w:val="0"/>
          <w:bCs/>
          <w:sz w:val="32"/>
          <w:szCs w:val="22"/>
          <w:lang w:val="en-US" w:eastAsia="zh-CN"/>
        </w:rPr>
        <w:t>搭建多层次养老金融产品体系，</w:t>
      </w:r>
      <w:r>
        <w:rPr>
          <w:rFonts w:hint="eastAsia" w:ascii="Times New Roman" w:hAnsi="Times New Roman" w:eastAsia="仿宋_GB2312" w:cs="Times New Roman"/>
          <w:color w:val="000000"/>
          <w:sz w:val="32"/>
          <w:szCs w:val="36"/>
        </w:rPr>
        <w:t>加强金融产品研发与健康、养老照护服务衔接，推动个人养老金、专属商业养老保险、养老理财等多支柱养老金融健康发展。</w:t>
      </w:r>
      <w:r>
        <w:rPr>
          <w:rFonts w:hint="eastAsia" w:ascii="Times New Roman" w:hAnsi="Times New Roman" w:eastAsia="仿宋_GB2312" w:cs="Times New Roman"/>
          <w:color w:val="000000"/>
          <w:sz w:val="32"/>
          <w:szCs w:val="32"/>
        </w:rPr>
        <w:t>深入发展长期护理保险，</w:t>
      </w:r>
      <w:r>
        <w:rPr>
          <w:rFonts w:ascii="Times New Roman" w:hAnsi="Times New Roman" w:eastAsia="仿宋_GB2312" w:cs="Times New Roman"/>
          <w:color w:val="000000"/>
          <w:sz w:val="32"/>
          <w:szCs w:val="32"/>
        </w:rPr>
        <w:t>鼓励保险公司设计与政策性长期护理保险试点相衔接的</w:t>
      </w:r>
      <w:r>
        <w:rPr>
          <w:rFonts w:hint="eastAsia" w:ascii="Times New Roman" w:hAnsi="Times New Roman" w:eastAsia="仿宋_GB2312" w:cs="Times New Roman"/>
          <w:color w:val="000000"/>
          <w:sz w:val="32"/>
          <w:szCs w:val="32"/>
        </w:rPr>
        <w:t>普惠型商业护理险</w:t>
      </w:r>
      <w:r>
        <w:rPr>
          <w:rFonts w:ascii="Times New Roman" w:hAnsi="Times New Roman" w:eastAsia="仿宋_GB2312" w:cs="Times New Roman"/>
          <w:color w:val="000000"/>
          <w:sz w:val="32"/>
          <w:szCs w:val="32"/>
        </w:rPr>
        <w:t>产品</w:t>
      </w:r>
      <w:r>
        <w:rPr>
          <w:rFonts w:hint="eastAsia" w:ascii="Times New Roman" w:hAnsi="Times New Roman" w:eastAsia="仿宋_GB2312" w:cs="Times New Roman"/>
          <w:color w:val="000000"/>
          <w:sz w:val="32"/>
          <w:szCs w:val="32"/>
        </w:rPr>
        <w:t>，打通健康干预与护理服务、政策与商业保障、寿险与护理险责任转换“三通道”</w:t>
      </w:r>
      <w:r>
        <w:rPr>
          <w:rFonts w:hint="eastAsia" w:ascii="Times New Roman" w:hAnsi="Times New Roman" w:eastAsia="仿宋_GB2312" w:cs="Times New Roman"/>
          <w:color w:val="000000"/>
          <w:sz w:val="32"/>
          <w:szCs w:val="36"/>
        </w:rPr>
        <w:t>。</w:t>
      </w:r>
      <w:r>
        <w:rPr>
          <w:rFonts w:hint="eastAsia" w:ascii="Times New Roman" w:hAnsi="Times New Roman" w:eastAsia="仿宋_GB2312" w:cs="Times New Roman"/>
          <w:color w:val="000000"/>
          <w:sz w:val="32"/>
          <w:szCs w:val="36"/>
          <w:lang w:val="en-US" w:eastAsia="zh-CN"/>
        </w:rPr>
        <w:t>优化线下养老金融服务场景，</w:t>
      </w:r>
      <w:r>
        <w:rPr>
          <w:rFonts w:hint="eastAsia" w:ascii="仿宋_GB2312" w:hAnsi="Calibri" w:eastAsia="仿宋_GB2312" w:cs="Times New Roman"/>
          <w:sz w:val="32"/>
          <w:szCs w:val="36"/>
        </w:rPr>
        <w:t>推进金融网点适老化</w:t>
      </w:r>
      <w:r>
        <w:rPr>
          <w:rFonts w:hint="eastAsia" w:ascii="仿宋_GB2312" w:hAnsi="Calibri" w:eastAsia="仿宋_GB2312" w:cs="Times New Roman"/>
          <w:sz w:val="32"/>
          <w:szCs w:val="36"/>
          <w:lang w:val="en-US" w:eastAsia="zh-CN"/>
        </w:rPr>
        <w:t>升级</w:t>
      </w:r>
      <w:r>
        <w:rPr>
          <w:rFonts w:hint="eastAsia" w:ascii="仿宋_GB2312" w:hAnsi="Calibri" w:eastAsia="仿宋_GB2312" w:cs="Times New Roman"/>
          <w:sz w:val="32"/>
          <w:szCs w:val="36"/>
        </w:rPr>
        <w:t>，</w:t>
      </w:r>
      <w:r>
        <w:rPr>
          <w:rFonts w:hint="eastAsia" w:ascii="仿宋_GB2312" w:hAnsi="Calibri" w:eastAsia="仿宋_GB2312" w:cs="Times New Roman"/>
          <w:sz w:val="32"/>
          <w:szCs w:val="36"/>
          <w:lang w:val="en-US" w:eastAsia="zh-CN"/>
        </w:rPr>
        <w:t>布局</w:t>
      </w:r>
      <w:r>
        <w:rPr>
          <w:rFonts w:hint="eastAsia" w:ascii="Times New Roman" w:hAnsi="Times New Roman" w:eastAsia="仿宋_GB2312" w:cs="Times New Roman"/>
          <w:sz w:val="32"/>
          <w:szCs w:val="36"/>
        </w:rPr>
        <w:t>“长者驿站”特色网点，</w:t>
      </w:r>
      <w:r>
        <w:rPr>
          <w:rFonts w:ascii="Times New Roman" w:hAnsi="Times New Roman" w:eastAsia="仿宋_GB2312" w:cs="Times New Roman"/>
          <w:color w:val="000000"/>
          <w:sz w:val="32"/>
          <w:szCs w:val="36"/>
        </w:rPr>
        <w:t>打造</w:t>
      </w:r>
      <w:r>
        <w:rPr>
          <w:rFonts w:hint="eastAsia" w:ascii="Times New Roman" w:hAnsi="Times New Roman" w:eastAsia="仿宋_GB2312" w:cs="Times New Roman"/>
          <w:color w:val="000000"/>
          <w:sz w:val="32"/>
          <w:szCs w:val="36"/>
          <w:lang w:val="en-US" w:eastAsia="zh-CN"/>
        </w:rPr>
        <w:t>一站式</w:t>
      </w:r>
      <w:r>
        <w:rPr>
          <w:rFonts w:ascii="Times New Roman" w:hAnsi="Times New Roman" w:eastAsia="仿宋_GB2312" w:cs="Times New Roman"/>
          <w:color w:val="000000"/>
          <w:sz w:val="32"/>
          <w:szCs w:val="36"/>
        </w:rPr>
        <w:t>养老金融综合超市</w:t>
      </w:r>
      <w:r>
        <w:rPr>
          <w:rFonts w:hint="eastAsia" w:ascii="Times New Roman" w:hAnsi="Times New Roman" w:eastAsia="仿宋_GB2312" w:cs="Times New Roman"/>
          <w:sz w:val="32"/>
          <w:szCs w:val="36"/>
        </w:rPr>
        <w:t>。</w:t>
      </w:r>
      <w:r>
        <w:rPr>
          <w:rFonts w:hint="eastAsia" w:ascii="Times New Roman" w:hAnsi="Times New Roman" w:eastAsia="仿宋_GB2312" w:cs="Times New Roman"/>
          <w:sz w:val="32"/>
          <w:szCs w:val="36"/>
          <w:lang w:val="en-US" w:eastAsia="zh-CN"/>
        </w:rPr>
        <w:t>强化养老领域资金保障，撬动</w:t>
      </w:r>
      <w:r>
        <w:rPr>
          <w:rFonts w:ascii="Times New Roman" w:hAnsi="Times New Roman" w:eastAsia="仿宋_GB2312" w:cs="Times New Roman"/>
          <w:color w:val="000000"/>
          <w:sz w:val="32"/>
          <w:szCs w:val="32"/>
        </w:rPr>
        <w:t>政府</w:t>
      </w:r>
      <w:r>
        <w:rPr>
          <w:rFonts w:hint="eastAsia" w:ascii="Times New Roman" w:hAnsi="Times New Roman" w:eastAsia="仿宋_GB2312" w:cs="Times New Roman"/>
          <w:color w:val="000000"/>
          <w:sz w:val="32"/>
          <w:szCs w:val="32"/>
          <w:lang w:val="en-US" w:eastAsia="zh-CN"/>
        </w:rPr>
        <w:t>引导</w:t>
      </w:r>
      <w:r>
        <w:rPr>
          <w:rFonts w:ascii="Times New Roman" w:hAnsi="Times New Roman" w:eastAsia="仿宋_GB2312" w:cs="Times New Roman"/>
          <w:color w:val="000000"/>
          <w:sz w:val="32"/>
          <w:szCs w:val="32"/>
        </w:rPr>
        <w:t>基金</w:t>
      </w:r>
      <w:r>
        <w:rPr>
          <w:rFonts w:hint="eastAsia" w:ascii="Times New Roman" w:hAnsi="Times New Roman" w:eastAsia="仿宋_GB2312" w:cs="Times New Roman"/>
          <w:color w:val="000000"/>
          <w:sz w:val="32"/>
          <w:szCs w:val="32"/>
          <w:lang w:eastAsia="zh-CN"/>
        </w:rPr>
        <w:t>、</w:t>
      </w:r>
      <w:r>
        <w:rPr>
          <w:rFonts w:ascii="Times New Roman" w:hAnsi="Times New Roman" w:eastAsia="仿宋_GB2312" w:cs="Times New Roman"/>
          <w:color w:val="000000"/>
          <w:sz w:val="32"/>
          <w:szCs w:val="32"/>
        </w:rPr>
        <w:t>市场化基金</w:t>
      </w:r>
      <w:r>
        <w:rPr>
          <w:rFonts w:hint="eastAsia" w:ascii="Times New Roman" w:hAnsi="Times New Roman" w:eastAsia="仿宋_GB2312" w:cs="Times New Roman"/>
          <w:color w:val="000000"/>
          <w:sz w:val="32"/>
          <w:szCs w:val="32"/>
          <w:lang w:val="en-US" w:eastAsia="zh-CN"/>
        </w:rPr>
        <w:t>投向</w:t>
      </w:r>
      <w:r>
        <w:rPr>
          <w:rFonts w:ascii="Times New Roman" w:hAnsi="Times New Roman" w:eastAsia="仿宋_GB2312" w:cs="Times New Roman"/>
          <w:color w:val="000000"/>
          <w:sz w:val="32"/>
          <w:szCs w:val="32"/>
        </w:rPr>
        <w:t>养老产业</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6"/>
        </w:rPr>
        <w:t>引导</w:t>
      </w:r>
      <w:r>
        <w:rPr>
          <w:rFonts w:hint="eastAsia" w:ascii="Times New Roman" w:hAnsi="Times New Roman" w:eastAsia="仿宋_GB2312" w:cs="Times New Roman"/>
          <w:color w:val="000000"/>
          <w:sz w:val="32"/>
          <w:szCs w:val="36"/>
        </w:rPr>
        <w:t>银行</w:t>
      </w:r>
      <w:r>
        <w:rPr>
          <w:rFonts w:ascii="Times New Roman" w:hAnsi="Times New Roman" w:eastAsia="仿宋_GB2312" w:cs="Times New Roman"/>
          <w:color w:val="000000"/>
          <w:sz w:val="32"/>
          <w:szCs w:val="36"/>
        </w:rPr>
        <w:t>机构加大银发经济领域信贷供给</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鼓励</w:t>
      </w:r>
      <w:r>
        <w:rPr>
          <w:rFonts w:ascii="Times New Roman" w:hAnsi="Times New Roman" w:eastAsia="仿宋_GB2312" w:cs="Times New Roman"/>
          <w:color w:val="000000"/>
          <w:sz w:val="32"/>
          <w:szCs w:val="32"/>
        </w:rPr>
        <w:t>保险机构参与居家、社区及机构养老服务</w:t>
      </w:r>
      <w:r>
        <w:rPr>
          <w:rFonts w:hint="eastAsia" w:ascii="Times New Roman" w:hAnsi="Times New Roman" w:eastAsia="仿宋_GB2312" w:cs="Times New Roman"/>
          <w:color w:val="000000"/>
          <w:sz w:val="32"/>
          <w:szCs w:val="32"/>
        </w:rPr>
        <w:t>。</w:t>
      </w:r>
    </w:p>
    <w:p w14:paraId="102D70CD">
      <w:pPr>
        <w:spacing w:after="0" w:line="560" w:lineRule="exact"/>
        <w:ind w:firstLine="640" w:firstLineChars="200"/>
        <w:textAlignment w:val="center"/>
        <w:outlineLvl w:val="1"/>
        <w:rPr>
          <w:rFonts w:hint="eastAsia" w:ascii="Times New Roman" w:hAnsi="Times New Roman" w:eastAsia="楷体_GB2312" w:cs="Times New Roman"/>
          <w:b w:val="0"/>
          <w:color w:val="000000"/>
          <w:sz w:val="32"/>
          <w:szCs w:val="36"/>
        </w:rPr>
      </w:pPr>
      <w:bookmarkStart w:id="94" w:name="_Toc7940"/>
      <w:bookmarkStart w:id="95" w:name="_Toc18836"/>
      <w:bookmarkStart w:id="96" w:name="OLE_LINK3"/>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lang w:val="en-US" w:eastAsia="zh-CN"/>
        </w:rPr>
        <w:t>九</w:t>
      </w:r>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rPr>
        <w:t>做实普惠金融，增强薄弱领域和社会民生服务水平</w:t>
      </w:r>
      <w:bookmarkEnd w:id="94"/>
      <w:bookmarkEnd w:id="95"/>
      <w:bookmarkStart w:id="97" w:name="_Hlk185929186"/>
    </w:p>
    <w:p w14:paraId="7BEA3576">
      <w:pPr>
        <w:spacing w:after="0" w:line="560" w:lineRule="exact"/>
        <w:ind w:firstLine="640" w:firstLineChars="200"/>
        <w:textAlignment w:val="center"/>
      </w:pPr>
      <w:r>
        <w:rPr>
          <w:rFonts w:hint="eastAsia" w:ascii="Times New Roman" w:hAnsi="Times New Roman" w:eastAsia="仿宋_GB2312"/>
          <w:color w:val="000000"/>
          <w:sz w:val="32"/>
          <w:szCs w:val="32"/>
          <w:lang w:eastAsia="zh-Hans"/>
        </w:rPr>
        <w:t>搭建多维度客群画像</w:t>
      </w:r>
      <w:r>
        <w:rPr>
          <w:rFonts w:hint="eastAsia" w:ascii="Times New Roman" w:hAnsi="Times New Roman" w:eastAsia="仿宋_GB2312"/>
          <w:color w:val="000000"/>
          <w:sz w:val="32"/>
          <w:szCs w:val="32"/>
          <w:lang w:val="en-US" w:eastAsia="zh-CN"/>
        </w:rPr>
        <w:t>及</w:t>
      </w:r>
      <w:r>
        <w:rPr>
          <w:rFonts w:hint="eastAsia" w:ascii="Times New Roman" w:hAnsi="Times New Roman" w:eastAsia="仿宋_GB2312"/>
          <w:color w:val="000000"/>
          <w:sz w:val="32"/>
          <w:szCs w:val="32"/>
          <w:lang w:eastAsia="zh-Hans"/>
        </w:rPr>
        <w:t>信用平台，</w:t>
      </w:r>
      <w:r>
        <w:rPr>
          <w:rFonts w:ascii="Times New Roman" w:hAnsi="Times New Roman" w:eastAsia="仿宋_GB2312" w:cs="Times New Roman"/>
          <w:color w:val="000000"/>
          <w:sz w:val="32"/>
          <w:szCs w:val="32"/>
          <w:lang w:eastAsia="zh-Hans"/>
        </w:rPr>
        <w:t>打造普惠金融信用信息服务专区</w:t>
      </w:r>
      <w:r>
        <w:rPr>
          <w:rFonts w:hint="eastAsia" w:ascii="Times New Roman" w:hAnsi="Times New Roman" w:eastAsia="仿宋_GB2312" w:cs="Times New Roman"/>
          <w:color w:val="000000"/>
          <w:sz w:val="32"/>
          <w:szCs w:val="32"/>
          <w:lang w:eastAsia="zh-Hans"/>
        </w:rPr>
        <w:t>，</w:t>
      </w:r>
      <w:r>
        <w:rPr>
          <w:rFonts w:hint="eastAsia" w:ascii="Times New Roman" w:hAnsi="Times New Roman" w:eastAsia="仿宋_GB2312" w:cs="Times New Roman"/>
          <w:color w:val="000000"/>
          <w:sz w:val="32"/>
          <w:szCs w:val="32"/>
          <w:lang w:val="en-US" w:eastAsia="zh-CN"/>
        </w:rPr>
        <w:t>增强</w:t>
      </w:r>
      <w:r>
        <w:rPr>
          <w:rFonts w:hint="eastAsia" w:ascii="Times New Roman" w:hAnsi="Times New Roman" w:eastAsia="仿宋_GB2312" w:cs="Times New Roman"/>
          <w:color w:val="000000"/>
          <w:sz w:val="32"/>
          <w:szCs w:val="32"/>
          <w:lang w:eastAsia="zh-Hans"/>
        </w:rPr>
        <w:t>区域</w:t>
      </w:r>
      <w:r>
        <w:rPr>
          <w:rFonts w:hint="eastAsia" w:ascii="Times New Roman" w:hAnsi="Times New Roman" w:eastAsia="仿宋_GB2312" w:cs="Times New Roman"/>
          <w:color w:val="000000"/>
          <w:sz w:val="32"/>
          <w:szCs w:val="32"/>
        </w:rPr>
        <w:t>经济</w:t>
      </w:r>
      <w:r>
        <w:rPr>
          <w:rFonts w:hint="eastAsia" w:ascii="Times New Roman" w:hAnsi="Times New Roman" w:eastAsia="仿宋_GB2312" w:cs="Times New Roman"/>
          <w:color w:val="000000"/>
          <w:sz w:val="32"/>
          <w:szCs w:val="32"/>
          <w:lang w:val="en-US" w:eastAsia="zh-CN"/>
        </w:rPr>
        <w:t>发展与</w:t>
      </w:r>
      <w:r>
        <w:rPr>
          <w:rFonts w:hint="eastAsia" w:ascii="Times New Roman" w:hAnsi="Times New Roman" w:eastAsia="仿宋_GB2312" w:cs="Times New Roman"/>
          <w:color w:val="000000"/>
          <w:sz w:val="32"/>
          <w:szCs w:val="32"/>
        </w:rPr>
        <w:t>金融</w:t>
      </w:r>
      <w:r>
        <w:rPr>
          <w:rFonts w:hint="eastAsia" w:ascii="Times New Roman" w:hAnsi="Times New Roman" w:eastAsia="仿宋_GB2312" w:cs="Times New Roman"/>
          <w:color w:val="000000"/>
          <w:sz w:val="32"/>
          <w:szCs w:val="32"/>
          <w:lang w:val="en-US" w:eastAsia="zh-CN"/>
        </w:rPr>
        <w:t>供给的</w:t>
      </w:r>
      <w:r>
        <w:rPr>
          <w:rFonts w:hint="eastAsia" w:ascii="Times New Roman" w:hAnsi="Times New Roman" w:eastAsia="仿宋_GB2312" w:cs="Times New Roman"/>
          <w:color w:val="000000"/>
          <w:sz w:val="32"/>
          <w:szCs w:val="32"/>
        </w:rPr>
        <w:t>适配性</w:t>
      </w:r>
      <w:r>
        <w:rPr>
          <w:rFonts w:hint="eastAsia" w:ascii="Times New Roman" w:hAnsi="Times New Roman" w:eastAsia="仿宋_GB2312"/>
          <w:color w:val="000000"/>
          <w:sz w:val="32"/>
          <w:szCs w:val="32"/>
        </w:rPr>
        <w:t>。</w:t>
      </w:r>
      <w:bookmarkEnd w:id="97"/>
      <w:r>
        <w:rPr>
          <w:rFonts w:ascii="Times New Roman" w:hAnsi="Times New Roman" w:eastAsia="仿宋_GB2312" w:cs="Times New Roman"/>
          <w:sz w:val="32"/>
          <w:szCs w:val="36"/>
        </w:rPr>
        <w:t>推动小微企业融资补</w:t>
      </w:r>
      <w:r>
        <w:rPr>
          <w:rFonts w:hint="eastAsia" w:ascii="仿宋_GB2312" w:hAnsi="Times New Roman" w:eastAsia="仿宋_GB2312" w:cs="Times New Roman"/>
          <w:sz w:val="32"/>
          <w:szCs w:val="36"/>
        </w:rPr>
        <w:t>贴“免申即享”“直达快享”</w:t>
      </w:r>
      <w:r>
        <w:rPr>
          <w:rFonts w:hint="eastAsia" w:ascii="Times New Roman" w:hAnsi="Times New Roman" w:eastAsia="仿宋_GB2312" w:cs="Times New Roman"/>
          <w:sz w:val="32"/>
          <w:szCs w:val="36"/>
        </w:rPr>
        <w:t>，定制推出“小微快贷”“商户贷”“研发贷”等</w:t>
      </w:r>
      <w:r>
        <w:rPr>
          <w:rFonts w:hint="eastAsia" w:ascii="Times New Roman" w:hAnsi="Times New Roman" w:eastAsia="仿宋_GB2312" w:cs="Times New Roman"/>
          <w:sz w:val="32"/>
          <w:szCs w:val="36"/>
          <w:lang w:val="en-US" w:eastAsia="zh-CN"/>
        </w:rPr>
        <w:t>专属</w:t>
      </w:r>
      <w:r>
        <w:rPr>
          <w:rFonts w:hint="eastAsia" w:ascii="Times New Roman" w:hAnsi="Times New Roman" w:eastAsia="仿宋_GB2312" w:cs="Times New Roman"/>
          <w:sz w:val="32"/>
          <w:szCs w:val="36"/>
        </w:rPr>
        <w:t>融资产品</w:t>
      </w:r>
      <w:r>
        <w:rPr>
          <w:rFonts w:ascii="Times New Roman" w:hAnsi="Times New Roman" w:eastAsia="仿宋_GB2312" w:cs="Times New Roman"/>
          <w:sz w:val="32"/>
          <w:szCs w:val="36"/>
        </w:rPr>
        <w:t>。</w:t>
      </w:r>
      <w:r>
        <w:rPr>
          <w:rFonts w:hint="eastAsia" w:ascii="Times New Roman" w:hAnsi="Times New Roman" w:eastAsia="仿宋_GB2312" w:cs="Times New Roman"/>
          <w:sz w:val="32"/>
          <w:szCs w:val="32"/>
        </w:rPr>
        <w:t>健全小微企业贷款风险分担补偿机制，联合银行、担保机构探索</w:t>
      </w:r>
      <w:r>
        <w:rPr>
          <w:rFonts w:hint="eastAsia" w:ascii="Times New Roman" w:hAnsi="Times New Roman" w:eastAsia="仿宋_GB2312" w:cs="Times New Roman"/>
          <w:sz w:val="32"/>
          <w:szCs w:val="32"/>
          <w:lang w:val="en-US" w:eastAsia="zh-CN"/>
        </w:rPr>
        <w:t>设立</w:t>
      </w:r>
      <w:r>
        <w:rPr>
          <w:rFonts w:hint="eastAsia" w:ascii="Times New Roman" w:hAnsi="Times New Roman" w:eastAsia="仿宋_GB2312" w:cs="Times New Roman"/>
          <w:sz w:val="32"/>
          <w:szCs w:val="32"/>
        </w:rPr>
        <w:t>覆盖首次贷款、信用贷款和担保贷款的“一揽子”风险补偿资金池</w:t>
      </w:r>
      <w:r>
        <w:rPr>
          <w:rFonts w:hint="eastAsia" w:ascii="Times New Roman" w:hAnsi="Times New Roman" w:eastAsia="仿宋_GB2312" w:cs="Times New Roman"/>
          <w:sz w:val="32"/>
          <w:szCs w:val="36"/>
        </w:rPr>
        <w:t>。</w:t>
      </w:r>
      <w:r>
        <w:rPr>
          <w:rFonts w:hint="eastAsia" w:ascii="Times New Roman" w:hAnsi="Times New Roman" w:eastAsia="仿宋_GB2312" w:cs="Times New Roman"/>
          <w:sz w:val="32"/>
          <w:szCs w:val="36"/>
          <w:lang w:val="en-US" w:eastAsia="zh-CN"/>
        </w:rPr>
        <w:t>强化</w:t>
      </w:r>
      <w:r>
        <w:rPr>
          <w:rFonts w:hint="eastAsia" w:ascii="Times New Roman" w:hAnsi="Times New Roman" w:eastAsia="仿宋_GB2312"/>
          <w:kern w:val="0"/>
          <w:sz w:val="32"/>
          <w:szCs w:val="32"/>
        </w:rPr>
        <w:t>对残疾人、新市民、高校家庭经济困难学生等群体的金融</w:t>
      </w:r>
      <w:r>
        <w:rPr>
          <w:rFonts w:hint="eastAsia" w:ascii="Times New Roman" w:hAnsi="Times New Roman" w:eastAsia="仿宋_GB2312"/>
          <w:kern w:val="0"/>
          <w:sz w:val="32"/>
          <w:szCs w:val="32"/>
          <w:lang w:val="en-US" w:eastAsia="zh-CN"/>
        </w:rPr>
        <w:t>保障</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rPr>
        <w:t>依托</w:t>
      </w:r>
      <w:r>
        <w:rPr>
          <w:rFonts w:ascii="Times New Roman" w:hAnsi="Times New Roman" w:eastAsia="仿宋_GB2312"/>
          <w:color w:val="000000"/>
          <w:sz w:val="32"/>
          <w:szCs w:val="32"/>
          <w:lang w:eastAsia="zh-Hans"/>
        </w:rPr>
        <w:t>全国农业普惠金融数据基础设施平台</w:t>
      </w:r>
      <w:r>
        <w:rPr>
          <w:rFonts w:hint="eastAsia" w:ascii="Times New Roman" w:hAnsi="Times New Roman" w:eastAsia="仿宋_GB2312"/>
          <w:color w:val="000000"/>
          <w:sz w:val="32"/>
          <w:szCs w:val="32"/>
        </w:rPr>
        <w:t>建设，</w:t>
      </w:r>
      <w:r>
        <w:rPr>
          <w:rFonts w:hint="eastAsia" w:ascii="Times New Roman" w:hAnsi="Times New Roman" w:eastAsia="仿宋_GB2312"/>
          <w:color w:val="000000"/>
          <w:sz w:val="32"/>
          <w:szCs w:val="32"/>
          <w:lang w:val="en-US" w:eastAsia="zh-CN"/>
        </w:rPr>
        <w:t>提升</w:t>
      </w:r>
      <w:r>
        <w:rPr>
          <w:rFonts w:hint="eastAsia" w:ascii="Times New Roman" w:hAnsi="Times New Roman" w:eastAsia="仿宋_GB2312"/>
          <w:color w:val="000000"/>
          <w:sz w:val="32"/>
          <w:szCs w:val="32"/>
          <w:lang w:eastAsia="zh-Hans"/>
        </w:rPr>
        <w:t>乡村振兴</w:t>
      </w:r>
      <w:r>
        <w:rPr>
          <w:rFonts w:hint="eastAsia" w:ascii="Times New Roman" w:hAnsi="Times New Roman" w:eastAsia="仿宋_GB2312"/>
          <w:color w:val="000000"/>
          <w:sz w:val="32"/>
          <w:szCs w:val="32"/>
          <w:lang w:val="en-US" w:eastAsia="zh-CN"/>
        </w:rPr>
        <w:t>金融帮扶质效</w:t>
      </w:r>
      <w:r>
        <w:rPr>
          <w:rFonts w:hint="eastAsia" w:ascii="Times New Roman" w:hAnsi="Times New Roman" w:eastAsia="仿宋_GB2312"/>
          <w:color w:val="000000"/>
          <w:sz w:val="32"/>
          <w:szCs w:val="32"/>
          <w:lang w:eastAsia="zh-Hans"/>
        </w:rPr>
        <w:t>。</w:t>
      </w:r>
      <w:r>
        <w:rPr>
          <w:rFonts w:ascii="Times New Roman" w:hAnsi="Times New Roman" w:eastAsia="仿宋_GB2312"/>
          <w:color w:val="000000"/>
          <w:sz w:val="32"/>
          <w:szCs w:val="32"/>
          <w:lang w:eastAsia="zh-Hans"/>
        </w:rPr>
        <w:t>探索</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lang w:eastAsia="zh-Hans"/>
        </w:rPr>
        <w:t>一园一策一标准</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lang w:eastAsia="zh-Hans"/>
        </w:rPr>
        <w:t>，</w:t>
      </w:r>
      <w:r>
        <w:rPr>
          <w:rFonts w:ascii="Times New Roman" w:hAnsi="Times New Roman" w:eastAsia="仿宋_GB2312" w:cs="Times New Roman"/>
          <w:color w:val="000000"/>
          <w:sz w:val="32"/>
          <w:szCs w:val="32"/>
          <w:lang w:eastAsia="zh-Hans"/>
        </w:rPr>
        <w:t>打造一批可复制推广的普惠金融改革试验产品、平台和模式</w:t>
      </w:r>
      <w:r>
        <w:rPr>
          <w:rFonts w:hint="eastAsia" w:ascii="Times New Roman" w:hAnsi="Times New Roman" w:eastAsia="仿宋_GB2312" w:cs="Times New Roman"/>
          <w:color w:val="000000"/>
          <w:sz w:val="32"/>
          <w:szCs w:val="32"/>
        </w:rPr>
        <w:t>，</w:t>
      </w:r>
      <w:r>
        <w:rPr>
          <w:rFonts w:hint="eastAsia" w:ascii="Times New Roman" w:hAnsi="Times New Roman" w:eastAsia="仿宋_GB2312" w:cs="Times New Roman"/>
          <w:kern w:val="0"/>
          <w:sz w:val="32"/>
          <w:szCs w:val="32"/>
        </w:rPr>
        <w:t>争创国家级普惠金融发展示范区</w:t>
      </w:r>
      <w:r>
        <w:rPr>
          <w:rFonts w:hint="eastAsia" w:ascii="Times New Roman" w:hAnsi="Times New Roman" w:eastAsia="仿宋_GB2312" w:cs="Times New Roman"/>
          <w:color w:val="000000"/>
          <w:sz w:val="32"/>
          <w:szCs w:val="32"/>
          <w:lang w:eastAsia="zh-Hans"/>
        </w:rPr>
        <w:t>。</w:t>
      </w:r>
    </w:p>
    <w:bookmarkEnd w:id="88"/>
    <w:bookmarkEnd w:id="96"/>
    <w:p w14:paraId="38ED7F38">
      <w:pPr>
        <w:spacing w:after="0" w:line="560" w:lineRule="exact"/>
        <w:ind w:firstLine="640" w:firstLineChars="200"/>
        <w:textAlignment w:val="center"/>
        <w:outlineLvl w:val="1"/>
        <w:rPr>
          <w:rFonts w:hint="eastAsia" w:ascii="Times New Roman" w:hAnsi="Times New Roman" w:eastAsia="楷体_GB2312" w:cs="Times New Roman"/>
          <w:b w:val="0"/>
          <w:color w:val="000000"/>
          <w:sz w:val="32"/>
          <w:szCs w:val="36"/>
        </w:rPr>
      </w:pPr>
      <w:bookmarkStart w:id="98" w:name="_Toc690428703"/>
      <w:bookmarkStart w:id="99" w:name="_Toc203646196"/>
      <w:bookmarkStart w:id="100" w:name="_Toc24233"/>
      <w:bookmarkStart w:id="101" w:name="_Toc801925915"/>
      <w:bookmarkStart w:id="102" w:name="_Toc139017449"/>
      <w:bookmarkStart w:id="103" w:name="_Toc23780"/>
      <w:bookmarkStart w:id="104" w:name="_Toc204086360"/>
      <w:bookmarkStart w:id="105" w:name="_Toc17515"/>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lang w:val="en-US" w:eastAsia="zh-CN"/>
        </w:rPr>
        <w:t>十</w:t>
      </w:r>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rPr>
        <w:t>拓展绿色金融，</w:t>
      </w:r>
      <w:bookmarkEnd w:id="98"/>
      <w:bookmarkEnd w:id="99"/>
      <w:bookmarkEnd w:id="100"/>
      <w:bookmarkEnd w:id="101"/>
      <w:bookmarkEnd w:id="102"/>
      <w:r>
        <w:rPr>
          <w:rFonts w:hint="eastAsia" w:ascii="Times New Roman" w:hAnsi="Times New Roman" w:eastAsia="楷体_GB2312" w:cs="Times New Roman"/>
          <w:b w:val="0"/>
          <w:color w:val="000000"/>
          <w:sz w:val="32"/>
          <w:szCs w:val="36"/>
        </w:rPr>
        <w:t>助力区域经济社会全面绿色转型</w:t>
      </w:r>
      <w:bookmarkEnd w:id="103"/>
      <w:bookmarkEnd w:id="104"/>
      <w:bookmarkEnd w:id="105"/>
    </w:p>
    <w:p w14:paraId="6B880208">
      <w:pPr>
        <w:spacing w:after="0" w:line="560" w:lineRule="exact"/>
        <w:ind w:firstLine="640" w:firstLineChars="200"/>
        <w:textAlignment w:val="center"/>
        <w:rPr>
          <w:rFonts w:ascii="仿宋_GB2312" w:hAnsi="Calibri" w:eastAsia="仿宋_GB2312" w:cs="Times New Roman"/>
          <w:sz w:val="32"/>
          <w:szCs w:val="32"/>
        </w:rPr>
      </w:pPr>
      <w:r>
        <w:rPr>
          <w:rFonts w:ascii="Times New Roman" w:hAnsi="Times New Roman" w:eastAsia="仿宋_GB2312" w:cs="Times New Roman"/>
          <w:color w:val="000000"/>
          <w:sz w:val="32"/>
          <w:szCs w:val="32"/>
          <w:lang w:eastAsia="zh-Hans"/>
        </w:rPr>
        <w:t>鼓励银行机构创新多样化绿色信贷产品，支持保险机构创新绿色保险服务，</w:t>
      </w:r>
      <w:r>
        <w:rPr>
          <w:rFonts w:hint="eastAsia" w:ascii="Times New Roman" w:hAnsi="Times New Roman" w:eastAsia="仿宋_GB2312" w:cs="Times New Roman"/>
          <w:color w:val="000000"/>
          <w:sz w:val="32"/>
          <w:szCs w:val="32"/>
          <w:lang w:eastAsia="zh-Hans"/>
        </w:rPr>
        <w:t>加快发展绿色债券、绿色资产支持证券和绿色产业基金，推进碳金融</w:t>
      </w:r>
      <w:r>
        <w:rPr>
          <w:rFonts w:hint="eastAsia" w:ascii="Times New Roman" w:hAnsi="Times New Roman" w:eastAsia="仿宋_GB2312" w:cs="Times New Roman"/>
          <w:color w:val="000000"/>
          <w:sz w:val="32"/>
          <w:szCs w:val="32"/>
          <w:lang w:val="en-US" w:eastAsia="zh-CN"/>
        </w:rPr>
        <w:t>及</w:t>
      </w:r>
      <w:r>
        <w:rPr>
          <w:rFonts w:hint="eastAsia" w:ascii="Times New Roman" w:hAnsi="Times New Roman" w:eastAsia="仿宋_GB2312" w:cs="Times New Roman"/>
          <w:color w:val="000000"/>
          <w:sz w:val="32"/>
          <w:szCs w:val="32"/>
          <w:lang w:eastAsia="zh-Hans"/>
        </w:rPr>
        <w:t>衍生工具创新，</w:t>
      </w:r>
      <w:r>
        <w:rPr>
          <w:rFonts w:hint="eastAsia" w:ascii="Times New Roman" w:hAnsi="Times New Roman" w:eastAsia="仿宋_GB2312" w:cs="Times New Roman"/>
          <w:color w:val="000000"/>
          <w:sz w:val="32"/>
          <w:szCs w:val="32"/>
        </w:rPr>
        <w:t>强化</w:t>
      </w:r>
      <w:r>
        <w:rPr>
          <w:rFonts w:ascii="Times New Roman" w:hAnsi="Times New Roman" w:eastAsia="仿宋_GB2312" w:cs="Times New Roman"/>
          <w:color w:val="000000"/>
          <w:sz w:val="32"/>
          <w:szCs w:val="32"/>
          <w:lang w:eastAsia="zh-Hans"/>
        </w:rPr>
        <w:t>对绿色技术创新</w:t>
      </w:r>
      <w:r>
        <w:rPr>
          <w:rFonts w:hint="eastAsia" w:ascii="Times New Roman" w:hAnsi="Times New Roman" w:eastAsia="仿宋_GB2312" w:cs="Times New Roman"/>
          <w:color w:val="000000"/>
          <w:sz w:val="32"/>
          <w:szCs w:val="32"/>
          <w:lang w:val="en-US" w:eastAsia="zh-CN"/>
        </w:rPr>
        <w:t>主体、</w:t>
      </w:r>
      <w:r>
        <w:rPr>
          <w:rFonts w:hint="eastAsia" w:ascii="仿宋_GB2312" w:hAnsi="Calibri" w:eastAsia="仿宋_GB2312" w:cs="Times New Roman"/>
          <w:sz w:val="32"/>
          <w:szCs w:val="36"/>
        </w:rPr>
        <w:t>绿色低碳项目</w:t>
      </w:r>
      <w:r>
        <w:rPr>
          <w:rFonts w:ascii="Times New Roman" w:hAnsi="Times New Roman" w:eastAsia="仿宋_GB2312" w:cs="Times New Roman"/>
          <w:color w:val="000000"/>
          <w:sz w:val="32"/>
          <w:szCs w:val="32"/>
          <w:lang w:eastAsia="zh-Hans"/>
        </w:rPr>
        <w:t>的</w:t>
      </w:r>
      <w:r>
        <w:rPr>
          <w:rFonts w:hint="eastAsia" w:ascii="Times New Roman" w:hAnsi="Times New Roman" w:eastAsia="仿宋_GB2312" w:cs="Times New Roman"/>
          <w:color w:val="000000"/>
          <w:sz w:val="32"/>
          <w:szCs w:val="32"/>
          <w:lang w:eastAsia="zh-Hans"/>
        </w:rPr>
        <w:t>金融服务。</w:t>
      </w:r>
      <w:r>
        <w:rPr>
          <w:rFonts w:hint="eastAsia" w:ascii="Times New Roman" w:hAnsi="Times New Roman" w:eastAsia="仿宋_GB2312" w:cs="Times New Roman"/>
          <w:sz w:val="32"/>
          <w:szCs w:val="36"/>
        </w:rPr>
        <w:t>支持低碳园区</w:t>
      </w:r>
      <w:r>
        <w:rPr>
          <w:rFonts w:hint="eastAsia" w:ascii="Times New Roman" w:hAnsi="Times New Roman" w:eastAsia="仿宋_GB2312" w:cs="Times New Roman"/>
          <w:sz w:val="32"/>
          <w:szCs w:val="36"/>
          <w:lang w:eastAsia="zh-CN"/>
        </w:rPr>
        <w:t>、</w:t>
      </w:r>
      <w:r>
        <w:rPr>
          <w:rFonts w:hint="eastAsia" w:ascii="Times New Roman" w:hAnsi="Times New Roman" w:eastAsia="仿宋_GB2312" w:cs="Times New Roman"/>
          <w:sz w:val="32"/>
          <w:szCs w:val="36"/>
        </w:rPr>
        <w:t>零碳（近零碳）园区建设，推动金融机构加大对高星级绿色建筑、装配式建筑、超低能耗建筑、负碳建筑的金融支持。</w:t>
      </w:r>
      <w:r>
        <w:rPr>
          <w:rFonts w:ascii="Times New Roman" w:hAnsi="Times New Roman" w:eastAsia="仿宋_GB2312" w:cs="Times New Roman"/>
          <w:color w:val="000000"/>
          <w:sz w:val="32"/>
          <w:szCs w:val="32"/>
          <w:lang w:eastAsia="zh-Hans"/>
        </w:rPr>
        <w:t>探索绿色低碳领域基础设施REITs试点</w:t>
      </w:r>
      <w:r>
        <w:rPr>
          <w:rFonts w:hint="eastAsia" w:ascii="Times New Roman" w:hAnsi="Times New Roman" w:eastAsia="仿宋_GB2312" w:cs="Times New Roman"/>
          <w:color w:val="000000"/>
          <w:sz w:val="32"/>
          <w:szCs w:val="32"/>
          <w:lang w:eastAsia="zh-Hans"/>
        </w:rPr>
        <w:t>，</w:t>
      </w:r>
      <w:r>
        <w:rPr>
          <w:rFonts w:ascii="Times New Roman" w:hAnsi="Times New Roman" w:eastAsia="仿宋_GB2312" w:cs="Times New Roman"/>
          <w:color w:val="000000"/>
          <w:sz w:val="32"/>
          <w:szCs w:val="32"/>
          <w:lang w:eastAsia="zh-Hans"/>
        </w:rPr>
        <w:t>支持符合条件的</w:t>
      </w:r>
      <w:r>
        <w:rPr>
          <w:rFonts w:hint="eastAsia" w:ascii="Times New Roman" w:hAnsi="Times New Roman" w:eastAsia="仿宋_GB2312" w:cs="Times New Roman"/>
          <w:color w:val="000000"/>
          <w:sz w:val="32"/>
          <w:szCs w:val="32"/>
        </w:rPr>
        <w:t>基础</w:t>
      </w:r>
      <w:r>
        <w:rPr>
          <w:rFonts w:ascii="Times New Roman" w:hAnsi="Times New Roman" w:eastAsia="仿宋_GB2312" w:cs="Times New Roman"/>
          <w:color w:val="000000"/>
          <w:sz w:val="32"/>
          <w:szCs w:val="32"/>
          <w:lang w:eastAsia="zh-Hans"/>
        </w:rPr>
        <w:t>设施项目发行不动产投资信托基金产品。</w:t>
      </w:r>
    </w:p>
    <w:bookmarkEnd w:id="66"/>
    <w:bookmarkEnd w:id="84"/>
    <w:bookmarkEnd w:id="89"/>
    <w:p w14:paraId="2F0B9D64">
      <w:pPr>
        <w:spacing w:after="0" w:line="560" w:lineRule="exact"/>
        <w:ind w:firstLine="640" w:firstLineChars="200"/>
        <w:textAlignment w:val="center"/>
        <w:outlineLvl w:val="0"/>
        <w:rPr>
          <w:rFonts w:hint="eastAsia" w:ascii="Times New Roman" w:hAnsi="Times New Roman" w:eastAsia="黑体" w:cs="Times New Roman"/>
          <w:b w:val="0"/>
          <w:bCs w:val="0"/>
          <w:sz w:val="32"/>
          <w:szCs w:val="32"/>
        </w:rPr>
      </w:pPr>
      <w:bookmarkStart w:id="106" w:name="_Toc18651"/>
      <w:bookmarkStart w:id="107" w:name="_Toc21710"/>
      <w:bookmarkStart w:id="108" w:name="_Toc1031435635"/>
      <w:bookmarkStart w:id="109" w:name="_Toc214375923"/>
      <w:bookmarkStart w:id="110" w:name="_Toc1020065977"/>
      <w:bookmarkStart w:id="111" w:name="_Toc29957"/>
      <w:bookmarkStart w:id="112" w:name="_Toc10336"/>
      <w:bookmarkStart w:id="113" w:name="_Toc26216"/>
      <w:r>
        <w:rPr>
          <w:rFonts w:hint="eastAsia" w:ascii="Times New Roman" w:hAnsi="Times New Roman" w:eastAsia="黑体" w:cs="Times New Roman"/>
          <w:b w:val="0"/>
          <w:bCs w:val="0"/>
          <w:sz w:val="32"/>
          <w:szCs w:val="32"/>
          <w:lang w:val="en-US" w:eastAsia="zh-CN"/>
        </w:rPr>
        <w:t>四、</w:t>
      </w:r>
      <w:r>
        <w:rPr>
          <w:rFonts w:hint="eastAsia" w:ascii="Times New Roman" w:hAnsi="Times New Roman" w:eastAsia="黑体" w:cs="Times New Roman"/>
          <w:b w:val="0"/>
          <w:bCs w:val="0"/>
          <w:sz w:val="32"/>
          <w:szCs w:val="32"/>
        </w:rPr>
        <w:t>推动金融领域高水平对外开放</w:t>
      </w:r>
      <w:bookmarkEnd w:id="106"/>
      <w:bookmarkEnd w:id="107"/>
      <w:bookmarkEnd w:id="108"/>
      <w:bookmarkEnd w:id="109"/>
      <w:bookmarkEnd w:id="110"/>
    </w:p>
    <w:p w14:paraId="57058396">
      <w:pPr>
        <w:spacing w:after="0" w:line="560" w:lineRule="exact"/>
        <w:ind w:firstLine="640" w:firstLineChars="200"/>
        <w:textAlignment w:val="center"/>
        <w:outlineLvl w:val="1"/>
        <w:rPr>
          <w:rFonts w:hint="eastAsia" w:ascii="Times New Roman" w:hAnsi="Times New Roman" w:eastAsia="楷体_GB2312" w:cs="Times New Roman"/>
          <w:b w:val="0"/>
          <w:color w:val="000000"/>
          <w:sz w:val="32"/>
          <w:szCs w:val="36"/>
        </w:rPr>
      </w:pPr>
      <w:bookmarkStart w:id="114" w:name="_Toc11853"/>
      <w:bookmarkStart w:id="115" w:name="_Toc18422"/>
      <w:bookmarkStart w:id="116" w:name="_Toc577453258"/>
      <w:bookmarkStart w:id="117" w:name="_Toc709480070"/>
      <w:bookmarkStart w:id="118" w:name="_Toc203646207"/>
      <w:bookmarkStart w:id="119" w:name="_Toc1076977117"/>
      <w:bookmarkStart w:id="120" w:name="_Toc15692"/>
      <w:bookmarkStart w:id="121" w:name="_Toc204086372"/>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lang w:val="en-US" w:eastAsia="zh-CN"/>
        </w:rPr>
        <w:t>十一</w:t>
      </w:r>
      <w:r>
        <w:rPr>
          <w:rFonts w:hint="eastAsia" w:ascii="Times New Roman" w:hAnsi="Times New Roman" w:eastAsia="楷体_GB2312" w:cs="Times New Roman"/>
          <w:b w:val="0"/>
          <w:color w:val="000000"/>
          <w:sz w:val="32"/>
          <w:szCs w:val="36"/>
          <w:lang w:eastAsia="zh-CN"/>
        </w:rPr>
        <w:t>）</w:t>
      </w:r>
      <w:r>
        <w:rPr>
          <w:rFonts w:hint="eastAsia" w:ascii="Times New Roman" w:hAnsi="Times New Roman" w:eastAsia="楷体_GB2312" w:cs="Times New Roman"/>
          <w:b w:val="0"/>
          <w:color w:val="000000"/>
          <w:sz w:val="32"/>
          <w:szCs w:val="36"/>
        </w:rPr>
        <w:t>打造首都开放型金融生态区</w:t>
      </w:r>
      <w:bookmarkEnd w:id="114"/>
      <w:bookmarkEnd w:id="115"/>
    </w:p>
    <w:p w14:paraId="3FE7759C">
      <w:pPr>
        <w:spacing w:after="0" w:line="560" w:lineRule="exact"/>
        <w:ind w:firstLine="640" w:firstLineChars="200"/>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lang w:eastAsia="zh-Hans"/>
        </w:rPr>
        <w:t>全面提升</w:t>
      </w:r>
      <w:r>
        <w:rPr>
          <w:rFonts w:ascii="Times New Roman" w:hAnsi="Times New Roman" w:eastAsia="仿宋_GB2312" w:cs="Times New Roman"/>
          <w:color w:val="000000"/>
          <w:sz w:val="32"/>
          <w:szCs w:val="32"/>
        </w:rPr>
        <w:t>跨境支付</w:t>
      </w:r>
      <w:r>
        <w:rPr>
          <w:rFonts w:hint="eastAsia" w:ascii="仿宋_GB2312" w:hAnsi="Verdana" w:eastAsia="仿宋_GB2312" w:cs="Times New Roman"/>
          <w:color w:val="000000"/>
          <w:sz w:val="32"/>
          <w:szCs w:val="32"/>
          <w:lang w:eastAsia="zh-Hans"/>
        </w:rPr>
        <w:t>便利</w:t>
      </w:r>
      <w:r>
        <w:rPr>
          <w:rFonts w:ascii="Times New Roman" w:hAnsi="Times New Roman" w:eastAsia="仿宋_GB2312" w:cs="Times New Roman"/>
          <w:color w:val="000000"/>
          <w:sz w:val="32"/>
          <w:szCs w:val="32"/>
          <w:lang w:eastAsia="zh-Hans"/>
        </w:rPr>
        <w:t>度</w:t>
      </w:r>
      <w:r>
        <w:rPr>
          <w:rFonts w:ascii="Times New Roman" w:hAnsi="Times New Roman" w:eastAsia="仿宋_GB2312" w:cs="Times New Roman"/>
          <w:color w:val="000000"/>
          <w:sz w:val="32"/>
          <w:szCs w:val="32"/>
        </w:rPr>
        <w:t>，推广离境退税</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即买即退</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，深挖信用卡境外消费场景</w:t>
      </w:r>
      <w:r>
        <w:rPr>
          <w:rFonts w:hint="eastAsia" w:ascii="Times New Roman" w:hAnsi="Times New Roman" w:eastAsia="仿宋_GB2312" w:cs="Times New Roman"/>
          <w:color w:val="000000"/>
          <w:sz w:val="32"/>
          <w:szCs w:val="32"/>
        </w:rPr>
        <w:t>、创新产品及</w:t>
      </w:r>
      <w:r>
        <w:rPr>
          <w:rFonts w:ascii="Times New Roman" w:hAnsi="Times New Roman" w:eastAsia="仿宋_GB2312" w:cs="Times New Roman"/>
          <w:color w:val="000000"/>
          <w:sz w:val="32"/>
          <w:szCs w:val="32"/>
        </w:rPr>
        <w:t>服务。</w:t>
      </w:r>
      <w:r>
        <w:rPr>
          <w:rFonts w:hint="eastAsia" w:ascii="Times New Roman" w:hAnsi="Times New Roman" w:eastAsia="仿宋_GB2312" w:cs="Times New Roman"/>
          <w:color w:val="000000"/>
          <w:sz w:val="32"/>
          <w:szCs w:val="32"/>
        </w:rPr>
        <w:t>开展跨境资本流动试点，深化跨境基金合作投资机制，推动</w:t>
      </w:r>
      <w:r>
        <w:rPr>
          <w:rFonts w:ascii="Times New Roman" w:hAnsi="Times New Roman" w:eastAsia="仿宋_GB2312" w:cs="Times New Roman"/>
          <w:color w:val="000000"/>
          <w:sz w:val="32"/>
          <w:szCs w:val="32"/>
          <w:lang w:eastAsia="zh-Hans"/>
        </w:rPr>
        <w:t>合格境外有限合伙人</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lang w:eastAsia="zh-Hans"/>
        </w:rPr>
        <w:t>QFLP)</w:t>
      </w:r>
      <w:r>
        <w:rPr>
          <w:rFonts w:hint="eastAsia" w:ascii="Times New Roman" w:hAnsi="Times New Roman" w:eastAsia="仿宋_GB2312" w:cs="Times New Roman"/>
          <w:color w:val="000000"/>
          <w:sz w:val="32"/>
          <w:szCs w:val="32"/>
        </w:rPr>
        <w:t>及</w:t>
      </w:r>
      <w:r>
        <w:rPr>
          <w:rFonts w:ascii="Times New Roman" w:hAnsi="Times New Roman" w:eastAsia="仿宋_GB2312" w:cs="Times New Roman"/>
          <w:color w:val="000000"/>
          <w:sz w:val="32"/>
          <w:szCs w:val="32"/>
          <w:lang w:eastAsia="zh-Hans"/>
        </w:rPr>
        <w:t>合格境外机构投资者</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lang w:eastAsia="zh-Hans"/>
        </w:rPr>
        <w:t>QFII)试点</w:t>
      </w:r>
      <w:r>
        <w:rPr>
          <w:rFonts w:hint="eastAsia" w:ascii="Times New Roman" w:hAnsi="Times New Roman" w:eastAsia="仿宋_GB2312" w:cs="Times New Roman"/>
          <w:color w:val="000000"/>
          <w:sz w:val="32"/>
          <w:szCs w:val="32"/>
        </w:rPr>
        <w:t>项目落地</w:t>
      </w:r>
      <w:r>
        <w:rPr>
          <w:rFonts w:ascii="Times New Roman" w:hAnsi="Times New Roman" w:eastAsia="仿宋_GB2312" w:cs="Times New Roman"/>
          <w:color w:val="000000"/>
          <w:sz w:val="32"/>
          <w:szCs w:val="32"/>
          <w:lang w:eastAsia="zh-Hans"/>
        </w:rPr>
        <w:t>，引导符合条件的机构申报合格境内有限合伙人</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lang w:eastAsia="zh-Hans"/>
        </w:rPr>
        <w:t>QDLP</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lang w:eastAsia="zh-Hans"/>
        </w:rPr>
        <w:t>试点。探索跨境金融</w:t>
      </w:r>
      <w:r>
        <w:rPr>
          <w:rFonts w:hint="eastAsia" w:ascii="Times New Roman" w:hAnsi="Times New Roman" w:eastAsia="仿宋_GB2312" w:cs="Times New Roman"/>
          <w:color w:val="000000"/>
          <w:sz w:val="32"/>
          <w:szCs w:val="32"/>
          <w:lang w:val="en-US" w:eastAsia="zh-CN"/>
        </w:rPr>
        <w:t>监</w:t>
      </w:r>
      <w:r>
        <w:rPr>
          <w:rFonts w:ascii="Times New Roman" w:hAnsi="Times New Roman" w:eastAsia="仿宋_GB2312" w:cs="Times New Roman"/>
          <w:color w:val="000000"/>
          <w:sz w:val="32"/>
          <w:szCs w:val="32"/>
          <w:lang w:eastAsia="zh-Hans"/>
        </w:rPr>
        <w:t>管服务创新，开展</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lang w:eastAsia="zh-Hans"/>
        </w:rPr>
        <w:t>科汇通</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lang w:eastAsia="zh-Hans"/>
        </w:rPr>
        <w:t>业务试点，畅通科研</w:t>
      </w:r>
      <w:r>
        <w:rPr>
          <w:rFonts w:hint="eastAsia" w:ascii="Times New Roman" w:hAnsi="Times New Roman" w:eastAsia="仿宋_GB2312"/>
          <w:color w:val="000000"/>
          <w:sz w:val="32"/>
          <w:szCs w:val="32"/>
        </w:rPr>
        <w:t>机构开办资金入境渠道，</w:t>
      </w:r>
      <w:r>
        <w:rPr>
          <w:rFonts w:hint="eastAsia" w:ascii="Times New Roman" w:hAnsi="Times New Roman" w:eastAsia="仿宋_GB2312" w:cs="Times New Roman"/>
          <w:color w:val="000000"/>
          <w:sz w:val="32"/>
          <w:szCs w:val="32"/>
          <w:lang w:eastAsia="zh-Hans"/>
        </w:rPr>
        <w:t>鼓励金融机构为企业提供跨境结算、贸易融资、跨境并购、境外项目融资“一站式”金融服务方案。积极</w:t>
      </w:r>
      <w:r>
        <w:rPr>
          <w:rFonts w:hint="eastAsia" w:ascii="Times New Roman" w:hAnsi="Times New Roman" w:eastAsia="仿宋_GB2312" w:cs="Times New Roman"/>
          <w:color w:val="000000"/>
          <w:sz w:val="32"/>
          <w:szCs w:val="32"/>
          <w:lang w:val="en-US" w:eastAsia="zh-CN"/>
        </w:rPr>
        <w:t>引进</w:t>
      </w:r>
      <w:r>
        <w:rPr>
          <w:rFonts w:hint="eastAsia" w:ascii="Times New Roman" w:hAnsi="Times New Roman" w:eastAsia="仿宋_GB2312" w:cs="Times New Roman"/>
          <w:color w:val="000000"/>
          <w:sz w:val="32"/>
          <w:szCs w:val="32"/>
          <w:lang w:eastAsia="zh-Hans"/>
        </w:rPr>
        <w:t>国际金融机构和</w:t>
      </w:r>
      <w:r>
        <w:rPr>
          <w:rFonts w:hint="eastAsia" w:ascii="Times New Roman" w:hAnsi="Times New Roman" w:eastAsia="仿宋_GB2312" w:cs="Times New Roman"/>
          <w:color w:val="000000"/>
          <w:sz w:val="32"/>
          <w:szCs w:val="32"/>
          <w:lang w:val="en-US" w:eastAsia="zh-CN"/>
        </w:rPr>
        <w:t>行业</w:t>
      </w:r>
      <w:r>
        <w:rPr>
          <w:rFonts w:hint="eastAsia" w:ascii="Times New Roman" w:hAnsi="Times New Roman" w:eastAsia="仿宋_GB2312" w:cs="Times New Roman"/>
          <w:color w:val="000000"/>
          <w:sz w:val="32"/>
          <w:szCs w:val="32"/>
          <w:lang w:eastAsia="zh-Hans"/>
        </w:rPr>
        <w:t>组织，营造</w:t>
      </w:r>
      <w:r>
        <w:rPr>
          <w:rFonts w:hint="eastAsia" w:ascii="Times New Roman" w:hAnsi="Times New Roman" w:eastAsia="仿宋_GB2312" w:cs="Times New Roman"/>
          <w:color w:val="000000"/>
          <w:sz w:val="32"/>
          <w:szCs w:val="32"/>
          <w:lang w:val="en-US" w:eastAsia="zh-CN"/>
        </w:rPr>
        <w:t>适配国际化人才的</w:t>
      </w:r>
      <w:r>
        <w:rPr>
          <w:rFonts w:hint="eastAsia" w:ascii="Times New Roman" w:hAnsi="Times New Roman" w:eastAsia="仿宋_GB2312" w:cs="Times New Roman"/>
          <w:color w:val="000000"/>
          <w:sz w:val="32"/>
          <w:szCs w:val="32"/>
        </w:rPr>
        <w:t>“类海外”工作生活环境。</w:t>
      </w:r>
    </w:p>
    <w:bookmarkEnd w:id="116"/>
    <w:bookmarkEnd w:id="117"/>
    <w:bookmarkEnd w:id="118"/>
    <w:bookmarkEnd w:id="119"/>
    <w:bookmarkEnd w:id="120"/>
    <w:bookmarkEnd w:id="121"/>
    <w:p w14:paraId="7C361A39">
      <w:pPr>
        <w:spacing w:after="0" w:line="560" w:lineRule="exact"/>
        <w:ind w:firstLine="640" w:firstLineChars="200"/>
        <w:textAlignment w:val="center"/>
        <w:outlineLvl w:val="1"/>
        <w:rPr>
          <w:rFonts w:hint="eastAsia" w:ascii="Times New Roman" w:hAnsi="Times New Roman" w:eastAsia="楷体_GB2312" w:cs="Times New Roman"/>
          <w:b w:val="0"/>
          <w:bCs w:val="0"/>
          <w:color w:val="000000"/>
          <w:kern w:val="2"/>
          <w:sz w:val="32"/>
          <w:szCs w:val="36"/>
        </w:rPr>
      </w:pPr>
      <w:bookmarkStart w:id="122" w:name="_Toc9109"/>
      <w:bookmarkStart w:id="123" w:name="_Toc7308"/>
      <w:r>
        <w:rPr>
          <w:rFonts w:hint="eastAsia" w:ascii="Times New Roman" w:hAnsi="Times New Roman" w:eastAsia="楷体_GB2312" w:cs="Times New Roman"/>
          <w:b w:val="0"/>
          <w:bCs w:val="0"/>
          <w:color w:val="000000"/>
          <w:kern w:val="2"/>
          <w:sz w:val="32"/>
          <w:szCs w:val="36"/>
          <w:lang w:eastAsia="zh-CN"/>
        </w:rPr>
        <w:t>（</w:t>
      </w:r>
      <w:r>
        <w:rPr>
          <w:rFonts w:hint="eastAsia" w:ascii="Times New Roman" w:hAnsi="Times New Roman" w:eastAsia="楷体_GB2312" w:cs="Times New Roman"/>
          <w:b w:val="0"/>
          <w:bCs w:val="0"/>
          <w:color w:val="000000"/>
          <w:kern w:val="2"/>
          <w:sz w:val="32"/>
          <w:szCs w:val="36"/>
          <w:lang w:val="en-US" w:eastAsia="zh-CN"/>
        </w:rPr>
        <w:t>十二</w:t>
      </w:r>
      <w:r>
        <w:rPr>
          <w:rFonts w:hint="eastAsia" w:ascii="Times New Roman" w:hAnsi="Times New Roman" w:eastAsia="楷体_GB2312" w:cs="Times New Roman"/>
          <w:b w:val="0"/>
          <w:bCs w:val="0"/>
          <w:color w:val="000000"/>
          <w:kern w:val="2"/>
          <w:sz w:val="32"/>
          <w:szCs w:val="36"/>
          <w:lang w:eastAsia="zh-CN"/>
        </w:rPr>
        <w:t>）</w:t>
      </w:r>
      <w:r>
        <w:rPr>
          <w:rFonts w:hint="eastAsia" w:ascii="Times New Roman" w:hAnsi="Times New Roman" w:eastAsia="楷体_GB2312" w:cs="Times New Roman"/>
          <w:b w:val="0"/>
          <w:bCs w:val="0"/>
          <w:color w:val="000000"/>
          <w:kern w:val="2"/>
          <w:sz w:val="32"/>
          <w:szCs w:val="36"/>
        </w:rPr>
        <w:t>打造金融品牌论坛集聚地</w:t>
      </w:r>
      <w:bookmarkEnd w:id="122"/>
      <w:bookmarkEnd w:id="123"/>
    </w:p>
    <w:p w14:paraId="2130483D">
      <w:pPr>
        <w:spacing w:after="0" w:line="560" w:lineRule="exact"/>
        <w:ind w:firstLine="640" w:firstLineChars="200"/>
        <w:textAlignment w:val="center"/>
      </w:pPr>
      <w:r>
        <w:rPr>
          <w:rFonts w:hint="eastAsia" w:ascii="仿宋_GB2312" w:hAnsi="仿宋_GB2312" w:eastAsia="仿宋_GB2312" w:cs="仿宋_GB2312"/>
          <w:sz w:val="32"/>
          <w:szCs w:val="32"/>
        </w:rPr>
        <w:t>依托服贸会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一会一址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落户举办”、首钢园会展小镇建设等</w:t>
      </w:r>
      <w:r>
        <w:rPr>
          <w:rFonts w:hint="eastAsia" w:ascii="仿宋_GB2312" w:hAnsi="仿宋_GB2312" w:eastAsia="仿宋_GB2312" w:cs="仿宋_GB2312"/>
          <w:sz w:val="32"/>
          <w:szCs w:val="32"/>
          <w:lang w:val="en-US" w:eastAsia="zh-CN"/>
        </w:rPr>
        <w:t>新</w:t>
      </w:r>
      <w:r>
        <w:rPr>
          <w:rFonts w:hint="eastAsia" w:ascii="仿宋_GB2312" w:hAnsi="仿宋_GB2312" w:eastAsia="仿宋_GB2312" w:cs="仿宋_GB2312"/>
          <w:sz w:val="32"/>
          <w:szCs w:val="32"/>
        </w:rPr>
        <w:t>机遇，</w:t>
      </w:r>
      <w:r>
        <w:rPr>
          <w:rFonts w:hint="eastAsia" w:ascii="Times New Roman" w:hAnsi="Times New Roman" w:eastAsia="仿宋_GB2312" w:cs="仿宋_GB2312"/>
          <w:sz w:val="32"/>
          <w:szCs w:val="32"/>
        </w:rPr>
        <w:t>高水平举办全球数字经济大会数字金融论坛、服贸会石景山区金融服务专题展等品牌活动。积极争取外资机构和国际金融组织重要国际性会议、年会、论坛等在石景山</w:t>
      </w:r>
      <w:r>
        <w:rPr>
          <w:rFonts w:hint="eastAsia" w:ascii="Times New Roman" w:hAnsi="Times New Roman" w:eastAsia="仿宋_GB2312" w:cs="仿宋_GB2312"/>
          <w:sz w:val="32"/>
          <w:szCs w:val="32"/>
          <w:lang w:val="en-US" w:eastAsia="zh-CN"/>
        </w:rPr>
        <w:t>举办</w:t>
      </w:r>
      <w:r>
        <w:rPr>
          <w:rFonts w:hint="eastAsia" w:ascii="Times New Roman" w:hAnsi="Times New Roman" w:eastAsia="仿宋_GB2312" w:cs="仿宋_GB2312"/>
          <w:sz w:val="32"/>
          <w:szCs w:val="32"/>
        </w:rPr>
        <w:t>。依托北京</w:t>
      </w:r>
      <w:r>
        <w:rPr>
          <w:rFonts w:hint="eastAsia" w:ascii="Times New Roman" w:hAnsi="Times New Roman" w:eastAsia="仿宋_GB2312" w:cs="Times New Roman"/>
          <w:sz w:val="32"/>
          <w:szCs w:val="36"/>
        </w:rPr>
        <w:t>·</w:t>
      </w:r>
      <w:r>
        <w:rPr>
          <w:rFonts w:hint="eastAsia" w:ascii="Times New Roman" w:hAnsi="Times New Roman" w:eastAsia="仿宋_GB2312" w:cs="仿宋_GB2312"/>
          <w:sz w:val="32"/>
          <w:szCs w:val="32"/>
        </w:rPr>
        <w:t>银行保险产业园载体空间，打造特色金融公共空间，策划举办金融沙龙、创新分享会、融资对接会等金融文化交流活动。</w:t>
      </w:r>
    </w:p>
    <w:p w14:paraId="2BA6BC94">
      <w:pPr>
        <w:spacing w:after="0" w:line="560" w:lineRule="exact"/>
        <w:ind w:firstLine="640" w:firstLineChars="200"/>
        <w:textAlignment w:val="center"/>
        <w:outlineLvl w:val="0"/>
        <w:rPr>
          <w:rFonts w:hint="eastAsia" w:ascii="Times New Roman" w:hAnsi="Times New Roman" w:eastAsia="黑体" w:cs="Times New Roman"/>
          <w:b w:val="0"/>
          <w:bCs w:val="0"/>
          <w:sz w:val="32"/>
          <w:szCs w:val="32"/>
        </w:rPr>
      </w:pPr>
      <w:bookmarkStart w:id="124" w:name="_Toc1024661342"/>
      <w:bookmarkStart w:id="125" w:name="_Toc24596"/>
      <w:bookmarkStart w:id="126" w:name="_Toc20876"/>
      <w:bookmarkStart w:id="127" w:name="_Toc1420618206"/>
      <w:bookmarkStart w:id="128" w:name="_Toc214375924"/>
      <w:r>
        <w:rPr>
          <w:rFonts w:hint="eastAsia" w:ascii="Times New Roman" w:hAnsi="Times New Roman" w:eastAsia="黑体" w:cs="Times New Roman"/>
          <w:b w:val="0"/>
          <w:bCs w:val="0"/>
          <w:sz w:val="32"/>
          <w:szCs w:val="32"/>
          <w:lang w:val="en-US" w:eastAsia="zh-CN"/>
        </w:rPr>
        <w:t>五、</w:t>
      </w:r>
      <w:r>
        <w:rPr>
          <w:rFonts w:hint="eastAsia" w:ascii="Times New Roman" w:hAnsi="Times New Roman" w:eastAsia="黑体" w:cs="Times New Roman"/>
          <w:b w:val="0"/>
          <w:bCs w:val="0"/>
          <w:sz w:val="32"/>
          <w:szCs w:val="32"/>
        </w:rPr>
        <w:t>增强金融风险防范化解能力</w:t>
      </w:r>
      <w:bookmarkEnd w:id="111"/>
      <w:bookmarkEnd w:id="112"/>
      <w:bookmarkEnd w:id="113"/>
      <w:bookmarkEnd w:id="124"/>
      <w:bookmarkEnd w:id="125"/>
      <w:bookmarkEnd w:id="126"/>
      <w:bookmarkEnd w:id="127"/>
      <w:bookmarkEnd w:id="128"/>
    </w:p>
    <w:p w14:paraId="161DB370">
      <w:pPr>
        <w:spacing w:after="0" w:line="560" w:lineRule="exact"/>
        <w:ind w:firstLine="640" w:firstLineChars="200"/>
        <w:textAlignment w:val="center"/>
        <w:outlineLvl w:val="1"/>
        <w:rPr>
          <w:rFonts w:hint="eastAsia" w:ascii="Times New Roman" w:hAnsi="Times New Roman" w:eastAsia="楷体_GB2312" w:cs="Times New Roman"/>
          <w:b w:val="0"/>
          <w:bCs w:val="0"/>
          <w:color w:val="000000"/>
          <w:sz w:val="32"/>
          <w:szCs w:val="36"/>
        </w:rPr>
      </w:pPr>
      <w:bookmarkStart w:id="129" w:name="_Toc28143"/>
      <w:bookmarkStart w:id="130" w:name="_Toc9089"/>
      <w:r>
        <w:rPr>
          <w:rFonts w:hint="eastAsia" w:ascii="Times New Roman" w:hAnsi="Times New Roman" w:eastAsia="楷体_GB2312" w:cs="Times New Roman"/>
          <w:b w:val="0"/>
          <w:bCs w:val="0"/>
          <w:color w:val="000000"/>
          <w:sz w:val="32"/>
          <w:szCs w:val="36"/>
          <w:lang w:eastAsia="zh-CN"/>
        </w:rPr>
        <w:t>（</w:t>
      </w:r>
      <w:r>
        <w:rPr>
          <w:rFonts w:hint="eastAsia" w:ascii="Times New Roman" w:hAnsi="Times New Roman" w:eastAsia="楷体_GB2312" w:cs="Times New Roman"/>
          <w:b w:val="0"/>
          <w:bCs w:val="0"/>
          <w:color w:val="000000"/>
          <w:sz w:val="32"/>
          <w:szCs w:val="36"/>
          <w:lang w:val="en-US" w:eastAsia="zh-CN"/>
        </w:rPr>
        <w:t>十三</w:t>
      </w:r>
      <w:r>
        <w:rPr>
          <w:rFonts w:hint="eastAsia" w:ascii="Times New Roman" w:hAnsi="Times New Roman" w:eastAsia="楷体_GB2312" w:cs="Times New Roman"/>
          <w:b w:val="0"/>
          <w:bCs w:val="0"/>
          <w:color w:val="000000"/>
          <w:sz w:val="32"/>
          <w:szCs w:val="36"/>
          <w:lang w:eastAsia="zh-CN"/>
        </w:rPr>
        <w:t>）</w:t>
      </w:r>
      <w:r>
        <w:rPr>
          <w:rFonts w:hint="eastAsia" w:ascii="Times New Roman" w:hAnsi="Times New Roman" w:eastAsia="楷体_GB2312" w:cs="Times New Roman"/>
          <w:b w:val="0"/>
          <w:bCs w:val="0"/>
          <w:color w:val="000000"/>
          <w:sz w:val="32"/>
          <w:szCs w:val="36"/>
        </w:rPr>
        <w:t>健全金融风险防范化解工作体系</w:t>
      </w:r>
      <w:bookmarkEnd w:id="129"/>
      <w:bookmarkEnd w:id="130"/>
    </w:p>
    <w:p w14:paraId="4BF1F938">
      <w:pPr>
        <w:spacing w:after="0" w:line="560" w:lineRule="exact"/>
        <w:ind w:firstLine="640" w:firstLineChars="200"/>
        <w:textAlignment w:val="cente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建</w:t>
      </w:r>
      <w:r>
        <w:rPr>
          <w:rFonts w:hint="eastAsia" w:ascii="仿宋_GB2312" w:hAnsi="仿宋_GB2312" w:eastAsia="仿宋_GB2312" w:cs="仿宋_GB2312"/>
          <w:kern w:val="0"/>
          <w:sz w:val="32"/>
          <w:szCs w:val="32"/>
          <w:lang w:val="en-US" w:eastAsia="zh-CN"/>
        </w:rPr>
        <w:t>立</w:t>
      </w:r>
      <w:r>
        <w:rPr>
          <w:rFonts w:hint="eastAsia" w:ascii="仿宋_GB2312" w:hAnsi="仿宋_GB2312" w:eastAsia="仿宋_GB2312" w:cs="仿宋_GB2312"/>
          <w:kern w:val="0"/>
          <w:sz w:val="32"/>
          <w:szCs w:val="32"/>
        </w:rPr>
        <w:t>“一盘棋”统筹推进机制，发挥区打非工作小组统筹协调和区金融</w:t>
      </w:r>
      <w:r>
        <w:rPr>
          <w:rFonts w:hint="eastAsia" w:ascii="仿宋_GB2312" w:hAnsi="Verdana" w:eastAsia="仿宋_GB2312" w:cs="Times New Roman"/>
          <w:color w:val="000000"/>
          <w:kern w:val="2"/>
          <w:sz w:val="32"/>
          <w:szCs w:val="32"/>
        </w:rPr>
        <w:t>风险</w:t>
      </w:r>
      <w:r>
        <w:rPr>
          <w:rFonts w:hint="eastAsia" w:ascii="仿宋_GB2312" w:hAnsi="仿宋_GB2312" w:eastAsia="仿宋_GB2312" w:cs="仿宋_GB2312"/>
          <w:kern w:val="0"/>
          <w:sz w:val="32"/>
          <w:szCs w:val="32"/>
        </w:rPr>
        <w:t>处置专班联动处置作用，推动各行业主管部门统筹好防范处置非法集资与行业改革发展工作，</w:t>
      </w:r>
      <w:r>
        <w:rPr>
          <w:rFonts w:hint="eastAsia" w:ascii="仿宋_GB2312" w:hAnsi="仿宋_GB2312" w:eastAsia="仿宋_GB2312" w:cs="仿宋_GB2312"/>
          <w:sz w:val="32"/>
          <w:szCs w:val="32"/>
        </w:rPr>
        <w:t>进一步</w:t>
      </w:r>
      <w:r>
        <w:rPr>
          <w:rFonts w:ascii="仿宋_GB2312" w:hAnsi="仿宋_GB2312" w:eastAsia="仿宋_GB2312" w:cs="仿宋_GB2312"/>
          <w:sz w:val="32"/>
          <w:szCs w:val="32"/>
        </w:rPr>
        <w:t>深化</w:t>
      </w:r>
      <w:r>
        <w:rPr>
          <w:rFonts w:hint="eastAsia" w:ascii="仿宋_GB2312" w:hAnsi="仿宋_GB2312" w:eastAsia="仿宋_GB2312" w:cs="仿宋_GB2312"/>
          <w:sz w:val="32"/>
          <w:szCs w:val="32"/>
        </w:rPr>
        <w:t>部门协同、齐抓共管工作格局。</w:t>
      </w:r>
      <w:bookmarkStart w:id="131" w:name="_Toc203066840"/>
      <w:bookmarkStart w:id="132" w:name="_Toc203066837"/>
      <w:r>
        <w:rPr>
          <w:rFonts w:hint="eastAsia" w:ascii="仿宋_GB2312" w:hAnsi="仿宋_GB2312" w:eastAsia="仿宋_GB2312" w:cs="仿宋_GB2312"/>
          <w:sz w:val="32"/>
          <w:szCs w:val="32"/>
        </w:rPr>
        <w:t>完善金融风险监测预警机制，</w:t>
      </w:r>
      <w:r>
        <w:rPr>
          <w:rFonts w:hint="eastAsia" w:ascii="仿宋_GB2312" w:hAnsi="仿宋_GB2312" w:eastAsia="仿宋_GB2312" w:cs="仿宋_GB2312"/>
          <w:sz w:val="32"/>
          <w:szCs w:val="32"/>
          <w:lang w:eastAsia="zh-CN"/>
        </w:rPr>
        <w:t>用</w:t>
      </w:r>
      <w:r>
        <w:rPr>
          <w:rFonts w:hint="eastAsia" w:ascii="仿宋_GB2312" w:hAnsi="仿宋_GB2312" w:eastAsia="仿宋_GB2312" w:cs="仿宋_GB2312"/>
          <w:sz w:val="32"/>
          <w:szCs w:val="32"/>
          <w:lang w:val="en-US" w:eastAsia="zh-CN"/>
        </w:rPr>
        <w:t>好</w:t>
      </w:r>
      <w:r>
        <w:rPr>
          <w:rFonts w:hint="eastAsia" w:ascii="仿宋_GB2312" w:hAnsi="仿宋_GB2312" w:eastAsia="仿宋_GB2312" w:cs="仿宋_GB2312"/>
          <w:sz w:val="32"/>
          <w:szCs w:val="32"/>
          <w:lang w:eastAsia="zh-CN"/>
        </w:rPr>
        <w:t>全市</w:t>
      </w:r>
      <w:r>
        <w:rPr>
          <w:rFonts w:hint="eastAsia" w:ascii="仿宋_GB2312" w:hAnsi="仿宋_GB2312" w:eastAsia="仿宋_GB2312" w:cs="仿宋_GB2312"/>
          <w:sz w:val="32"/>
          <w:szCs w:val="32"/>
        </w:rPr>
        <w:t>金融风险监测系统，健全商务楼宇和社区风险排查机制，发挥好</w:t>
      </w:r>
      <w:r>
        <w:rPr>
          <w:rFonts w:hint="eastAsia" w:ascii="仿宋_GB2312" w:hAnsi="仿宋_GB2312" w:eastAsia="仿宋_GB2312" w:cs="仿宋_GB2312"/>
          <w:sz w:val="32"/>
          <w:szCs w:val="32"/>
          <w:lang w:eastAsia="zh-CN"/>
        </w:rPr>
        <w:t>接诉即办探针和</w:t>
      </w:r>
      <w:r>
        <w:rPr>
          <w:rFonts w:hint="eastAsia" w:ascii="仿宋_GB2312" w:hAnsi="仿宋_GB2312" w:eastAsia="仿宋_GB2312" w:cs="仿宋_GB2312"/>
          <w:sz w:val="32"/>
          <w:szCs w:val="32"/>
        </w:rPr>
        <w:t>“智网实格”</w:t>
      </w:r>
      <w:r>
        <w:rPr>
          <w:rFonts w:hint="eastAsia" w:ascii="仿宋_GB2312" w:hAnsi="仿宋_GB2312" w:eastAsia="仿宋_GB2312" w:cs="仿宋_GB2312"/>
          <w:sz w:val="32"/>
          <w:szCs w:val="32"/>
          <w:lang w:eastAsia="zh-CN"/>
        </w:rPr>
        <w:t>多元共治作用，</w:t>
      </w:r>
      <w:r>
        <w:rPr>
          <w:rFonts w:hint="eastAsia" w:ascii="仿宋_GB2312" w:hAnsi="仿宋_GB2312" w:eastAsia="仿宋_GB2312" w:cs="仿宋_GB2312"/>
          <w:sz w:val="32"/>
          <w:szCs w:val="32"/>
        </w:rPr>
        <w:t>织密非法金融活动风险防护网。建强特色金融安全宣教品牌，开展一</w:t>
      </w:r>
      <w:r>
        <w:rPr>
          <w:rFonts w:hint="eastAsia" w:ascii="仿宋_GB2312" w:hAnsi="仿宋_GB2312" w:eastAsia="仿宋_GB2312" w:cs="仿宋_GB2312"/>
          <w:sz w:val="32"/>
          <w:szCs w:val="32"/>
          <w:lang w:val="en-US" w:eastAsia="zh-CN"/>
        </w:rPr>
        <w:t>批</w:t>
      </w:r>
      <w:r>
        <w:rPr>
          <w:rFonts w:hint="eastAsia" w:ascii="仿宋_GB2312" w:hAnsi="仿宋_GB2312" w:eastAsia="仿宋_GB2312" w:cs="仿宋_GB2312"/>
          <w:sz w:val="32"/>
          <w:szCs w:val="32"/>
        </w:rPr>
        <w:t>重点突出、特色鲜明、富有成效的宣传教育活动，</w:t>
      </w:r>
      <w:r>
        <w:rPr>
          <w:rFonts w:hint="eastAsia" w:ascii="仿宋_GB2312" w:hAnsi="仿宋_GB2312" w:eastAsia="仿宋_GB2312" w:cs="仿宋_GB2312"/>
          <w:sz w:val="32"/>
          <w:szCs w:val="32"/>
          <w:lang w:val="en-US" w:eastAsia="zh-CN"/>
        </w:rPr>
        <w:t>全面</w:t>
      </w:r>
      <w:r>
        <w:rPr>
          <w:rFonts w:hint="eastAsia" w:ascii="仿宋_GB2312" w:hAnsi="仿宋_GB2312" w:eastAsia="仿宋_GB2312" w:cs="仿宋_GB2312"/>
          <w:sz w:val="32"/>
          <w:szCs w:val="32"/>
        </w:rPr>
        <w:t>提升居民金融安全</w:t>
      </w:r>
      <w:r>
        <w:rPr>
          <w:rFonts w:hint="eastAsia" w:ascii="仿宋_GB2312" w:hAnsi="仿宋_GB2312" w:eastAsia="仿宋_GB2312" w:cs="仿宋_GB2312"/>
          <w:sz w:val="32"/>
          <w:szCs w:val="32"/>
          <w:lang w:val="en-US" w:eastAsia="zh-CN"/>
        </w:rPr>
        <w:t>防范</w:t>
      </w:r>
      <w:r>
        <w:rPr>
          <w:rFonts w:hint="eastAsia" w:ascii="仿宋_GB2312" w:hAnsi="仿宋_GB2312" w:eastAsia="仿宋_GB2312" w:cs="仿宋_GB2312"/>
          <w:sz w:val="32"/>
          <w:szCs w:val="32"/>
        </w:rPr>
        <w:t>意识。</w:t>
      </w:r>
    </w:p>
    <w:p w14:paraId="2D1D2F12">
      <w:pPr>
        <w:spacing w:after="0" w:line="560" w:lineRule="exact"/>
        <w:ind w:firstLine="640" w:firstLineChars="200"/>
        <w:textAlignment w:val="center"/>
        <w:outlineLvl w:val="1"/>
        <w:rPr>
          <w:rFonts w:hint="eastAsia" w:ascii="Times New Roman" w:hAnsi="Times New Roman" w:eastAsia="楷体_GB2312" w:cs="Times New Roman"/>
          <w:b w:val="0"/>
          <w:bCs w:val="0"/>
          <w:color w:val="000000"/>
          <w:sz w:val="32"/>
          <w:szCs w:val="36"/>
        </w:rPr>
      </w:pPr>
      <w:bookmarkStart w:id="133" w:name="_Toc18996"/>
      <w:bookmarkStart w:id="134" w:name="_Toc9736"/>
      <w:r>
        <w:rPr>
          <w:rFonts w:hint="eastAsia" w:ascii="Times New Roman" w:hAnsi="Times New Roman" w:eastAsia="楷体_GB2312" w:cs="Times New Roman"/>
          <w:b w:val="0"/>
          <w:bCs w:val="0"/>
          <w:color w:val="000000"/>
          <w:sz w:val="32"/>
          <w:szCs w:val="36"/>
          <w:lang w:eastAsia="zh-CN"/>
        </w:rPr>
        <w:t>（</w:t>
      </w:r>
      <w:r>
        <w:rPr>
          <w:rFonts w:hint="eastAsia" w:ascii="Times New Roman" w:hAnsi="Times New Roman" w:eastAsia="楷体_GB2312" w:cs="Times New Roman"/>
          <w:b w:val="0"/>
          <w:bCs w:val="0"/>
          <w:color w:val="000000"/>
          <w:sz w:val="32"/>
          <w:szCs w:val="36"/>
          <w:lang w:val="en-US" w:eastAsia="zh-CN"/>
        </w:rPr>
        <w:t>十四</w:t>
      </w:r>
      <w:r>
        <w:rPr>
          <w:rFonts w:hint="eastAsia" w:ascii="Times New Roman" w:hAnsi="Times New Roman" w:eastAsia="楷体_GB2312" w:cs="Times New Roman"/>
          <w:b w:val="0"/>
          <w:bCs w:val="0"/>
          <w:color w:val="000000"/>
          <w:sz w:val="32"/>
          <w:szCs w:val="36"/>
          <w:lang w:eastAsia="zh-CN"/>
        </w:rPr>
        <w:t>）</w:t>
      </w:r>
      <w:r>
        <w:rPr>
          <w:rFonts w:hint="eastAsia" w:ascii="Times New Roman" w:hAnsi="Times New Roman" w:eastAsia="楷体_GB2312" w:cs="Times New Roman"/>
          <w:b w:val="0"/>
          <w:bCs w:val="0"/>
          <w:color w:val="000000"/>
          <w:sz w:val="32"/>
          <w:szCs w:val="36"/>
        </w:rPr>
        <w:t>平稳有序推进金融风险化解处置</w:t>
      </w:r>
      <w:bookmarkEnd w:id="133"/>
      <w:bookmarkEnd w:id="134"/>
    </w:p>
    <w:p w14:paraId="27767334">
      <w:pPr>
        <w:spacing w:after="0" w:line="560" w:lineRule="exact"/>
        <w:ind w:firstLine="640" w:firstLineChars="200"/>
        <w:textAlignment w:val="center"/>
        <w:rPr>
          <w:rFonts w:hint="eastAsia" w:ascii="Times New Roman" w:hAnsi="Times New Roman" w:eastAsia="仿宋_GB2312" w:cs="Times New Roman"/>
          <w:b/>
          <w:bCs/>
          <w:sz w:val="32"/>
          <w:szCs w:val="32"/>
        </w:rPr>
      </w:pPr>
      <w:r>
        <w:rPr>
          <w:rFonts w:hint="eastAsia" w:ascii="仿宋_GB2312" w:hAnsi="仿宋_GB2312" w:eastAsia="仿宋_GB2312" w:cs="仿宋_GB2312"/>
          <w:sz w:val="32"/>
          <w:szCs w:val="32"/>
        </w:rPr>
        <w:t>坚持“管合法更要管非法”“管行业必须管风险”原则，压实各方责任，</w:t>
      </w:r>
      <w:r>
        <w:rPr>
          <w:rFonts w:hint="eastAsia" w:ascii="仿宋_GB2312" w:hAnsi="仿宋_GB2312" w:eastAsia="仿宋_GB2312" w:cs="仿宋_GB2312"/>
          <w:sz w:val="32"/>
          <w:szCs w:val="32"/>
          <w:lang w:eastAsia="zh-CN"/>
        </w:rPr>
        <w:t>坚决打好防范和打击非法金融活动三年总体战</w:t>
      </w:r>
      <w:r>
        <w:rPr>
          <w:rFonts w:hint="eastAsia" w:ascii="仿宋_GB2312" w:hAnsi="仿宋_GB2312" w:eastAsia="仿宋_GB2312" w:cs="仿宋_GB2312"/>
          <w:sz w:val="32"/>
          <w:szCs w:val="32"/>
        </w:rPr>
        <w:t>，注重风险源头管控，</w:t>
      </w:r>
      <w:r>
        <w:rPr>
          <w:rFonts w:hint="eastAsia" w:ascii="Times New Roman" w:hAnsi="Times New Roman" w:eastAsia="仿宋_GB2312" w:cs="Times New Roman"/>
          <w:color w:val="000000"/>
          <w:sz w:val="32"/>
          <w:szCs w:val="36"/>
        </w:rPr>
        <w:t>防止金融风险传导扩散。</w:t>
      </w:r>
      <w:r>
        <w:rPr>
          <w:rFonts w:hint="eastAsia" w:ascii="仿宋_GB2312" w:hAnsi="仿宋_GB2312" w:eastAsia="仿宋_GB2312" w:cs="仿宋_GB2312"/>
          <w:color w:val="000000"/>
          <w:sz w:val="32"/>
          <w:szCs w:val="32"/>
        </w:rPr>
        <w:t>深入推进地方金融组织规范整治，综合运用现场检查、非现场监管、监管谈话等方式</w:t>
      </w:r>
      <w:r>
        <w:rPr>
          <w:rFonts w:hint="eastAsia" w:ascii="仿宋_GB2312" w:hAnsi="仿宋_GB2312" w:eastAsia="仿宋_GB2312" w:cs="仿宋_GB2312"/>
          <w:sz w:val="32"/>
          <w:szCs w:val="32"/>
        </w:rPr>
        <w:t>，</w:t>
      </w:r>
      <w:r>
        <w:rPr>
          <w:rFonts w:hint="eastAsia" w:ascii="仿宋_GB2312" w:hAnsi="Times New Roman" w:eastAsia="仿宋_GB2312" w:cs="Times New Roman"/>
          <w:bCs/>
          <w:color w:val="000000"/>
          <w:sz w:val="32"/>
          <w:szCs w:val="32"/>
        </w:rPr>
        <w:t>推动企业依法合规经营，稳妥推动“失联”“空壳”</w:t>
      </w:r>
      <w:r>
        <w:rPr>
          <w:rFonts w:hint="eastAsia" w:ascii="仿宋_GB2312" w:hAnsi="仿宋_GB2312" w:eastAsia="仿宋_GB2312" w:cs="仿宋_GB2312"/>
          <w:color w:val="000000"/>
          <w:sz w:val="32"/>
          <w:szCs w:val="32"/>
        </w:rPr>
        <w:t>地方</w:t>
      </w:r>
      <w:r>
        <w:rPr>
          <w:rFonts w:hint="eastAsia" w:ascii="仿宋_GB2312" w:hAnsi="Times New Roman" w:eastAsia="仿宋_GB2312" w:cs="Times New Roman"/>
          <w:bCs/>
          <w:color w:val="000000"/>
          <w:sz w:val="32"/>
          <w:szCs w:val="32"/>
        </w:rPr>
        <w:t>金融组织良性退出。</w:t>
      </w:r>
      <w:r>
        <w:rPr>
          <w:rFonts w:hint="eastAsia" w:ascii="仿宋_GB2312" w:hAnsi="Times New Roman" w:eastAsia="仿宋_GB2312" w:cs="Times New Roman"/>
          <w:bCs/>
          <w:color w:val="000000"/>
          <w:sz w:val="32"/>
          <w:szCs w:val="32"/>
          <w:lang w:eastAsia="zh-CN"/>
        </w:rPr>
        <w:t>推动</w:t>
      </w:r>
      <w:r>
        <w:rPr>
          <w:rFonts w:hint="eastAsia" w:ascii="仿宋_GB2312" w:hAnsi="Times New Roman" w:eastAsia="仿宋_GB2312" w:cs="Times New Roman"/>
          <w:bCs/>
          <w:color w:val="000000"/>
          <w:sz w:val="32"/>
          <w:szCs w:val="32"/>
        </w:rPr>
        <w:t>金融安全与扫黑除恶、电信反诈、国家安全等</w:t>
      </w:r>
      <w:r>
        <w:rPr>
          <w:rFonts w:hint="eastAsia" w:ascii="仿宋_GB2312" w:hAnsi="Times New Roman" w:eastAsia="仿宋_GB2312" w:cs="Times New Roman"/>
          <w:bCs/>
          <w:color w:val="000000"/>
          <w:sz w:val="32"/>
          <w:szCs w:val="32"/>
          <w:lang w:eastAsia="zh-CN"/>
        </w:rPr>
        <w:t>工作</w:t>
      </w:r>
      <w:r>
        <w:rPr>
          <w:rFonts w:hint="eastAsia" w:ascii="仿宋_GB2312" w:hAnsi="Times New Roman" w:eastAsia="仿宋_GB2312" w:cs="Times New Roman"/>
          <w:bCs/>
          <w:color w:val="000000"/>
          <w:sz w:val="32"/>
          <w:szCs w:val="32"/>
          <w:lang w:val="en-US" w:eastAsia="zh-CN"/>
        </w:rPr>
        <w:t>一体</w:t>
      </w:r>
      <w:r>
        <w:rPr>
          <w:rFonts w:hint="eastAsia" w:ascii="仿宋_GB2312" w:hAnsi="Times New Roman" w:eastAsia="仿宋_GB2312" w:cs="Times New Roman"/>
          <w:bCs/>
          <w:color w:val="000000"/>
          <w:sz w:val="32"/>
          <w:szCs w:val="32"/>
          <w:lang w:eastAsia="zh-CN"/>
        </w:rPr>
        <w:t>部署、同</w:t>
      </w:r>
      <w:r>
        <w:rPr>
          <w:rFonts w:hint="eastAsia" w:ascii="仿宋_GB2312" w:hAnsi="Times New Roman" w:eastAsia="仿宋_GB2312" w:cs="Times New Roman"/>
          <w:bCs/>
          <w:color w:val="000000"/>
          <w:sz w:val="32"/>
          <w:szCs w:val="32"/>
          <w:lang w:val="en-US" w:eastAsia="zh-CN"/>
        </w:rPr>
        <w:t>步</w:t>
      </w:r>
      <w:r>
        <w:rPr>
          <w:rFonts w:hint="eastAsia" w:ascii="仿宋_GB2312" w:hAnsi="Times New Roman" w:eastAsia="仿宋_GB2312" w:cs="Times New Roman"/>
          <w:bCs/>
          <w:color w:val="000000"/>
          <w:sz w:val="32"/>
          <w:szCs w:val="32"/>
          <w:lang w:eastAsia="zh-CN"/>
        </w:rPr>
        <w:t>推进</w:t>
      </w:r>
      <w:r>
        <w:rPr>
          <w:rFonts w:hint="eastAsia" w:ascii="仿宋_GB2312" w:hAnsi="Times New Roman" w:eastAsia="仿宋_GB2312" w:cs="Times New Roman"/>
          <w:bCs/>
          <w:color w:val="000000"/>
          <w:sz w:val="32"/>
          <w:szCs w:val="32"/>
        </w:rPr>
        <w:t>。</w:t>
      </w:r>
    </w:p>
    <w:p w14:paraId="047CBA13">
      <w:pPr>
        <w:spacing w:after="0" w:line="560" w:lineRule="exact"/>
        <w:ind w:firstLine="640" w:firstLineChars="200"/>
        <w:textAlignment w:val="center"/>
        <w:outlineLvl w:val="1"/>
        <w:rPr>
          <w:rFonts w:hint="eastAsia" w:ascii="Times New Roman" w:hAnsi="Times New Roman" w:eastAsia="楷体_GB2312" w:cs="Times New Roman"/>
          <w:b w:val="0"/>
          <w:bCs w:val="0"/>
          <w:color w:val="000000"/>
          <w:sz w:val="32"/>
          <w:szCs w:val="36"/>
        </w:rPr>
      </w:pPr>
      <w:bookmarkStart w:id="135" w:name="_Toc29210"/>
      <w:bookmarkStart w:id="136" w:name="_Toc5549"/>
      <w:r>
        <w:rPr>
          <w:rFonts w:hint="eastAsia" w:ascii="Times New Roman" w:hAnsi="Times New Roman" w:eastAsia="楷体_GB2312" w:cs="Times New Roman"/>
          <w:b w:val="0"/>
          <w:bCs w:val="0"/>
          <w:color w:val="000000"/>
          <w:sz w:val="32"/>
          <w:szCs w:val="36"/>
          <w:lang w:eastAsia="zh-CN"/>
        </w:rPr>
        <w:t>（</w:t>
      </w:r>
      <w:r>
        <w:rPr>
          <w:rFonts w:hint="eastAsia" w:ascii="Times New Roman" w:hAnsi="Times New Roman" w:eastAsia="楷体_GB2312" w:cs="Times New Roman"/>
          <w:b w:val="0"/>
          <w:bCs w:val="0"/>
          <w:color w:val="000000"/>
          <w:sz w:val="32"/>
          <w:szCs w:val="36"/>
          <w:lang w:val="en-US" w:eastAsia="zh-CN"/>
        </w:rPr>
        <w:t>十五</w:t>
      </w:r>
      <w:r>
        <w:rPr>
          <w:rFonts w:hint="eastAsia" w:ascii="Times New Roman" w:hAnsi="Times New Roman" w:eastAsia="楷体_GB2312" w:cs="Times New Roman"/>
          <w:b w:val="0"/>
          <w:bCs w:val="0"/>
          <w:color w:val="000000"/>
          <w:sz w:val="32"/>
          <w:szCs w:val="36"/>
          <w:lang w:eastAsia="zh-CN"/>
        </w:rPr>
        <w:t>）</w:t>
      </w:r>
      <w:r>
        <w:rPr>
          <w:rFonts w:hint="eastAsia" w:ascii="Times New Roman" w:hAnsi="Times New Roman" w:eastAsia="楷体_GB2312" w:cs="Times New Roman"/>
          <w:b w:val="0"/>
          <w:bCs w:val="0"/>
          <w:color w:val="000000"/>
          <w:sz w:val="32"/>
          <w:szCs w:val="36"/>
        </w:rPr>
        <w:t>提升现代金融多元调解服务能力</w:t>
      </w:r>
      <w:bookmarkEnd w:id="135"/>
      <w:bookmarkEnd w:id="136"/>
    </w:p>
    <w:p w14:paraId="4CF448F5">
      <w:pPr>
        <w:spacing w:after="0" w:line="560" w:lineRule="exact"/>
        <w:ind w:firstLine="640" w:firstLineChars="200"/>
        <w:textAlignment w:val="center"/>
        <w:rPr>
          <w:rFonts w:ascii="Times New Roman" w:hAnsi="Times New Roman" w:eastAsia="仿宋_GB2312" w:cs="Times New Roman"/>
          <w:bCs/>
          <w:color w:val="000000"/>
          <w:sz w:val="32"/>
          <w:szCs w:val="32"/>
        </w:rPr>
      </w:pPr>
      <w:r>
        <w:rPr>
          <w:rFonts w:ascii="仿宋_GB2312" w:hAnsi="Times New Roman" w:eastAsia="仿宋_GB2312" w:cs="Times New Roman"/>
          <w:bCs/>
          <w:color w:val="000000"/>
          <w:sz w:val="32"/>
          <w:szCs w:val="32"/>
        </w:rPr>
        <w:t>建强</w:t>
      </w:r>
      <w:r>
        <w:rPr>
          <w:rFonts w:hint="eastAsia" w:ascii="Times New Roman" w:hAnsi="Times New Roman" w:eastAsia="仿宋_GB2312" w:cs="Times New Roman"/>
          <w:color w:val="000000"/>
          <w:sz w:val="32"/>
          <w:szCs w:val="36"/>
        </w:rPr>
        <w:t>北京</w:t>
      </w:r>
      <w:r>
        <w:rPr>
          <w:rFonts w:hint="eastAsia" w:ascii="Times New Roman" w:hAnsi="Times New Roman" w:eastAsia="仿宋_GB2312" w:cs="Times New Roman"/>
          <w:bCs/>
          <w:color w:val="000000"/>
          <w:sz w:val="32"/>
          <w:szCs w:val="32"/>
        </w:rPr>
        <w:t>金融</w:t>
      </w:r>
      <w:r>
        <w:rPr>
          <w:rFonts w:hint="eastAsia" w:ascii="仿宋_GB2312" w:hAnsi="Verdana" w:eastAsia="仿宋_GB2312" w:cs="Times New Roman"/>
          <w:bCs w:val="0"/>
          <w:color w:val="000000"/>
          <w:sz w:val="32"/>
          <w:szCs w:val="32"/>
        </w:rPr>
        <w:t>纠纷</w:t>
      </w:r>
      <w:r>
        <w:rPr>
          <w:rFonts w:hint="eastAsia" w:ascii="Times New Roman" w:hAnsi="Times New Roman" w:eastAsia="仿宋_GB2312" w:cs="Times New Roman"/>
          <w:bCs/>
          <w:color w:val="000000"/>
          <w:sz w:val="32"/>
          <w:szCs w:val="32"/>
        </w:rPr>
        <w:t>联合人民调解委员会驻石景山区工作室、石景山区现代金融多元调解中心的</w:t>
      </w:r>
      <w:r>
        <w:rPr>
          <w:rFonts w:hint="eastAsia" w:ascii="仿宋_GB2312" w:hAnsi="Verdana" w:eastAsia="仿宋_GB2312" w:cs="Times New Roman"/>
          <w:sz w:val="32"/>
          <w:szCs w:val="32"/>
        </w:rPr>
        <w:t>“一室、一中心”金融调解</w:t>
      </w:r>
      <w:r>
        <w:rPr>
          <w:rFonts w:hint="eastAsia" w:ascii="Times New Roman" w:hAnsi="Times New Roman" w:eastAsia="仿宋_GB2312" w:cs="Times New Roman"/>
          <w:color w:val="000000"/>
          <w:sz w:val="32"/>
          <w:szCs w:val="36"/>
        </w:rPr>
        <w:t>组织</w:t>
      </w:r>
      <w:r>
        <w:rPr>
          <w:rFonts w:hint="eastAsia" w:ascii="仿宋_GB2312" w:hAnsi="Verdana" w:eastAsia="仿宋_GB2312" w:cs="Times New Roman"/>
          <w:sz w:val="32"/>
          <w:szCs w:val="32"/>
        </w:rPr>
        <w:t>体系。</w:t>
      </w:r>
      <w:r>
        <w:rPr>
          <w:rFonts w:hint="eastAsia" w:ascii="仿宋_GB2312" w:hAnsi="Times New Roman" w:eastAsia="仿宋_GB2312" w:cs="Times New Roman"/>
          <w:bCs/>
          <w:color w:val="000000"/>
          <w:sz w:val="32"/>
          <w:szCs w:val="32"/>
        </w:rPr>
        <w:t>深化金融领域新时代“枫桥经验”治理模式，探索建立“预查废”机制，推进诉前调解机构扩容，</w:t>
      </w:r>
      <w:r>
        <w:rPr>
          <w:rFonts w:hint="eastAsia" w:ascii="Times New Roman" w:hAnsi="Times New Roman" w:eastAsia="仿宋_GB2312" w:cs="Times New Roman"/>
          <w:bCs/>
          <w:color w:val="000000"/>
          <w:sz w:val="32"/>
          <w:szCs w:val="32"/>
        </w:rPr>
        <w:t>丰富纠纷解决“工具箱”，提升金融纠纷高发领域的调解工作效能。</w:t>
      </w:r>
    </w:p>
    <w:p w14:paraId="531FF5F1">
      <w:pPr>
        <w:spacing w:after="0" w:line="560" w:lineRule="exact"/>
        <w:ind w:firstLine="640" w:firstLineChars="200"/>
        <w:textAlignment w:val="center"/>
        <w:outlineLvl w:val="0"/>
        <w:rPr>
          <w:rFonts w:hint="eastAsia" w:ascii="Times New Roman" w:hAnsi="Times New Roman" w:eastAsia="黑体" w:cs="Times New Roman"/>
          <w:sz w:val="32"/>
          <w:szCs w:val="32"/>
        </w:rPr>
      </w:pPr>
      <w:bookmarkStart w:id="137" w:name="_Toc443626493"/>
      <w:bookmarkStart w:id="138" w:name="_Toc4445"/>
      <w:bookmarkStart w:id="139" w:name="_Toc1827391212"/>
      <w:bookmarkStart w:id="140" w:name="_Toc214375925"/>
      <w:bookmarkStart w:id="141" w:name="_Toc2077"/>
      <w:r>
        <w:rPr>
          <w:rFonts w:hint="eastAsia" w:ascii="Times New Roman" w:hAnsi="Times New Roman" w:eastAsia="黑体" w:cs="Times New Roman"/>
          <w:sz w:val="32"/>
          <w:szCs w:val="32"/>
          <w:lang w:val="en-US" w:eastAsia="zh-CN"/>
        </w:rPr>
        <w:t>六</w:t>
      </w:r>
      <w:r>
        <w:rPr>
          <w:rFonts w:hint="eastAsia" w:ascii="Times New Roman" w:hAnsi="Times New Roman" w:eastAsia="黑体" w:cs="Times New Roman"/>
          <w:sz w:val="32"/>
          <w:szCs w:val="32"/>
        </w:rPr>
        <w:t>、保障措施</w:t>
      </w:r>
      <w:bookmarkEnd w:id="137"/>
      <w:bookmarkEnd w:id="138"/>
      <w:bookmarkEnd w:id="139"/>
      <w:bookmarkEnd w:id="140"/>
      <w:bookmarkEnd w:id="141"/>
    </w:p>
    <w:p w14:paraId="7E2C12F1">
      <w:pPr>
        <w:widowControl/>
        <w:spacing w:after="0" w:line="560" w:lineRule="exact"/>
        <w:ind w:firstLine="640" w:firstLineChars="200"/>
        <w:textAlignment w:val="center"/>
        <w:outlineLvl w:val="1"/>
        <w:rPr>
          <w:rFonts w:ascii="Times New Roman" w:hAnsi="Times New Roman" w:eastAsia="楷体_GB2312" w:cs="Times New Roman"/>
          <w:b w:val="0"/>
          <w:bCs w:val="0"/>
          <w:color w:val="000000"/>
          <w:sz w:val="32"/>
          <w:szCs w:val="36"/>
        </w:rPr>
      </w:pPr>
      <w:bookmarkStart w:id="142" w:name="_Toc4385"/>
      <w:bookmarkStart w:id="143" w:name="_Toc28129"/>
      <w:bookmarkStart w:id="144" w:name="_Toc1091040883"/>
      <w:bookmarkStart w:id="145" w:name="_Toc214375926"/>
      <w:bookmarkStart w:id="146" w:name="_Toc1925335771"/>
      <w:r>
        <w:rPr>
          <w:rFonts w:hint="eastAsia" w:ascii="Times New Roman" w:hAnsi="Times New Roman" w:eastAsia="楷体_GB2312" w:cs="Times New Roman"/>
          <w:b w:val="0"/>
          <w:bCs w:val="0"/>
          <w:color w:val="000000"/>
          <w:sz w:val="32"/>
          <w:szCs w:val="36"/>
        </w:rPr>
        <w:t>（</w:t>
      </w:r>
      <w:r>
        <w:rPr>
          <w:rFonts w:hint="eastAsia" w:ascii="Times New Roman" w:hAnsi="Times New Roman" w:eastAsia="楷体_GB2312" w:cs="Times New Roman"/>
          <w:b w:val="0"/>
          <w:bCs w:val="0"/>
          <w:color w:val="000000"/>
          <w:sz w:val="32"/>
          <w:szCs w:val="36"/>
          <w:lang w:val="en-US" w:eastAsia="zh-CN"/>
        </w:rPr>
        <w:t>十六</w:t>
      </w:r>
      <w:r>
        <w:rPr>
          <w:rFonts w:hint="eastAsia" w:ascii="Times New Roman" w:hAnsi="Times New Roman" w:eastAsia="楷体_GB2312" w:cs="Times New Roman"/>
          <w:b w:val="0"/>
          <w:bCs w:val="0"/>
          <w:color w:val="000000"/>
          <w:sz w:val="32"/>
          <w:szCs w:val="36"/>
        </w:rPr>
        <w:t>）加强党的领导</w:t>
      </w:r>
      <w:bookmarkEnd w:id="142"/>
      <w:bookmarkEnd w:id="143"/>
    </w:p>
    <w:p w14:paraId="329A5AD9">
      <w:pPr>
        <w:spacing w:after="0" w:line="560" w:lineRule="exact"/>
        <w:ind w:firstLine="640" w:firstLineChars="200"/>
        <w:textAlignment w:val="center"/>
      </w:pPr>
      <w:r>
        <w:rPr>
          <w:rFonts w:hint="eastAsia" w:ascii="仿宋_GB2312" w:hAnsi="仿宋_GB2312" w:eastAsia="仿宋_GB2312" w:cs="仿宋_GB2312"/>
          <w:sz w:val="32"/>
          <w:szCs w:val="32"/>
        </w:rPr>
        <w:t>以党建引领金融工作为核心，健全金融系统党建</w:t>
      </w:r>
      <w:r>
        <w:rPr>
          <w:rFonts w:hint="eastAsia" w:ascii="仿宋_GB2312" w:hAnsi="Verdana" w:eastAsia="仿宋_GB2312" w:cs="Times New Roman"/>
          <w:color w:val="000000"/>
          <w:sz w:val="32"/>
          <w:szCs w:val="32"/>
        </w:rPr>
        <w:t>工作</w:t>
      </w:r>
      <w:r>
        <w:rPr>
          <w:rFonts w:hint="eastAsia" w:ascii="仿宋_GB2312" w:hAnsi="仿宋_GB2312" w:eastAsia="仿宋_GB2312" w:cs="仿宋_GB2312"/>
          <w:sz w:val="32"/>
          <w:szCs w:val="32"/>
        </w:rPr>
        <w:t>体系，</w:t>
      </w:r>
      <w:r>
        <w:rPr>
          <w:rFonts w:hint="eastAsia" w:ascii="Times New Roman" w:hAnsi="Times New Roman" w:eastAsia="仿宋_GB2312" w:cs="仿宋_GB2312"/>
          <w:sz w:val="32"/>
          <w:szCs w:val="32"/>
        </w:rPr>
        <w:t>聚焦银行、保险、基金等领域打造“党建+”特色服务品牌。</w:t>
      </w:r>
      <w:r>
        <w:rPr>
          <w:rFonts w:ascii="Times New Roman" w:hAnsi="Times New Roman" w:eastAsia="仿宋_GB2312"/>
          <w:sz w:val="32"/>
          <w:szCs w:val="36"/>
        </w:rPr>
        <w:t>探索建立金融</w:t>
      </w:r>
      <w:r>
        <w:rPr>
          <w:rFonts w:hint="eastAsia" w:ascii="Times New Roman" w:hAnsi="Times New Roman" w:eastAsia="仿宋_GB2312"/>
          <w:sz w:val="32"/>
          <w:szCs w:val="36"/>
        </w:rPr>
        <w:t>行业</w:t>
      </w:r>
      <w:r>
        <w:rPr>
          <w:rFonts w:ascii="Times New Roman" w:hAnsi="Times New Roman" w:eastAsia="仿宋_GB2312"/>
          <w:sz w:val="32"/>
          <w:szCs w:val="36"/>
        </w:rPr>
        <w:t>党建协调委员会，依托金融产业链与现代金融商会党委，</w:t>
      </w:r>
      <w:r>
        <w:rPr>
          <w:rFonts w:hint="eastAsia" w:ascii="Times New Roman" w:hAnsi="Times New Roman" w:eastAsia="仿宋_GB2312"/>
          <w:sz w:val="32"/>
          <w:szCs w:val="36"/>
          <w:lang w:val="en-US" w:eastAsia="zh-CN"/>
        </w:rPr>
        <w:t>持续优化</w:t>
      </w:r>
      <w:r>
        <w:rPr>
          <w:rFonts w:hint="eastAsia" w:ascii="Times New Roman" w:hAnsi="Times New Roman" w:eastAsia="仿宋_GB2312"/>
          <w:sz w:val="32"/>
          <w:szCs w:val="36"/>
          <w:lang w:eastAsia="zh-CN"/>
        </w:rPr>
        <w:t>“点石成金”</w:t>
      </w:r>
      <w:r>
        <w:rPr>
          <w:rFonts w:ascii="Times New Roman" w:hAnsi="Times New Roman" w:eastAsia="仿宋_GB2312"/>
          <w:sz w:val="32"/>
          <w:szCs w:val="36"/>
        </w:rPr>
        <w:t>品牌矩阵。</w:t>
      </w:r>
      <w:r>
        <w:rPr>
          <w:rFonts w:hint="eastAsia" w:ascii="Times New Roman" w:hAnsi="Times New Roman" w:eastAsia="仿宋_GB2312"/>
          <w:sz w:val="32"/>
          <w:szCs w:val="36"/>
        </w:rPr>
        <w:t>系统谋划干部教育培养</w:t>
      </w:r>
      <w:r>
        <w:rPr>
          <w:rFonts w:hint="eastAsia" w:ascii="Times New Roman" w:hAnsi="Times New Roman" w:eastAsia="仿宋_GB2312" w:cs="仿宋_GB2312"/>
          <w:sz w:val="32"/>
          <w:szCs w:val="32"/>
        </w:rPr>
        <w:t>，</w:t>
      </w:r>
      <w:r>
        <w:rPr>
          <w:rFonts w:hint="eastAsia" w:ascii="Times New Roman" w:hAnsi="Times New Roman" w:eastAsia="仿宋_GB2312"/>
          <w:sz w:val="32"/>
          <w:szCs w:val="36"/>
        </w:rPr>
        <w:t>采取</w:t>
      </w:r>
      <w:r>
        <w:rPr>
          <w:rFonts w:ascii="Times New Roman" w:hAnsi="Times New Roman" w:eastAsia="仿宋_GB2312"/>
          <w:sz w:val="32"/>
          <w:szCs w:val="36"/>
        </w:rPr>
        <w:t>业务培训、实践锻炼等方式，</w:t>
      </w:r>
      <w:r>
        <w:rPr>
          <w:rFonts w:hint="eastAsia" w:ascii="Times New Roman" w:hAnsi="Times New Roman" w:eastAsia="仿宋_GB2312"/>
          <w:sz w:val="32"/>
          <w:szCs w:val="36"/>
        </w:rPr>
        <w:t>打造</w:t>
      </w:r>
      <w:r>
        <w:rPr>
          <w:rFonts w:hint="eastAsia" w:ascii="仿宋_GB2312" w:hAnsi="Times New Roman" w:eastAsia="仿宋_GB2312"/>
          <w:sz w:val="32"/>
          <w:szCs w:val="36"/>
        </w:rPr>
        <w:t>“懂金融、通党建、善治理”</w:t>
      </w:r>
      <w:r>
        <w:rPr>
          <w:rFonts w:ascii="Times New Roman" w:hAnsi="Times New Roman" w:eastAsia="仿宋_GB2312"/>
          <w:sz w:val="32"/>
          <w:szCs w:val="36"/>
        </w:rPr>
        <w:t>的干部</w:t>
      </w:r>
      <w:r>
        <w:rPr>
          <w:rFonts w:hint="eastAsia" w:ascii="Times New Roman" w:hAnsi="Times New Roman" w:eastAsia="仿宋_GB2312"/>
          <w:sz w:val="32"/>
          <w:szCs w:val="36"/>
        </w:rPr>
        <w:t>队伍</w:t>
      </w:r>
      <w:r>
        <w:rPr>
          <w:rFonts w:ascii="Times New Roman" w:hAnsi="Times New Roman" w:eastAsia="仿宋_GB2312"/>
          <w:sz w:val="32"/>
          <w:szCs w:val="36"/>
        </w:rPr>
        <w:t>。</w:t>
      </w:r>
    </w:p>
    <w:p w14:paraId="7AFAC0C8">
      <w:pPr>
        <w:widowControl/>
        <w:spacing w:after="0" w:line="560" w:lineRule="exact"/>
        <w:ind w:firstLine="640" w:firstLineChars="200"/>
        <w:textAlignment w:val="center"/>
        <w:outlineLvl w:val="1"/>
        <w:rPr>
          <w:rFonts w:ascii="Times New Roman" w:hAnsi="Times New Roman" w:eastAsia="楷体_GB2312" w:cs="Times New Roman"/>
          <w:b w:val="0"/>
          <w:bCs w:val="0"/>
          <w:color w:val="000000"/>
          <w:sz w:val="32"/>
          <w:szCs w:val="36"/>
        </w:rPr>
      </w:pPr>
      <w:bookmarkStart w:id="147" w:name="_Toc27610"/>
      <w:bookmarkStart w:id="148" w:name="_Toc10183"/>
      <w:r>
        <w:rPr>
          <w:rFonts w:hint="eastAsia" w:ascii="Times New Roman" w:hAnsi="Times New Roman" w:eastAsia="楷体_GB2312" w:cs="Times New Roman"/>
          <w:b w:val="0"/>
          <w:bCs w:val="0"/>
          <w:color w:val="000000"/>
          <w:sz w:val="32"/>
          <w:szCs w:val="36"/>
        </w:rPr>
        <w:t>（</w:t>
      </w:r>
      <w:r>
        <w:rPr>
          <w:rFonts w:hint="eastAsia" w:ascii="Times New Roman" w:hAnsi="Times New Roman" w:eastAsia="楷体_GB2312" w:cs="Times New Roman"/>
          <w:b w:val="0"/>
          <w:bCs w:val="0"/>
          <w:color w:val="000000"/>
          <w:sz w:val="32"/>
          <w:szCs w:val="36"/>
          <w:lang w:val="en-US" w:eastAsia="zh-CN"/>
        </w:rPr>
        <w:t>十七</w:t>
      </w:r>
      <w:r>
        <w:rPr>
          <w:rFonts w:hint="eastAsia" w:ascii="Times New Roman" w:hAnsi="Times New Roman" w:eastAsia="楷体_GB2312" w:cs="Times New Roman"/>
          <w:b w:val="0"/>
          <w:bCs w:val="0"/>
          <w:color w:val="000000"/>
          <w:sz w:val="32"/>
          <w:szCs w:val="36"/>
        </w:rPr>
        <w:t>）强化组织实施</w:t>
      </w:r>
      <w:bookmarkEnd w:id="144"/>
      <w:bookmarkEnd w:id="145"/>
      <w:bookmarkEnd w:id="146"/>
      <w:bookmarkEnd w:id="147"/>
      <w:bookmarkEnd w:id="148"/>
    </w:p>
    <w:p w14:paraId="38EA2FE8">
      <w:pPr>
        <w:spacing w:after="0" w:line="560" w:lineRule="exact"/>
        <w:ind w:firstLine="640" w:firstLineChars="200"/>
        <w:textAlignment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健全规划实施工作机制，</w:t>
      </w:r>
      <w:r>
        <w:rPr>
          <w:rFonts w:hint="eastAsia" w:ascii="Times New Roman" w:hAnsi="Times New Roman" w:eastAsia="仿宋_GB2312" w:cs="仿宋_GB2312"/>
          <w:sz w:val="32"/>
          <w:szCs w:val="32"/>
          <w:lang w:eastAsia="zh-CN"/>
        </w:rPr>
        <w:t>加强</w:t>
      </w:r>
      <w:r>
        <w:rPr>
          <w:rFonts w:hint="eastAsia" w:ascii="Times New Roman" w:hAnsi="Times New Roman" w:eastAsia="仿宋_GB2312" w:cs="仿宋_GB2312"/>
          <w:sz w:val="32"/>
          <w:szCs w:val="32"/>
        </w:rPr>
        <w:t>发展</w:t>
      </w:r>
      <w:r>
        <w:rPr>
          <w:rFonts w:hint="eastAsia" w:ascii="Times New Roman" w:hAnsi="Times New Roman" w:eastAsia="仿宋_GB2312" w:cs="仿宋_GB2312"/>
          <w:sz w:val="32"/>
          <w:szCs w:val="32"/>
          <w:lang w:eastAsia="zh-CN"/>
        </w:rPr>
        <w:t>规划任务分解</w:t>
      </w:r>
      <w:r>
        <w:rPr>
          <w:rFonts w:hint="eastAsia" w:ascii="Times New Roman" w:hAnsi="Times New Roman" w:eastAsia="仿宋_GB2312" w:cs="仿宋_GB2312"/>
          <w:sz w:val="32"/>
          <w:szCs w:val="32"/>
        </w:rPr>
        <w:t>，分阶段、分步骤组织实施。加强与国家和北京市相关金融管理部门、金融机构沟通协调，积极争取现代金融产业领域政策创新试点和示范项目落地。加强银保园管委会与</w:t>
      </w:r>
      <w:r>
        <w:rPr>
          <w:rFonts w:hint="eastAsia" w:ascii="Times New Roman" w:hAnsi="Times New Roman" w:eastAsia="仿宋_GB2312" w:cs="仿宋_GB2312"/>
          <w:sz w:val="32"/>
          <w:szCs w:val="32"/>
          <w:lang w:val="en-US" w:eastAsia="zh-CN"/>
        </w:rPr>
        <w:t>各</w:t>
      </w:r>
      <w:r>
        <w:rPr>
          <w:rFonts w:hint="eastAsia" w:ascii="Times New Roman" w:hAnsi="Times New Roman" w:eastAsia="仿宋_GB2312" w:cs="仿宋_GB2312"/>
          <w:sz w:val="32"/>
          <w:szCs w:val="32"/>
        </w:rPr>
        <w:t>相关部门、驻区相关主体的协调联动，完善常态化工作机制，形成促进现代金融产业高质量发展、有效防范化解金融风险的合力。</w:t>
      </w:r>
    </w:p>
    <w:p w14:paraId="024CF1AE">
      <w:pPr>
        <w:widowControl/>
        <w:spacing w:after="0" w:line="560" w:lineRule="exact"/>
        <w:ind w:firstLine="640" w:firstLineChars="200"/>
        <w:textAlignment w:val="center"/>
        <w:outlineLvl w:val="1"/>
        <w:rPr>
          <w:rFonts w:ascii="Times New Roman" w:hAnsi="Times New Roman" w:eastAsia="楷体_GB2312" w:cs="Times New Roman"/>
          <w:b w:val="0"/>
          <w:bCs w:val="0"/>
          <w:color w:val="000000"/>
          <w:sz w:val="32"/>
          <w:szCs w:val="36"/>
        </w:rPr>
      </w:pPr>
      <w:bookmarkStart w:id="149" w:name="_Toc214375927"/>
      <w:bookmarkStart w:id="150" w:name="_Toc400405173"/>
      <w:bookmarkStart w:id="151" w:name="_Toc25037063"/>
      <w:bookmarkStart w:id="152" w:name="_Toc12300"/>
      <w:bookmarkStart w:id="153" w:name="_Toc5810"/>
      <w:r>
        <w:rPr>
          <w:rFonts w:hint="eastAsia" w:ascii="Times New Roman" w:hAnsi="Times New Roman" w:eastAsia="楷体_GB2312" w:cs="Times New Roman"/>
          <w:b w:val="0"/>
          <w:bCs w:val="0"/>
          <w:color w:val="000000"/>
          <w:sz w:val="32"/>
          <w:szCs w:val="36"/>
        </w:rPr>
        <w:t>（</w:t>
      </w:r>
      <w:r>
        <w:rPr>
          <w:rFonts w:hint="eastAsia" w:ascii="Times New Roman" w:hAnsi="Times New Roman" w:eastAsia="楷体_GB2312" w:cs="Times New Roman"/>
          <w:b w:val="0"/>
          <w:bCs w:val="0"/>
          <w:color w:val="000000"/>
          <w:sz w:val="32"/>
          <w:szCs w:val="36"/>
          <w:lang w:val="en-US" w:eastAsia="zh-CN"/>
        </w:rPr>
        <w:t>十八</w:t>
      </w:r>
      <w:r>
        <w:rPr>
          <w:rFonts w:hint="eastAsia" w:ascii="Times New Roman" w:hAnsi="Times New Roman" w:eastAsia="楷体_GB2312" w:cs="Times New Roman"/>
          <w:b w:val="0"/>
          <w:bCs w:val="0"/>
          <w:color w:val="000000"/>
          <w:sz w:val="32"/>
          <w:szCs w:val="36"/>
        </w:rPr>
        <w:t>）加大服务保障</w:t>
      </w:r>
      <w:bookmarkEnd w:id="149"/>
      <w:bookmarkEnd w:id="150"/>
      <w:bookmarkEnd w:id="151"/>
      <w:bookmarkEnd w:id="152"/>
      <w:bookmarkEnd w:id="153"/>
    </w:p>
    <w:p w14:paraId="7E199CBD">
      <w:pPr>
        <w:spacing w:after="0" w:line="560" w:lineRule="exact"/>
        <w:ind w:firstLine="640" w:firstLineChars="200"/>
        <w:textAlignment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完善金融产业政策，提高政策协同性和精准性。用好“景贤人才”计划，强化金融领域高素质专业化人才供给，</w:t>
      </w:r>
      <w:r>
        <w:rPr>
          <w:rFonts w:hint="eastAsia" w:ascii="仿宋_GB2312" w:hAnsi="仿宋_GB2312" w:eastAsia="仿宋_GB2312" w:cs="仿宋_GB2312"/>
          <w:sz w:val="32"/>
          <w:szCs w:val="32"/>
        </w:rPr>
        <w:t>培育金融领域紧缺人才。</w:t>
      </w:r>
      <w:r>
        <w:rPr>
          <w:rFonts w:hint="eastAsia" w:ascii="Times New Roman" w:hAnsi="Times New Roman" w:eastAsia="仿宋_GB2312"/>
          <w:sz w:val="32"/>
          <w:szCs w:val="32"/>
        </w:rPr>
        <w:t>深</w:t>
      </w:r>
      <w:r>
        <w:rPr>
          <w:rFonts w:hint="eastAsia" w:ascii="Times New Roman" w:hAnsi="Times New Roman" w:eastAsia="仿宋_GB2312"/>
          <w:sz w:val="32"/>
          <w:szCs w:val="32"/>
          <w:lang w:val="en-US" w:eastAsia="zh-CN"/>
        </w:rPr>
        <w:t>化</w:t>
      </w:r>
      <w:r>
        <w:rPr>
          <w:rFonts w:hint="eastAsia" w:ascii="Times New Roman" w:hAnsi="Times New Roman" w:eastAsia="仿宋_GB2312"/>
          <w:sz w:val="32"/>
          <w:szCs w:val="32"/>
        </w:rPr>
        <w:t>金融领域“放管服”改革，用好“服务管家”“服务包”制度，</w:t>
      </w:r>
      <w:r>
        <w:rPr>
          <w:rFonts w:hint="eastAsia" w:ascii="Times New Roman" w:hAnsi="Times New Roman" w:eastAsia="仿宋_GB2312" w:cs="Times New Roman"/>
          <w:color w:val="000000"/>
          <w:sz w:val="32"/>
          <w:szCs w:val="36"/>
        </w:rPr>
        <w:t>持续优化营商环境。</w:t>
      </w:r>
      <w:r>
        <w:rPr>
          <w:rFonts w:hint="eastAsia" w:ascii="Times New Roman" w:hAnsi="Times New Roman" w:eastAsia="仿宋_GB2312" w:cs="仿宋_GB2312"/>
          <w:sz w:val="32"/>
          <w:szCs w:val="32"/>
        </w:rPr>
        <w:t>加强北京</w:t>
      </w:r>
      <w:r>
        <w:rPr>
          <w:rFonts w:hint="eastAsia" w:ascii="Times New Roman" w:hAnsi="Times New Roman" w:eastAsia="仿宋_GB2312" w:cs="Times New Roman"/>
          <w:sz w:val="32"/>
          <w:szCs w:val="36"/>
        </w:rPr>
        <w:t>·</w:t>
      </w:r>
      <w:r>
        <w:rPr>
          <w:rFonts w:hint="eastAsia" w:ascii="Times New Roman" w:hAnsi="Times New Roman" w:eastAsia="仿宋_GB2312" w:cs="仿宋_GB2312"/>
          <w:sz w:val="32"/>
          <w:szCs w:val="32"/>
        </w:rPr>
        <w:t>银行保险产业园及周边服务功能建设，完善商业、文化、休闲、人才</w:t>
      </w:r>
      <w:r>
        <w:rPr>
          <w:rFonts w:hint="eastAsia" w:ascii="Times New Roman" w:hAnsi="Times New Roman" w:eastAsia="仿宋_GB2312" w:cs="仿宋_GB2312"/>
          <w:sz w:val="32"/>
          <w:szCs w:val="32"/>
          <w:lang w:val="en-US" w:eastAsia="zh-CN"/>
        </w:rPr>
        <w:t>公寓</w:t>
      </w:r>
      <w:r>
        <w:rPr>
          <w:rFonts w:hint="eastAsia" w:ascii="Times New Roman" w:hAnsi="Times New Roman" w:eastAsia="仿宋_GB2312" w:cs="仿宋_GB2312"/>
          <w:sz w:val="32"/>
          <w:szCs w:val="32"/>
        </w:rPr>
        <w:t>等配套设施，提升对金融机构和金融人才</w:t>
      </w:r>
      <w:r>
        <w:rPr>
          <w:rFonts w:hint="eastAsia" w:ascii="Times New Roman" w:hAnsi="Times New Roman" w:eastAsia="仿宋_GB2312" w:cs="仿宋_GB2312"/>
          <w:sz w:val="32"/>
          <w:szCs w:val="32"/>
          <w:lang w:val="en-US" w:eastAsia="zh-CN"/>
        </w:rPr>
        <w:t>的</w:t>
      </w:r>
      <w:r>
        <w:rPr>
          <w:rFonts w:hint="eastAsia" w:ascii="Times New Roman" w:hAnsi="Times New Roman" w:eastAsia="仿宋_GB2312" w:cs="仿宋_GB2312"/>
          <w:sz w:val="32"/>
          <w:szCs w:val="32"/>
        </w:rPr>
        <w:t>吸引力。</w:t>
      </w:r>
    </w:p>
    <w:p w14:paraId="6A7D0FC4">
      <w:pPr>
        <w:widowControl/>
        <w:spacing w:after="0" w:line="560" w:lineRule="exact"/>
        <w:ind w:firstLine="640" w:firstLineChars="200"/>
        <w:textAlignment w:val="center"/>
        <w:outlineLvl w:val="1"/>
        <w:rPr>
          <w:rFonts w:ascii="Times New Roman" w:hAnsi="Times New Roman" w:eastAsia="楷体_GB2312" w:cs="Times New Roman"/>
          <w:b w:val="0"/>
          <w:bCs w:val="0"/>
          <w:color w:val="000000"/>
          <w:sz w:val="32"/>
          <w:szCs w:val="36"/>
        </w:rPr>
      </w:pPr>
      <w:bookmarkStart w:id="154" w:name="_Toc214375928"/>
      <w:bookmarkStart w:id="155" w:name="_Toc754256649"/>
      <w:bookmarkStart w:id="156" w:name="_Toc534692405"/>
      <w:bookmarkStart w:id="157" w:name="_Toc6539"/>
      <w:bookmarkStart w:id="158" w:name="_Toc32529"/>
      <w:r>
        <w:rPr>
          <w:rFonts w:hint="eastAsia" w:ascii="Times New Roman" w:hAnsi="Times New Roman" w:eastAsia="楷体_GB2312" w:cs="Times New Roman"/>
          <w:b w:val="0"/>
          <w:bCs w:val="0"/>
          <w:color w:val="000000"/>
          <w:sz w:val="32"/>
          <w:szCs w:val="36"/>
        </w:rPr>
        <w:t>（</w:t>
      </w:r>
      <w:r>
        <w:rPr>
          <w:rFonts w:hint="eastAsia" w:ascii="Times New Roman" w:hAnsi="Times New Roman" w:eastAsia="楷体_GB2312" w:cs="Times New Roman"/>
          <w:b w:val="0"/>
          <w:bCs w:val="0"/>
          <w:color w:val="000000"/>
          <w:sz w:val="32"/>
          <w:szCs w:val="36"/>
          <w:lang w:val="en-US" w:eastAsia="zh-CN"/>
        </w:rPr>
        <w:t>十九</w:t>
      </w:r>
      <w:r>
        <w:rPr>
          <w:rFonts w:hint="eastAsia" w:ascii="Times New Roman" w:hAnsi="Times New Roman" w:eastAsia="楷体_GB2312" w:cs="Times New Roman"/>
          <w:b w:val="0"/>
          <w:bCs w:val="0"/>
          <w:color w:val="000000"/>
          <w:sz w:val="32"/>
          <w:szCs w:val="36"/>
        </w:rPr>
        <w:t>）开展规划评估</w:t>
      </w:r>
      <w:bookmarkEnd w:id="154"/>
      <w:bookmarkEnd w:id="155"/>
      <w:bookmarkEnd w:id="156"/>
      <w:bookmarkEnd w:id="157"/>
      <w:bookmarkEnd w:id="158"/>
    </w:p>
    <w:p w14:paraId="5A90421A">
      <w:pPr>
        <w:spacing w:line="560" w:lineRule="exact"/>
        <w:ind w:firstLine="640" w:firstLineChars="200"/>
        <w:textAlignment w:val="center"/>
        <w:rPr>
          <w:rFonts w:hint="eastAsia" w:eastAsia="仿宋_GB2312"/>
          <w:lang w:eastAsia="zh-CN"/>
        </w:rPr>
      </w:pPr>
      <w:r>
        <w:rPr>
          <w:rFonts w:hint="eastAsia" w:ascii="Times New Roman" w:hAnsi="Times New Roman" w:eastAsia="仿宋_GB2312" w:cs="仿宋_GB2312"/>
          <w:sz w:val="32"/>
          <w:szCs w:val="32"/>
        </w:rPr>
        <w:t>建立规划实施定期评估机制，系统开展中期</w:t>
      </w:r>
      <w:r>
        <w:rPr>
          <w:rFonts w:hint="eastAsia" w:ascii="Times New Roman" w:hAnsi="Times New Roman" w:eastAsia="仿宋_GB2312" w:cs="仿宋_GB2312"/>
          <w:sz w:val="32"/>
          <w:szCs w:val="32"/>
          <w:lang w:eastAsia="zh-CN"/>
        </w:rPr>
        <w:t>评估</w:t>
      </w:r>
      <w:r>
        <w:rPr>
          <w:rFonts w:hint="eastAsia" w:ascii="Times New Roman" w:hAnsi="Times New Roman" w:eastAsia="仿宋_GB2312" w:cs="仿宋_GB2312"/>
          <w:sz w:val="32"/>
          <w:szCs w:val="32"/>
          <w:lang w:val="en-US" w:eastAsia="zh-CN"/>
        </w:rPr>
        <w:t>与</w:t>
      </w:r>
      <w:r>
        <w:rPr>
          <w:rFonts w:hint="eastAsia" w:ascii="Times New Roman" w:hAnsi="Times New Roman" w:eastAsia="仿宋_GB2312" w:cs="仿宋_GB2312"/>
          <w:sz w:val="32"/>
          <w:szCs w:val="32"/>
        </w:rPr>
        <w:t>总结评估工作，对规划主要目标</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重点任务实施情况进行跟踪监测，对</w:t>
      </w:r>
      <w:r>
        <w:rPr>
          <w:rFonts w:hint="eastAsia" w:ascii="Times New Roman" w:hAnsi="Times New Roman" w:eastAsia="仿宋_GB2312" w:cs="仿宋_GB2312"/>
          <w:sz w:val="32"/>
          <w:szCs w:val="32"/>
          <w:lang w:val="en-US" w:eastAsia="zh-CN"/>
        </w:rPr>
        <w:t>推进滞</w:t>
      </w:r>
      <w:r>
        <w:rPr>
          <w:rFonts w:hint="eastAsia" w:ascii="Times New Roman" w:hAnsi="Times New Roman" w:eastAsia="仿宋_GB2312" w:cs="仿宋_GB2312"/>
          <w:sz w:val="32"/>
          <w:szCs w:val="32"/>
        </w:rPr>
        <w:t>后的任务</w:t>
      </w:r>
      <w:r>
        <w:rPr>
          <w:rFonts w:hint="eastAsia" w:ascii="Times New Roman" w:hAnsi="Times New Roman" w:eastAsia="仿宋_GB2312" w:cs="仿宋_GB2312"/>
          <w:sz w:val="32"/>
          <w:szCs w:val="32"/>
          <w:lang w:val="en-US" w:eastAsia="zh-CN"/>
        </w:rPr>
        <w:t>予以</w:t>
      </w:r>
      <w:r>
        <w:rPr>
          <w:rFonts w:hint="eastAsia" w:ascii="Times New Roman" w:hAnsi="Times New Roman" w:eastAsia="仿宋_GB2312" w:cs="仿宋_GB2312"/>
          <w:sz w:val="32"/>
          <w:szCs w:val="32"/>
        </w:rPr>
        <w:t>及时提醒督促。建立规划动态调整机制，结合国内外宏观经济</w:t>
      </w:r>
      <w:r>
        <w:rPr>
          <w:rFonts w:hint="eastAsia" w:ascii="Times New Roman" w:hAnsi="Times New Roman" w:eastAsia="仿宋_GB2312" w:cs="仿宋_GB2312"/>
          <w:sz w:val="32"/>
          <w:szCs w:val="32"/>
          <w:lang w:val="en-US" w:eastAsia="zh-CN"/>
        </w:rPr>
        <w:t>及</w:t>
      </w:r>
      <w:r>
        <w:rPr>
          <w:rFonts w:hint="eastAsia" w:ascii="Times New Roman" w:hAnsi="Times New Roman" w:eastAsia="仿宋_GB2312" w:cs="仿宋_GB2312"/>
          <w:sz w:val="32"/>
          <w:szCs w:val="32"/>
        </w:rPr>
        <w:t>金融形势变化，</w:t>
      </w:r>
      <w:r>
        <w:rPr>
          <w:rFonts w:hint="eastAsia" w:ascii="Times New Roman" w:hAnsi="Times New Roman" w:eastAsia="仿宋_GB2312" w:cs="仿宋_GB2312"/>
          <w:sz w:val="32"/>
          <w:szCs w:val="32"/>
          <w:lang w:val="en-US" w:eastAsia="zh-CN"/>
        </w:rPr>
        <w:t>适时优化调整</w:t>
      </w:r>
      <w:r>
        <w:rPr>
          <w:rFonts w:hint="eastAsia" w:ascii="Times New Roman" w:hAnsi="Times New Roman" w:eastAsia="仿宋_GB2312" w:cs="仿宋_GB2312"/>
          <w:sz w:val="32"/>
          <w:szCs w:val="32"/>
        </w:rPr>
        <w:t>规划目标</w:t>
      </w:r>
      <w:r>
        <w:rPr>
          <w:rFonts w:hint="eastAsia" w:ascii="Times New Roman" w:hAnsi="Times New Roman" w:eastAsia="仿宋_GB2312" w:cs="仿宋_GB2312"/>
          <w:sz w:val="32"/>
          <w:szCs w:val="32"/>
          <w:lang w:val="en-US" w:eastAsia="zh-CN"/>
        </w:rPr>
        <w:t>与</w:t>
      </w:r>
      <w:r>
        <w:rPr>
          <w:rFonts w:hint="eastAsia" w:ascii="Times New Roman" w:hAnsi="Times New Roman" w:eastAsia="仿宋_GB2312" w:cs="仿宋_GB2312"/>
          <w:sz w:val="32"/>
          <w:szCs w:val="32"/>
        </w:rPr>
        <w:t>政策举措。健全规划实施信息公开机制，</w:t>
      </w:r>
      <w:r>
        <w:rPr>
          <w:rFonts w:hint="eastAsia" w:ascii="Times New Roman" w:hAnsi="Times New Roman" w:eastAsia="仿宋_GB2312" w:cs="仿宋_GB2312"/>
          <w:sz w:val="32"/>
          <w:szCs w:val="32"/>
          <w:lang w:val="en-US" w:eastAsia="zh-CN"/>
        </w:rPr>
        <w:t>汇</w:t>
      </w:r>
      <w:r>
        <w:rPr>
          <w:rFonts w:hint="eastAsia" w:ascii="Times New Roman" w:hAnsi="Times New Roman" w:eastAsia="仿宋_GB2312" w:cs="仿宋_GB2312"/>
          <w:sz w:val="32"/>
          <w:szCs w:val="32"/>
        </w:rPr>
        <w:t>聚多元</w:t>
      </w:r>
      <w:r>
        <w:rPr>
          <w:rFonts w:hint="eastAsia" w:ascii="Times New Roman" w:hAnsi="Times New Roman" w:eastAsia="仿宋_GB2312" w:cs="仿宋_GB2312"/>
          <w:sz w:val="32"/>
          <w:szCs w:val="32"/>
          <w:lang w:val="en-US" w:eastAsia="zh-CN"/>
        </w:rPr>
        <w:t>主体</w:t>
      </w:r>
      <w:r>
        <w:rPr>
          <w:rFonts w:hint="eastAsia" w:ascii="Times New Roman" w:hAnsi="Times New Roman" w:eastAsia="仿宋_GB2312" w:cs="仿宋_GB2312"/>
          <w:sz w:val="32"/>
          <w:szCs w:val="32"/>
        </w:rPr>
        <w:t>力量，</w:t>
      </w:r>
      <w:r>
        <w:rPr>
          <w:rFonts w:hint="eastAsia" w:ascii="Times New Roman" w:hAnsi="Times New Roman" w:eastAsia="仿宋_GB2312" w:cs="仿宋_GB2312"/>
          <w:sz w:val="32"/>
          <w:szCs w:val="32"/>
          <w:lang w:val="en-US" w:eastAsia="zh-CN"/>
        </w:rPr>
        <w:t>协</w:t>
      </w:r>
      <w:r>
        <w:rPr>
          <w:rFonts w:hint="eastAsia" w:ascii="Times New Roman" w:hAnsi="Times New Roman" w:eastAsia="仿宋_GB2312" w:cs="仿宋_GB2312"/>
          <w:sz w:val="32"/>
          <w:szCs w:val="32"/>
        </w:rPr>
        <w:t>同推动规划落到实处。</w:t>
      </w:r>
      <w:bookmarkEnd w:id="131"/>
      <w:bookmarkEnd w:id="132"/>
    </w:p>
    <w:sectPr>
      <w:footerReference r:id="rId12" w:type="default"/>
      <w:pgSz w:w="11906" w:h="16838"/>
      <w:pgMar w:top="2098" w:right="1474" w:bottom="1984" w:left="1587" w:header="720" w:footer="720" w:gutter="0"/>
      <w:pgNumType w:fmt="decimal"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BAC1A">
    <w:pPr>
      <w:tabs>
        <w:tab w:val="center" w:pos="4153"/>
        <w:tab w:val="right" w:pos="8306"/>
      </w:tabs>
      <w:snapToGrid w:val="0"/>
      <w:jc w:val="center"/>
      <w:rPr>
        <w:rFonts w:ascii="Times New Roman" w:hAnsi="Times New Roman" w:eastAsia="宋体" w:cs="Times New Roman"/>
        <w:szCs w:val="21"/>
      </w:rPr>
    </w:pPr>
  </w:p>
  <w:p w14:paraId="2C2F82AE">
    <w:pPr>
      <w:tabs>
        <w:tab w:val="center" w:pos="4153"/>
        <w:tab w:val="right" w:pos="8306"/>
      </w:tabs>
      <w:snapToGrid w:val="0"/>
      <w:jc w:val="left"/>
      <w:rPr>
        <w:rFonts w:ascii="Calibri" w:hAnsi="Calibri" w:eastAsia="宋体"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sz w:val="20"/>
        <w:szCs w:val="20"/>
      </w:rPr>
      <w:id w:val="-1371613242"/>
    </w:sdtPr>
    <w:sdtEndPr>
      <w:rPr>
        <w:rFonts w:ascii="Times New Roman" w:hAnsi="Times New Roman" w:eastAsia="宋体" w:cs="Times New Roman"/>
        <w:sz w:val="20"/>
        <w:szCs w:val="20"/>
      </w:rPr>
    </w:sdtEndPr>
    <w:sdtContent>
      <w:p w14:paraId="15B1C7A7">
        <w:pPr>
          <w:tabs>
            <w:tab w:val="center" w:pos="4153"/>
            <w:tab w:val="right" w:pos="8306"/>
          </w:tabs>
          <w:snapToGrid w:val="0"/>
          <w:jc w:val="left"/>
          <w:rPr>
            <w:rFonts w:ascii="Times New Roman" w:hAnsi="Times New Roman" w:eastAsia="宋体" w:cs="Times New Roman"/>
            <w:sz w:val="20"/>
            <w:szCs w:val="20"/>
          </w:rPr>
        </w:pP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PAGE   \* MERGEFORMAT</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lang w:val="zh-CN"/>
          </w:rPr>
          <w:t>2</w:t>
        </w:r>
        <w:r>
          <w:rPr>
            <w:rFonts w:ascii="Times New Roman" w:hAnsi="Times New Roman" w:eastAsia="宋体" w:cs="Times New Roman"/>
            <w:sz w:val="20"/>
            <w:szCs w:val="20"/>
          </w:rPr>
          <w:fldChar w:fldCharType="end"/>
        </w:r>
      </w:p>
    </w:sdtContent>
  </w:sdt>
  <w:p w14:paraId="1DE27C29">
    <w:pPr>
      <w:tabs>
        <w:tab w:val="center" w:pos="4153"/>
        <w:tab w:val="right" w:pos="8306"/>
      </w:tabs>
      <w:snapToGrid w:val="0"/>
      <w:jc w:val="left"/>
      <w:rPr>
        <w:rFonts w:ascii="Calibri" w:hAnsi="Calibri" w:eastAsia="宋体"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36171">
    <w:pPr>
      <w:tabs>
        <w:tab w:val="center" w:pos="4153"/>
        <w:tab w:val="right" w:pos="8306"/>
      </w:tabs>
      <w:snapToGrid w:val="0"/>
      <w:jc w:val="center"/>
      <w:rPr>
        <w:rFonts w:ascii="Calibri" w:hAnsi="Calibri" w:eastAsia="宋体" w:cs="Times New Roman"/>
        <w:sz w:val="18"/>
        <w:szCs w:val="18"/>
      </w:rPr>
    </w:pPr>
  </w:p>
  <w:p w14:paraId="3EEB9691">
    <w:pPr>
      <w:tabs>
        <w:tab w:val="center" w:pos="4153"/>
        <w:tab w:val="right" w:pos="8306"/>
      </w:tabs>
      <w:snapToGrid w:val="0"/>
      <w:jc w:val="left"/>
      <w:rPr>
        <w:rFonts w:ascii="Calibri" w:hAnsi="Calibri" w:eastAsia="宋体" w:cs="Times New Roman"/>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F7CB3">
    <w:pPr>
      <w:tabs>
        <w:tab w:val="center" w:pos="4153"/>
        <w:tab w:val="right" w:pos="8306"/>
      </w:tabs>
      <w:snapToGrid w:val="0"/>
      <w:jc w:val="right"/>
      <w:rPr>
        <w:rFonts w:ascii="Times New Roman" w:hAnsi="Times New Roman" w:eastAsia="宋体" w:cs="Times New Roman"/>
        <w:sz w:val="20"/>
        <w:szCs w:val="20"/>
      </w:rPr>
    </w:pPr>
  </w:p>
  <w:p w14:paraId="5EA2C962">
    <w:pPr>
      <w:tabs>
        <w:tab w:val="center" w:pos="4153"/>
        <w:tab w:val="right" w:pos="8306"/>
      </w:tabs>
      <w:snapToGrid w:val="0"/>
      <w:jc w:val="left"/>
      <w:rPr>
        <w:rFonts w:ascii="Calibri" w:hAnsi="Calibri" w:eastAsia="宋体" w:cs="Times New Roman"/>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3AE48">
    <w:pPr>
      <w:tabs>
        <w:tab w:val="center" w:pos="4153"/>
        <w:tab w:val="right" w:pos="8306"/>
      </w:tabs>
      <w:snapToGrid w:val="0"/>
      <w:jc w:val="center"/>
      <w:rPr>
        <w:rFonts w:ascii="Times New Roman" w:hAnsi="Times New Roman" w:eastAsia="宋体" w:cs="Times New Roman"/>
        <w:szCs w:val="21"/>
      </w:rP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37FB27">
                          <w:pPr>
                            <w:pStyle w:val="9"/>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837FB27">
                    <w:pPr>
                      <w:pStyle w:val="9"/>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p w14:paraId="75792F13">
    <w:pPr>
      <w:tabs>
        <w:tab w:val="center" w:pos="4153"/>
        <w:tab w:val="right" w:pos="8306"/>
      </w:tabs>
      <w:snapToGrid w:val="0"/>
      <w:jc w:val="left"/>
      <w:rPr>
        <w:rFonts w:ascii="Calibri" w:hAnsi="Calibri" w:eastAsia="宋体" w:cs="Times New Roman"/>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0E321">
    <w:pPr>
      <w:tabs>
        <w:tab w:val="center" w:pos="4153"/>
        <w:tab w:val="right" w:pos="8306"/>
      </w:tabs>
      <w:snapToGrid w:val="0"/>
      <w:jc w:val="right"/>
      <w:rPr>
        <w:rFonts w:ascii="Times New Roman" w:hAnsi="Times New Roman" w:eastAsia="宋体" w:cs="Times New Roman"/>
        <w:szCs w:val="21"/>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40898D">
                          <w:pPr>
                            <w:pStyle w:val="9"/>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640898D">
                    <w:pPr>
                      <w:pStyle w:val="9"/>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p w14:paraId="29F5E2B8">
    <w:pPr>
      <w:tabs>
        <w:tab w:val="center" w:pos="4153"/>
        <w:tab w:val="right" w:pos="8306"/>
      </w:tabs>
      <w:snapToGrid w:val="0"/>
      <w:jc w:val="left"/>
      <w:rPr>
        <w:rFonts w:ascii="Calibri" w:hAnsi="Calibri" w:eastAsia="宋体" w:cs="Times New Roman"/>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2663F">
    <w:pPr>
      <w:tabs>
        <w:tab w:val="center" w:pos="4153"/>
        <w:tab w:val="right" w:pos="8306"/>
      </w:tabs>
      <w:snapToGrid w:val="0"/>
      <w:jc w:val="right"/>
      <w:rPr>
        <w:rFonts w:ascii="Times New Roman" w:hAnsi="Times New Roman" w:eastAsia="宋体" w:cs="Times New Roman"/>
        <w:sz w:val="20"/>
        <w:szCs w:val="20"/>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-30480</wp:posOffset>
              </wp:positionV>
              <wp:extent cx="752475" cy="36195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52475" cy="361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330BDD">
                          <w:pPr>
                            <w:pStyle w:val="9"/>
                            <w:ind w:firstLine="0" w:firstLineChars="0"/>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w:t>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  \* MERGEFORMAT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2.4pt;height:28.5pt;width:59.25pt;mso-position-horizontal:outside;mso-position-horizontal-relative:margin;z-index:251660288;mso-width-relative:page;mso-height-relative:page;" filled="f" stroked="f" coordsize="21600,21600" o:gfxdata="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HSQE/7VAAAABgEAAA8AAAAAAAAAAQAgAAAAIgAAAGRycy9kb3ducmV2LnhtbFBL&#10;AQIUABQAAAAIAIdO4kC1wmHtMgIAAFUEAAAOAAAAAAAAAAEAIAAAACQBAABkcnMvZTJvRG9jLnht&#10;bFBLBQYAAAAABgAGAFkBAADIBQAAAAA=&#10;">
              <v:fill on="f" focussize="0,0"/>
              <v:stroke on="f" weight="0.5pt"/>
              <v:imagedata o:title=""/>
              <o:lock v:ext="edit" aspectratio="f"/>
              <v:textbox inset="0mm,0mm,0mm,0mm">
                <w:txbxContent>
                  <w:p w14:paraId="09330BDD">
                    <w:pPr>
                      <w:pStyle w:val="9"/>
                      <w:ind w:firstLine="0" w:firstLineChars="0"/>
                      <w:jc w:val="righ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w:t>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  \* MERGEFORMAT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t xml:space="preserve"> —</w:t>
                    </w:r>
                  </w:p>
                </w:txbxContent>
              </v:textbox>
            </v:shape>
          </w:pict>
        </mc:Fallback>
      </mc:AlternateContent>
    </w:r>
  </w:p>
  <w:p w14:paraId="6A638BD7">
    <w:pPr>
      <w:tabs>
        <w:tab w:val="center" w:pos="4153"/>
        <w:tab w:val="right" w:pos="8306"/>
      </w:tabs>
      <w:snapToGrid w:val="0"/>
      <w:jc w:val="left"/>
      <w:rPr>
        <w:rFonts w:ascii="Calibri" w:hAnsi="Calibri" w:eastAsia="宋体"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36911">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2D60EA"/>
    <w:rsid w:val="000102A7"/>
    <w:rsid w:val="00013197"/>
    <w:rsid w:val="000159B8"/>
    <w:rsid w:val="0002017E"/>
    <w:rsid w:val="000216BA"/>
    <w:rsid w:val="000227C2"/>
    <w:rsid w:val="00031E6E"/>
    <w:rsid w:val="00032D55"/>
    <w:rsid w:val="000338C4"/>
    <w:rsid w:val="00034362"/>
    <w:rsid w:val="000418B1"/>
    <w:rsid w:val="000419EF"/>
    <w:rsid w:val="000519D0"/>
    <w:rsid w:val="000547DD"/>
    <w:rsid w:val="000551A2"/>
    <w:rsid w:val="000559BF"/>
    <w:rsid w:val="00060761"/>
    <w:rsid w:val="0006259D"/>
    <w:rsid w:val="00064442"/>
    <w:rsid w:val="00065771"/>
    <w:rsid w:val="00075963"/>
    <w:rsid w:val="00075CA4"/>
    <w:rsid w:val="00083B09"/>
    <w:rsid w:val="00091BB1"/>
    <w:rsid w:val="00091C65"/>
    <w:rsid w:val="000929C1"/>
    <w:rsid w:val="00093FC2"/>
    <w:rsid w:val="000A1EE7"/>
    <w:rsid w:val="000A3179"/>
    <w:rsid w:val="000A4DA1"/>
    <w:rsid w:val="000A7AA4"/>
    <w:rsid w:val="000B1E14"/>
    <w:rsid w:val="000B20C9"/>
    <w:rsid w:val="000B5269"/>
    <w:rsid w:val="000B5404"/>
    <w:rsid w:val="000B71A1"/>
    <w:rsid w:val="000C0970"/>
    <w:rsid w:val="000C3417"/>
    <w:rsid w:val="000C72F8"/>
    <w:rsid w:val="000C78AA"/>
    <w:rsid w:val="000D08F8"/>
    <w:rsid w:val="000D39F6"/>
    <w:rsid w:val="000D4086"/>
    <w:rsid w:val="000E0052"/>
    <w:rsid w:val="000E78E3"/>
    <w:rsid w:val="000F173B"/>
    <w:rsid w:val="000F4D24"/>
    <w:rsid w:val="001023AB"/>
    <w:rsid w:val="0010461D"/>
    <w:rsid w:val="00106D04"/>
    <w:rsid w:val="001075AA"/>
    <w:rsid w:val="0011088D"/>
    <w:rsid w:val="001129E2"/>
    <w:rsid w:val="00115AC3"/>
    <w:rsid w:val="00120C1F"/>
    <w:rsid w:val="00125A90"/>
    <w:rsid w:val="00125B2D"/>
    <w:rsid w:val="0012662B"/>
    <w:rsid w:val="00131172"/>
    <w:rsid w:val="001343A1"/>
    <w:rsid w:val="00137FCD"/>
    <w:rsid w:val="00152469"/>
    <w:rsid w:val="00152937"/>
    <w:rsid w:val="00153DC1"/>
    <w:rsid w:val="00161E6C"/>
    <w:rsid w:val="00164138"/>
    <w:rsid w:val="00165301"/>
    <w:rsid w:val="00181481"/>
    <w:rsid w:val="00181BB2"/>
    <w:rsid w:val="00182943"/>
    <w:rsid w:val="00183435"/>
    <w:rsid w:val="0018401A"/>
    <w:rsid w:val="00184C81"/>
    <w:rsid w:val="001A2238"/>
    <w:rsid w:val="001A3AD6"/>
    <w:rsid w:val="001A6DB4"/>
    <w:rsid w:val="001A716A"/>
    <w:rsid w:val="001B0471"/>
    <w:rsid w:val="001B3BB3"/>
    <w:rsid w:val="001B663F"/>
    <w:rsid w:val="001B7046"/>
    <w:rsid w:val="001C1F81"/>
    <w:rsid w:val="001C391F"/>
    <w:rsid w:val="001C4AA4"/>
    <w:rsid w:val="001C5354"/>
    <w:rsid w:val="001C63EB"/>
    <w:rsid w:val="001D2444"/>
    <w:rsid w:val="001D2894"/>
    <w:rsid w:val="001D6D95"/>
    <w:rsid w:val="001D7645"/>
    <w:rsid w:val="001E7570"/>
    <w:rsid w:val="001F485E"/>
    <w:rsid w:val="001F49C9"/>
    <w:rsid w:val="001F7313"/>
    <w:rsid w:val="001F789A"/>
    <w:rsid w:val="00204B6C"/>
    <w:rsid w:val="00207739"/>
    <w:rsid w:val="00210B87"/>
    <w:rsid w:val="00212F35"/>
    <w:rsid w:val="00213C39"/>
    <w:rsid w:val="00213D8D"/>
    <w:rsid w:val="00213F7E"/>
    <w:rsid w:val="002254A2"/>
    <w:rsid w:val="00227784"/>
    <w:rsid w:val="00232D7E"/>
    <w:rsid w:val="00233AA5"/>
    <w:rsid w:val="0024136F"/>
    <w:rsid w:val="0024769C"/>
    <w:rsid w:val="00247B4C"/>
    <w:rsid w:val="00251BB1"/>
    <w:rsid w:val="002521FE"/>
    <w:rsid w:val="00252D5C"/>
    <w:rsid w:val="0025422B"/>
    <w:rsid w:val="002552D8"/>
    <w:rsid w:val="00275665"/>
    <w:rsid w:val="002756D3"/>
    <w:rsid w:val="00277042"/>
    <w:rsid w:val="002849F5"/>
    <w:rsid w:val="002916C3"/>
    <w:rsid w:val="0029186D"/>
    <w:rsid w:val="002920ED"/>
    <w:rsid w:val="00295214"/>
    <w:rsid w:val="0029599A"/>
    <w:rsid w:val="002C16F6"/>
    <w:rsid w:val="002C2C62"/>
    <w:rsid w:val="002C2F16"/>
    <w:rsid w:val="002C6C0F"/>
    <w:rsid w:val="002D3BC3"/>
    <w:rsid w:val="002D5C28"/>
    <w:rsid w:val="002E0B10"/>
    <w:rsid w:val="002E3530"/>
    <w:rsid w:val="002F3C5F"/>
    <w:rsid w:val="00301B9F"/>
    <w:rsid w:val="00313F7D"/>
    <w:rsid w:val="003228B4"/>
    <w:rsid w:val="0032555B"/>
    <w:rsid w:val="0033066B"/>
    <w:rsid w:val="00331170"/>
    <w:rsid w:val="00335C01"/>
    <w:rsid w:val="00337180"/>
    <w:rsid w:val="00340E43"/>
    <w:rsid w:val="00344884"/>
    <w:rsid w:val="00344AC7"/>
    <w:rsid w:val="00346292"/>
    <w:rsid w:val="00360633"/>
    <w:rsid w:val="00367A4F"/>
    <w:rsid w:val="00373BC4"/>
    <w:rsid w:val="00381657"/>
    <w:rsid w:val="00385429"/>
    <w:rsid w:val="0038706D"/>
    <w:rsid w:val="0038737B"/>
    <w:rsid w:val="003909DB"/>
    <w:rsid w:val="00395AF7"/>
    <w:rsid w:val="003969E0"/>
    <w:rsid w:val="00397533"/>
    <w:rsid w:val="003A23A0"/>
    <w:rsid w:val="003A3D35"/>
    <w:rsid w:val="003A5CD4"/>
    <w:rsid w:val="003C1033"/>
    <w:rsid w:val="003C18F0"/>
    <w:rsid w:val="003C2DDC"/>
    <w:rsid w:val="003C34CE"/>
    <w:rsid w:val="003C6739"/>
    <w:rsid w:val="003C70D1"/>
    <w:rsid w:val="003C7E7E"/>
    <w:rsid w:val="003E53B8"/>
    <w:rsid w:val="003F1887"/>
    <w:rsid w:val="003F21E6"/>
    <w:rsid w:val="0040079A"/>
    <w:rsid w:val="004008E2"/>
    <w:rsid w:val="00405EF7"/>
    <w:rsid w:val="00413976"/>
    <w:rsid w:val="00416523"/>
    <w:rsid w:val="004222D6"/>
    <w:rsid w:val="00423666"/>
    <w:rsid w:val="004255F9"/>
    <w:rsid w:val="00425615"/>
    <w:rsid w:val="00426F0D"/>
    <w:rsid w:val="00434413"/>
    <w:rsid w:val="00440358"/>
    <w:rsid w:val="004436AE"/>
    <w:rsid w:val="0044399F"/>
    <w:rsid w:val="00446A94"/>
    <w:rsid w:val="00450905"/>
    <w:rsid w:val="004544FD"/>
    <w:rsid w:val="004676D0"/>
    <w:rsid w:val="00475DEE"/>
    <w:rsid w:val="00476938"/>
    <w:rsid w:val="004823F8"/>
    <w:rsid w:val="00491F82"/>
    <w:rsid w:val="004945F6"/>
    <w:rsid w:val="004A7D25"/>
    <w:rsid w:val="004B1C86"/>
    <w:rsid w:val="004B1D96"/>
    <w:rsid w:val="004C4A94"/>
    <w:rsid w:val="004D6FA6"/>
    <w:rsid w:val="004E3710"/>
    <w:rsid w:val="004E77FC"/>
    <w:rsid w:val="004F5A2C"/>
    <w:rsid w:val="00500645"/>
    <w:rsid w:val="00506F9E"/>
    <w:rsid w:val="005162E4"/>
    <w:rsid w:val="0052204C"/>
    <w:rsid w:val="005249FB"/>
    <w:rsid w:val="0052694A"/>
    <w:rsid w:val="00527AB8"/>
    <w:rsid w:val="005321FB"/>
    <w:rsid w:val="00542412"/>
    <w:rsid w:val="00545F20"/>
    <w:rsid w:val="005500EE"/>
    <w:rsid w:val="0055538A"/>
    <w:rsid w:val="0056327F"/>
    <w:rsid w:val="005674AD"/>
    <w:rsid w:val="005707A8"/>
    <w:rsid w:val="00571409"/>
    <w:rsid w:val="00580484"/>
    <w:rsid w:val="0058567C"/>
    <w:rsid w:val="00585C29"/>
    <w:rsid w:val="00585C4D"/>
    <w:rsid w:val="00585CF6"/>
    <w:rsid w:val="0058659F"/>
    <w:rsid w:val="00594464"/>
    <w:rsid w:val="00595A10"/>
    <w:rsid w:val="005A2C15"/>
    <w:rsid w:val="005B2CB8"/>
    <w:rsid w:val="005C3485"/>
    <w:rsid w:val="005D14E4"/>
    <w:rsid w:val="005D1904"/>
    <w:rsid w:val="005F46F6"/>
    <w:rsid w:val="005F5843"/>
    <w:rsid w:val="006031C3"/>
    <w:rsid w:val="006044B9"/>
    <w:rsid w:val="00613CBD"/>
    <w:rsid w:val="006155D1"/>
    <w:rsid w:val="00616F71"/>
    <w:rsid w:val="00625E29"/>
    <w:rsid w:val="00633D0C"/>
    <w:rsid w:val="0063624A"/>
    <w:rsid w:val="006365C6"/>
    <w:rsid w:val="00645010"/>
    <w:rsid w:val="00662E1B"/>
    <w:rsid w:val="006654C4"/>
    <w:rsid w:val="006826AD"/>
    <w:rsid w:val="0068342B"/>
    <w:rsid w:val="006928A4"/>
    <w:rsid w:val="00696207"/>
    <w:rsid w:val="006971E0"/>
    <w:rsid w:val="006A1999"/>
    <w:rsid w:val="006A27E4"/>
    <w:rsid w:val="006A78E8"/>
    <w:rsid w:val="006B02E8"/>
    <w:rsid w:val="006B16DC"/>
    <w:rsid w:val="006B2945"/>
    <w:rsid w:val="006B485E"/>
    <w:rsid w:val="006B6073"/>
    <w:rsid w:val="006C0A03"/>
    <w:rsid w:val="006C0D8A"/>
    <w:rsid w:val="006C551F"/>
    <w:rsid w:val="006C7F73"/>
    <w:rsid w:val="006D0AB6"/>
    <w:rsid w:val="006D4C17"/>
    <w:rsid w:val="006E0A17"/>
    <w:rsid w:val="006E243A"/>
    <w:rsid w:val="006E52B6"/>
    <w:rsid w:val="006F3DE2"/>
    <w:rsid w:val="006F4B91"/>
    <w:rsid w:val="00704DCE"/>
    <w:rsid w:val="0070517B"/>
    <w:rsid w:val="007071FC"/>
    <w:rsid w:val="007122C7"/>
    <w:rsid w:val="00713996"/>
    <w:rsid w:val="00716A25"/>
    <w:rsid w:val="00716EBF"/>
    <w:rsid w:val="00717EB2"/>
    <w:rsid w:val="0072229A"/>
    <w:rsid w:val="007252DA"/>
    <w:rsid w:val="00726729"/>
    <w:rsid w:val="0073202F"/>
    <w:rsid w:val="0073551E"/>
    <w:rsid w:val="00737E61"/>
    <w:rsid w:val="007408ED"/>
    <w:rsid w:val="007422B2"/>
    <w:rsid w:val="00746B56"/>
    <w:rsid w:val="00752D39"/>
    <w:rsid w:val="00767EE0"/>
    <w:rsid w:val="007758FB"/>
    <w:rsid w:val="00783E19"/>
    <w:rsid w:val="0078730F"/>
    <w:rsid w:val="00795E35"/>
    <w:rsid w:val="007A3B14"/>
    <w:rsid w:val="007A577F"/>
    <w:rsid w:val="007A7886"/>
    <w:rsid w:val="007B0C5E"/>
    <w:rsid w:val="007B0FF6"/>
    <w:rsid w:val="007B41CD"/>
    <w:rsid w:val="007B5709"/>
    <w:rsid w:val="007C4D87"/>
    <w:rsid w:val="007D021F"/>
    <w:rsid w:val="007D0867"/>
    <w:rsid w:val="007D0939"/>
    <w:rsid w:val="007E3A1B"/>
    <w:rsid w:val="007F24B4"/>
    <w:rsid w:val="007F3F1B"/>
    <w:rsid w:val="007F6026"/>
    <w:rsid w:val="007F75B6"/>
    <w:rsid w:val="008139E0"/>
    <w:rsid w:val="008142C9"/>
    <w:rsid w:val="00825318"/>
    <w:rsid w:val="00826B45"/>
    <w:rsid w:val="00830FAF"/>
    <w:rsid w:val="00831488"/>
    <w:rsid w:val="00833D3C"/>
    <w:rsid w:val="00837FE8"/>
    <w:rsid w:val="00841246"/>
    <w:rsid w:val="00843791"/>
    <w:rsid w:val="008538BD"/>
    <w:rsid w:val="0086316B"/>
    <w:rsid w:val="00866C66"/>
    <w:rsid w:val="0087348E"/>
    <w:rsid w:val="008750BA"/>
    <w:rsid w:val="00881F32"/>
    <w:rsid w:val="00884FEE"/>
    <w:rsid w:val="00886677"/>
    <w:rsid w:val="00890E33"/>
    <w:rsid w:val="00894533"/>
    <w:rsid w:val="0089566D"/>
    <w:rsid w:val="00896A85"/>
    <w:rsid w:val="008A1B02"/>
    <w:rsid w:val="008A1CAB"/>
    <w:rsid w:val="008B7DFE"/>
    <w:rsid w:val="008C3C2A"/>
    <w:rsid w:val="008D21CD"/>
    <w:rsid w:val="008D44B7"/>
    <w:rsid w:val="008D7B98"/>
    <w:rsid w:val="008E1438"/>
    <w:rsid w:val="008E1AD6"/>
    <w:rsid w:val="008E372D"/>
    <w:rsid w:val="008F2666"/>
    <w:rsid w:val="008F4038"/>
    <w:rsid w:val="00901054"/>
    <w:rsid w:val="0090159C"/>
    <w:rsid w:val="00906A7A"/>
    <w:rsid w:val="00917531"/>
    <w:rsid w:val="00920982"/>
    <w:rsid w:val="0093492B"/>
    <w:rsid w:val="009402F8"/>
    <w:rsid w:val="009409A6"/>
    <w:rsid w:val="009410C6"/>
    <w:rsid w:val="009412AA"/>
    <w:rsid w:val="00944E66"/>
    <w:rsid w:val="00953E75"/>
    <w:rsid w:val="00955CB8"/>
    <w:rsid w:val="009622B4"/>
    <w:rsid w:val="00971EBA"/>
    <w:rsid w:val="009721D1"/>
    <w:rsid w:val="00976062"/>
    <w:rsid w:val="009814FE"/>
    <w:rsid w:val="00982E40"/>
    <w:rsid w:val="00986FDA"/>
    <w:rsid w:val="009870BF"/>
    <w:rsid w:val="0098766E"/>
    <w:rsid w:val="00991B1A"/>
    <w:rsid w:val="00992DBE"/>
    <w:rsid w:val="009953FA"/>
    <w:rsid w:val="0099664B"/>
    <w:rsid w:val="00996B03"/>
    <w:rsid w:val="00997324"/>
    <w:rsid w:val="00997B41"/>
    <w:rsid w:val="009A1591"/>
    <w:rsid w:val="009A6DC7"/>
    <w:rsid w:val="009A79C0"/>
    <w:rsid w:val="009C0B57"/>
    <w:rsid w:val="009C3E59"/>
    <w:rsid w:val="009D0289"/>
    <w:rsid w:val="009E196B"/>
    <w:rsid w:val="009E2369"/>
    <w:rsid w:val="009F037F"/>
    <w:rsid w:val="009F0B18"/>
    <w:rsid w:val="009F1D92"/>
    <w:rsid w:val="009F4381"/>
    <w:rsid w:val="009F67DE"/>
    <w:rsid w:val="00A056D8"/>
    <w:rsid w:val="00A06AE7"/>
    <w:rsid w:val="00A12868"/>
    <w:rsid w:val="00A2157D"/>
    <w:rsid w:val="00A23107"/>
    <w:rsid w:val="00A270DF"/>
    <w:rsid w:val="00A355FD"/>
    <w:rsid w:val="00A369C4"/>
    <w:rsid w:val="00A41D13"/>
    <w:rsid w:val="00A4379C"/>
    <w:rsid w:val="00A43948"/>
    <w:rsid w:val="00A44216"/>
    <w:rsid w:val="00A53DFE"/>
    <w:rsid w:val="00A55DB1"/>
    <w:rsid w:val="00A5742A"/>
    <w:rsid w:val="00A62D62"/>
    <w:rsid w:val="00A7011A"/>
    <w:rsid w:val="00A73ED5"/>
    <w:rsid w:val="00A85BE0"/>
    <w:rsid w:val="00A91B25"/>
    <w:rsid w:val="00A92A7A"/>
    <w:rsid w:val="00A9572B"/>
    <w:rsid w:val="00AA3748"/>
    <w:rsid w:val="00AA3E60"/>
    <w:rsid w:val="00AB2015"/>
    <w:rsid w:val="00AB5B7B"/>
    <w:rsid w:val="00AB6112"/>
    <w:rsid w:val="00AC43D8"/>
    <w:rsid w:val="00AC4F22"/>
    <w:rsid w:val="00AC7DCC"/>
    <w:rsid w:val="00AD35E9"/>
    <w:rsid w:val="00AD6869"/>
    <w:rsid w:val="00AD6BEA"/>
    <w:rsid w:val="00AD7183"/>
    <w:rsid w:val="00AE106F"/>
    <w:rsid w:val="00AE4727"/>
    <w:rsid w:val="00AE5DA2"/>
    <w:rsid w:val="00AE6384"/>
    <w:rsid w:val="00AF16F2"/>
    <w:rsid w:val="00AF5422"/>
    <w:rsid w:val="00AF64C6"/>
    <w:rsid w:val="00B05D82"/>
    <w:rsid w:val="00B144B0"/>
    <w:rsid w:val="00B1475E"/>
    <w:rsid w:val="00B20831"/>
    <w:rsid w:val="00B2112D"/>
    <w:rsid w:val="00B233D4"/>
    <w:rsid w:val="00B24E90"/>
    <w:rsid w:val="00B34253"/>
    <w:rsid w:val="00B40B56"/>
    <w:rsid w:val="00B503A6"/>
    <w:rsid w:val="00B5453A"/>
    <w:rsid w:val="00B62D78"/>
    <w:rsid w:val="00B66A61"/>
    <w:rsid w:val="00B66BFB"/>
    <w:rsid w:val="00B67438"/>
    <w:rsid w:val="00B73A88"/>
    <w:rsid w:val="00B75D11"/>
    <w:rsid w:val="00B76A94"/>
    <w:rsid w:val="00B773F8"/>
    <w:rsid w:val="00B8650F"/>
    <w:rsid w:val="00B86F19"/>
    <w:rsid w:val="00B87C22"/>
    <w:rsid w:val="00B97458"/>
    <w:rsid w:val="00BC445B"/>
    <w:rsid w:val="00BC6AA6"/>
    <w:rsid w:val="00BC6BDA"/>
    <w:rsid w:val="00BD5BDC"/>
    <w:rsid w:val="00BD6D12"/>
    <w:rsid w:val="00BD78F8"/>
    <w:rsid w:val="00BE74B6"/>
    <w:rsid w:val="00BF054F"/>
    <w:rsid w:val="00BF2288"/>
    <w:rsid w:val="00C05204"/>
    <w:rsid w:val="00C13EF3"/>
    <w:rsid w:val="00C1455D"/>
    <w:rsid w:val="00C1645D"/>
    <w:rsid w:val="00C16761"/>
    <w:rsid w:val="00C2043C"/>
    <w:rsid w:val="00C240F9"/>
    <w:rsid w:val="00C33940"/>
    <w:rsid w:val="00C358E1"/>
    <w:rsid w:val="00C3764F"/>
    <w:rsid w:val="00C43897"/>
    <w:rsid w:val="00C45875"/>
    <w:rsid w:val="00C517C5"/>
    <w:rsid w:val="00C71A2B"/>
    <w:rsid w:val="00C75177"/>
    <w:rsid w:val="00C76E31"/>
    <w:rsid w:val="00C84A80"/>
    <w:rsid w:val="00C9292A"/>
    <w:rsid w:val="00C92EFC"/>
    <w:rsid w:val="00C935A3"/>
    <w:rsid w:val="00C94676"/>
    <w:rsid w:val="00CA268C"/>
    <w:rsid w:val="00CA7B70"/>
    <w:rsid w:val="00CB702D"/>
    <w:rsid w:val="00CB79F9"/>
    <w:rsid w:val="00CB7C32"/>
    <w:rsid w:val="00CB7EB6"/>
    <w:rsid w:val="00CC6707"/>
    <w:rsid w:val="00CC7ADE"/>
    <w:rsid w:val="00CD6939"/>
    <w:rsid w:val="00CD6D39"/>
    <w:rsid w:val="00CE1A9E"/>
    <w:rsid w:val="00CF0007"/>
    <w:rsid w:val="00D02034"/>
    <w:rsid w:val="00D1026C"/>
    <w:rsid w:val="00D14E66"/>
    <w:rsid w:val="00D15208"/>
    <w:rsid w:val="00D26C65"/>
    <w:rsid w:val="00D27E40"/>
    <w:rsid w:val="00D27FB9"/>
    <w:rsid w:val="00D30AC5"/>
    <w:rsid w:val="00D34C34"/>
    <w:rsid w:val="00D34D78"/>
    <w:rsid w:val="00D42749"/>
    <w:rsid w:val="00D43398"/>
    <w:rsid w:val="00D437EE"/>
    <w:rsid w:val="00D46428"/>
    <w:rsid w:val="00D46F84"/>
    <w:rsid w:val="00D577E0"/>
    <w:rsid w:val="00D61B51"/>
    <w:rsid w:val="00D717AB"/>
    <w:rsid w:val="00D73475"/>
    <w:rsid w:val="00D737C5"/>
    <w:rsid w:val="00D75C28"/>
    <w:rsid w:val="00D76E5B"/>
    <w:rsid w:val="00D86598"/>
    <w:rsid w:val="00DA00B3"/>
    <w:rsid w:val="00DA390D"/>
    <w:rsid w:val="00DA3AF1"/>
    <w:rsid w:val="00DA4EC9"/>
    <w:rsid w:val="00DA5709"/>
    <w:rsid w:val="00DB0A46"/>
    <w:rsid w:val="00DB157C"/>
    <w:rsid w:val="00DB49C5"/>
    <w:rsid w:val="00DB5AB0"/>
    <w:rsid w:val="00DE1601"/>
    <w:rsid w:val="00DF20B0"/>
    <w:rsid w:val="00DF2333"/>
    <w:rsid w:val="00DF7F75"/>
    <w:rsid w:val="00E053CD"/>
    <w:rsid w:val="00E06E51"/>
    <w:rsid w:val="00E11F39"/>
    <w:rsid w:val="00E1394C"/>
    <w:rsid w:val="00E154D8"/>
    <w:rsid w:val="00E22F05"/>
    <w:rsid w:val="00E30BB9"/>
    <w:rsid w:val="00E333A4"/>
    <w:rsid w:val="00E41AFA"/>
    <w:rsid w:val="00E635B1"/>
    <w:rsid w:val="00E63C02"/>
    <w:rsid w:val="00E67E6E"/>
    <w:rsid w:val="00E72377"/>
    <w:rsid w:val="00E73843"/>
    <w:rsid w:val="00E74128"/>
    <w:rsid w:val="00E75448"/>
    <w:rsid w:val="00E82516"/>
    <w:rsid w:val="00E84F85"/>
    <w:rsid w:val="00EA1822"/>
    <w:rsid w:val="00EA3B49"/>
    <w:rsid w:val="00EA5031"/>
    <w:rsid w:val="00EC062B"/>
    <w:rsid w:val="00EC2B20"/>
    <w:rsid w:val="00ED14BF"/>
    <w:rsid w:val="00ED66B2"/>
    <w:rsid w:val="00EF0A08"/>
    <w:rsid w:val="00EF250C"/>
    <w:rsid w:val="00EF2F16"/>
    <w:rsid w:val="00EF3B51"/>
    <w:rsid w:val="00EF5027"/>
    <w:rsid w:val="00EF657B"/>
    <w:rsid w:val="00EF6618"/>
    <w:rsid w:val="00EF6DDA"/>
    <w:rsid w:val="00F015A4"/>
    <w:rsid w:val="00F06BD7"/>
    <w:rsid w:val="00F07B51"/>
    <w:rsid w:val="00F15F0A"/>
    <w:rsid w:val="00F20199"/>
    <w:rsid w:val="00F2198C"/>
    <w:rsid w:val="00F220E7"/>
    <w:rsid w:val="00F22586"/>
    <w:rsid w:val="00F23EB5"/>
    <w:rsid w:val="00F30662"/>
    <w:rsid w:val="00F3236E"/>
    <w:rsid w:val="00F35B91"/>
    <w:rsid w:val="00F36AFB"/>
    <w:rsid w:val="00F44642"/>
    <w:rsid w:val="00F44D5F"/>
    <w:rsid w:val="00F44EF4"/>
    <w:rsid w:val="00F5253E"/>
    <w:rsid w:val="00F57068"/>
    <w:rsid w:val="00F62310"/>
    <w:rsid w:val="00F83F7B"/>
    <w:rsid w:val="00F84A5F"/>
    <w:rsid w:val="00FA5A66"/>
    <w:rsid w:val="00FB2F0B"/>
    <w:rsid w:val="00FB422F"/>
    <w:rsid w:val="00FC16D5"/>
    <w:rsid w:val="00FC1C7F"/>
    <w:rsid w:val="00FC3FE8"/>
    <w:rsid w:val="00FD6261"/>
    <w:rsid w:val="00FE1DB0"/>
    <w:rsid w:val="00FE2BF9"/>
    <w:rsid w:val="00FE32D6"/>
    <w:rsid w:val="00FE3F89"/>
    <w:rsid w:val="00FE6C54"/>
    <w:rsid w:val="011F7565"/>
    <w:rsid w:val="029147F9"/>
    <w:rsid w:val="02DA3A2B"/>
    <w:rsid w:val="02FB0D25"/>
    <w:rsid w:val="02FD423D"/>
    <w:rsid w:val="03101BF3"/>
    <w:rsid w:val="04134741"/>
    <w:rsid w:val="04677778"/>
    <w:rsid w:val="04C2725C"/>
    <w:rsid w:val="05304072"/>
    <w:rsid w:val="05585E5B"/>
    <w:rsid w:val="05E76E48"/>
    <w:rsid w:val="05F62696"/>
    <w:rsid w:val="06236D03"/>
    <w:rsid w:val="06515869"/>
    <w:rsid w:val="065D2980"/>
    <w:rsid w:val="06AB431A"/>
    <w:rsid w:val="06CC7952"/>
    <w:rsid w:val="06D505C3"/>
    <w:rsid w:val="085E1B62"/>
    <w:rsid w:val="0880705D"/>
    <w:rsid w:val="08AD6685"/>
    <w:rsid w:val="091C14FF"/>
    <w:rsid w:val="09414AC1"/>
    <w:rsid w:val="094C7E2B"/>
    <w:rsid w:val="096136A9"/>
    <w:rsid w:val="09820A60"/>
    <w:rsid w:val="09AF7E58"/>
    <w:rsid w:val="0A916992"/>
    <w:rsid w:val="0AD64B85"/>
    <w:rsid w:val="0B1B3E85"/>
    <w:rsid w:val="0B1B6C75"/>
    <w:rsid w:val="0B8C5B00"/>
    <w:rsid w:val="0BB8387E"/>
    <w:rsid w:val="0BD52BCC"/>
    <w:rsid w:val="0BE32EEA"/>
    <w:rsid w:val="0C142961"/>
    <w:rsid w:val="0C6133E5"/>
    <w:rsid w:val="0C6C03EC"/>
    <w:rsid w:val="0CC335FF"/>
    <w:rsid w:val="0CF70407"/>
    <w:rsid w:val="0D1A18A3"/>
    <w:rsid w:val="0D2CA080"/>
    <w:rsid w:val="0D894C89"/>
    <w:rsid w:val="0DCC1897"/>
    <w:rsid w:val="0E0D0A04"/>
    <w:rsid w:val="0E6B26B6"/>
    <w:rsid w:val="0F9DBAC9"/>
    <w:rsid w:val="103C2144"/>
    <w:rsid w:val="10D2655B"/>
    <w:rsid w:val="11057DFB"/>
    <w:rsid w:val="12657369"/>
    <w:rsid w:val="12C593DC"/>
    <w:rsid w:val="136043D7"/>
    <w:rsid w:val="137EA4A3"/>
    <w:rsid w:val="13B946C6"/>
    <w:rsid w:val="13E060AA"/>
    <w:rsid w:val="14812805"/>
    <w:rsid w:val="149F90C7"/>
    <w:rsid w:val="155142DE"/>
    <w:rsid w:val="161B2E01"/>
    <w:rsid w:val="16EBEF2A"/>
    <w:rsid w:val="16FFDA62"/>
    <w:rsid w:val="17A94859"/>
    <w:rsid w:val="17EE70C5"/>
    <w:rsid w:val="17EF6030"/>
    <w:rsid w:val="18716022"/>
    <w:rsid w:val="18BC5F12"/>
    <w:rsid w:val="197B944F"/>
    <w:rsid w:val="19B14450"/>
    <w:rsid w:val="1AB21777"/>
    <w:rsid w:val="1AFD4371"/>
    <w:rsid w:val="1B73555C"/>
    <w:rsid w:val="1B7C7B86"/>
    <w:rsid w:val="1BBF44FC"/>
    <w:rsid w:val="1BD3D1BD"/>
    <w:rsid w:val="1BFF90C7"/>
    <w:rsid w:val="1C773FA0"/>
    <w:rsid w:val="1C7A44FC"/>
    <w:rsid w:val="1C993EC6"/>
    <w:rsid w:val="1CC022B7"/>
    <w:rsid w:val="1CDD4C68"/>
    <w:rsid w:val="1D504EC1"/>
    <w:rsid w:val="1DCA77EF"/>
    <w:rsid w:val="1EEFCCD0"/>
    <w:rsid w:val="1F4A3288"/>
    <w:rsid w:val="1F5A37D4"/>
    <w:rsid w:val="1F7B6C8B"/>
    <w:rsid w:val="1F7BD4BE"/>
    <w:rsid w:val="1FBBCCE2"/>
    <w:rsid w:val="1FBF2135"/>
    <w:rsid w:val="1FBF22FA"/>
    <w:rsid w:val="1FBFCB59"/>
    <w:rsid w:val="1FE74492"/>
    <w:rsid w:val="202039DC"/>
    <w:rsid w:val="20D14264"/>
    <w:rsid w:val="215D514D"/>
    <w:rsid w:val="2181060E"/>
    <w:rsid w:val="21A67AD2"/>
    <w:rsid w:val="21AF124E"/>
    <w:rsid w:val="21B04A82"/>
    <w:rsid w:val="21B5232A"/>
    <w:rsid w:val="21F252AA"/>
    <w:rsid w:val="2239176B"/>
    <w:rsid w:val="225B5368"/>
    <w:rsid w:val="22887814"/>
    <w:rsid w:val="228E2279"/>
    <w:rsid w:val="22DB49BE"/>
    <w:rsid w:val="23180EE7"/>
    <w:rsid w:val="236A3664"/>
    <w:rsid w:val="23AC4C9C"/>
    <w:rsid w:val="23C407C1"/>
    <w:rsid w:val="23C6ABEE"/>
    <w:rsid w:val="2406073A"/>
    <w:rsid w:val="24CE56D5"/>
    <w:rsid w:val="255F0714"/>
    <w:rsid w:val="25D9113D"/>
    <w:rsid w:val="25DF3BF7"/>
    <w:rsid w:val="26771020"/>
    <w:rsid w:val="269D6395"/>
    <w:rsid w:val="26FB8319"/>
    <w:rsid w:val="271303E7"/>
    <w:rsid w:val="275B2333"/>
    <w:rsid w:val="27983FEE"/>
    <w:rsid w:val="27F67E73"/>
    <w:rsid w:val="27FDBF4D"/>
    <w:rsid w:val="283A32F8"/>
    <w:rsid w:val="28563747"/>
    <w:rsid w:val="28B26274"/>
    <w:rsid w:val="28F12FBA"/>
    <w:rsid w:val="28FF270A"/>
    <w:rsid w:val="291F35CE"/>
    <w:rsid w:val="292B01C4"/>
    <w:rsid w:val="297454EB"/>
    <w:rsid w:val="2A3A2B9A"/>
    <w:rsid w:val="2A467D32"/>
    <w:rsid w:val="2AFF5299"/>
    <w:rsid w:val="2B2D40B7"/>
    <w:rsid w:val="2B45623B"/>
    <w:rsid w:val="2BB74B2B"/>
    <w:rsid w:val="2BB76C46"/>
    <w:rsid w:val="2BBE50F8"/>
    <w:rsid w:val="2BE454FF"/>
    <w:rsid w:val="2BE932BF"/>
    <w:rsid w:val="2BFFFA07"/>
    <w:rsid w:val="2C3C1924"/>
    <w:rsid w:val="2C890474"/>
    <w:rsid w:val="2CCA2E9C"/>
    <w:rsid w:val="2D136510"/>
    <w:rsid w:val="2D4B38B1"/>
    <w:rsid w:val="2D622504"/>
    <w:rsid w:val="2E182F2D"/>
    <w:rsid w:val="2E191428"/>
    <w:rsid w:val="2E7529A0"/>
    <w:rsid w:val="2EAE2B92"/>
    <w:rsid w:val="2EEFC72C"/>
    <w:rsid w:val="2F2A56A7"/>
    <w:rsid w:val="2F4D1B62"/>
    <w:rsid w:val="2F57653D"/>
    <w:rsid w:val="2F5B0945"/>
    <w:rsid w:val="2F5C6015"/>
    <w:rsid w:val="2F6E1D93"/>
    <w:rsid w:val="2F7234D3"/>
    <w:rsid w:val="2F7B2FBA"/>
    <w:rsid w:val="2F7D61BB"/>
    <w:rsid w:val="2F874A85"/>
    <w:rsid w:val="2F8F327F"/>
    <w:rsid w:val="2FBFA0BD"/>
    <w:rsid w:val="2FCA1F57"/>
    <w:rsid w:val="300948C6"/>
    <w:rsid w:val="306A22A0"/>
    <w:rsid w:val="30717AD3"/>
    <w:rsid w:val="309238A5"/>
    <w:rsid w:val="30C82816"/>
    <w:rsid w:val="312A215B"/>
    <w:rsid w:val="316D0041"/>
    <w:rsid w:val="31A23CBA"/>
    <w:rsid w:val="3244724D"/>
    <w:rsid w:val="328731E9"/>
    <w:rsid w:val="328E0D1F"/>
    <w:rsid w:val="33AF1062"/>
    <w:rsid w:val="33BE1B17"/>
    <w:rsid w:val="34076784"/>
    <w:rsid w:val="340A6ADB"/>
    <w:rsid w:val="341A68BC"/>
    <w:rsid w:val="34DB0F71"/>
    <w:rsid w:val="3509378F"/>
    <w:rsid w:val="35124730"/>
    <w:rsid w:val="3519182B"/>
    <w:rsid w:val="35645858"/>
    <w:rsid w:val="357FC3B7"/>
    <w:rsid w:val="362D06D1"/>
    <w:rsid w:val="3667175C"/>
    <w:rsid w:val="36C91572"/>
    <w:rsid w:val="36ED1285"/>
    <w:rsid w:val="36F457F3"/>
    <w:rsid w:val="36FD5CB3"/>
    <w:rsid w:val="36FFAFB0"/>
    <w:rsid w:val="37054AD1"/>
    <w:rsid w:val="374B5D27"/>
    <w:rsid w:val="37BF2B54"/>
    <w:rsid w:val="37C7F725"/>
    <w:rsid w:val="37DC7C91"/>
    <w:rsid w:val="37E95BE8"/>
    <w:rsid w:val="37FF483D"/>
    <w:rsid w:val="38F7C46B"/>
    <w:rsid w:val="390239BE"/>
    <w:rsid w:val="391140D8"/>
    <w:rsid w:val="39317DFF"/>
    <w:rsid w:val="39507696"/>
    <w:rsid w:val="396712DC"/>
    <w:rsid w:val="39A20CFD"/>
    <w:rsid w:val="39F7BE73"/>
    <w:rsid w:val="39F7BFA5"/>
    <w:rsid w:val="3A522F19"/>
    <w:rsid w:val="3A788E23"/>
    <w:rsid w:val="3A830C49"/>
    <w:rsid w:val="3AA10FE5"/>
    <w:rsid w:val="3ADC0CCA"/>
    <w:rsid w:val="3AEB3D02"/>
    <w:rsid w:val="3AFD4045"/>
    <w:rsid w:val="3B892DBA"/>
    <w:rsid w:val="3B9F54F4"/>
    <w:rsid w:val="3BBFF2C9"/>
    <w:rsid w:val="3BFB596E"/>
    <w:rsid w:val="3BFE600A"/>
    <w:rsid w:val="3C3F00E8"/>
    <w:rsid w:val="3CBFD607"/>
    <w:rsid w:val="3CEB20D2"/>
    <w:rsid w:val="3D494F99"/>
    <w:rsid w:val="3D661C74"/>
    <w:rsid w:val="3D6FDB12"/>
    <w:rsid w:val="3D7FBE66"/>
    <w:rsid w:val="3DB63249"/>
    <w:rsid w:val="3DDF1892"/>
    <w:rsid w:val="3DF13766"/>
    <w:rsid w:val="3DF6ABD4"/>
    <w:rsid w:val="3DFD5D41"/>
    <w:rsid w:val="3E278145"/>
    <w:rsid w:val="3E2827CB"/>
    <w:rsid w:val="3E7A6826"/>
    <w:rsid w:val="3E7D0E01"/>
    <w:rsid w:val="3EB23D07"/>
    <w:rsid w:val="3EC36034"/>
    <w:rsid w:val="3ED44CD4"/>
    <w:rsid w:val="3ED72DEC"/>
    <w:rsid w:val="3F1E206D"/>
    <w:rsid w:val="3F1E66F3"/>
    <w:rsid w:val="3F3441A5"/>
    <w:rsid w:val="3F3917BB"/>
    <w:rsid w:val="3F3A41B7"/>
    <w:rsid w:val="3F5FCECC"/>
    <w:rsid w:val="3F6D9C3E"/>
    <w:rsid w:val="3F7D0013"/>
    <w:rsid w:val="3FA7348D"/>
    <w:rsid w:val="3FB7D0D2"/>
    <w:rsid w:val="3FB8482F"/>
    <w:rsid w:val="3FBBC670"/>
    <w:rsid w:val="3FBE508F"/>
    <w:rsid w:val="3FD65129"/>
    <w:rsid w:val="3FD77ECD"/>
    <w:rsid w:val="3FDB91AC"/>
    <w:rsid w:val="3FEB7FAB"/>
    <w:rsid w:val="3FEDE928"/>
    <w:rsid w:val="3FEE503C"/>
    <w:rsid w:val="3FF7B599"/>
    <w:rsid w:val="3FF7BA27"/>
    <w:rsid w:val="3FFB9D4A"/>
    <w:rsid w:val="3FFE2F28"/>
    <w:rsid w:val="3FFE75FC"/>
    <w:rsid w:val="3FFEE08A"/>
    <w:rsid w:val="3FFF1DB3"/>
    <w:rsid w:val="3FFFE2F4"/>
    <w:rsid w:val="40217FC5"/>
    <w:rsid w:val="404C77AE"/>
    <w:rsid w:val="40552625"/>
    <w:rsid w:val="40D168F4"/>
    <w:rsid w:val="41FC0D65"/>
    <w:rsid w:val="422634B4"/>
    <w:rsid w:val="426D4313"/>
    <w:rsid w:val="42BD25B5"/>
    <w:rsid w:val="43820755"/>
    <w:rsid w:val="43911041"/>
    <w:rsid w:val="43C76F07"/>
    <w:rsid w:val="43EE6A01"/>
    <w:rsid w:val="43EFACBD"/>
    <w:rsid w:val="443731F6"/>
    <w:rsid w:val="44A122DD"/>
    <w:rsid w:val="45580284"/>
    <w:rsid w:val="4562510F"/>
    <w:rsid w:val="45C61657"/>
    <w:rsid w:val="45CA5615"/>
    <w:rsid w:val="45E21909"/>
    <w:rsid w:val="46AB38EE"/>
    <w:rsid w:val="46D4339A"/>
    <w:rsid w:val="46E714E7"/>
    <w:rsid w:val="47347438"/>
    <w:rsid w:val="4753777D"/>
    <w:rsid w:val="476D51AA"/>
    <w:rsid w:val="47A71B3A"/>
    <w:rsid w:val="47CFB931"/>
    <w:rsid w:val="47DFF7FD"/>
    <w:rsid w:val="47F06DD4"/>
    <w:rsid w:val="47FDCA1C"/>
    <w:rsid w:val="47FF49E0"/>
    <w:rsid w:val="47FF93C7"/>
    <w:rsid w:val="484A2AFA"/>
    <w:rsid w:val="48A95703"/>
    <w:rsid w:val="48FD0E25"/>
    <w:rsid w:val="4951655A"/>
    <w:rsid w:val="49942AC5"/>
    <w:rsid w:val="49F74A40"/>
    <w:rsid w:val="4B817BBD"/>
    <w:rsid w:val="4B9745A8"/>
    <w:rsid w:val="4BD96800"/>
    <w:rsid w:val="4C12586E"/>
    <w:rsid w:val="4C3D436B"/>
    <w:rsid w:val="4C9417D2"/>
    <w:rsid w:val="4CA332B5"/>
    <w:rsid w:val="4D25749E"/>
    <w:rsid w:val="4D9F1366"/>
    <w:rsid w:val="4DF443AB"/>
    <w:rsid w:val="4DFFA48F"/>
    <w:rsid w:val="4E48060E"/>
    <w:rsid w:val="4E57D63F"/>
    <w:rsid w:val="4E5F3B99"/>
    <w:rsid w:val="4E6D46B7"/>
    <w:rsid w:val="4EDE8607"/>
    <w:rsid w:val="4EE51342"/>
    <w:rsid w:val="4F0E686D"/>
    <w:rsid w:val="4F14295A"/>
    <w:rsid w:val="4F3EF22D"/>
    <w:rsid w:val="4F71596C"/>
    <w:rsid w:val="4F7F6B2B"/>
    <w:rsid w:val="4FD06AC1"/>
    <w:rsid w:val="4FDB45D5"/>
    <w:rsid w:val="4FF406A9"/>
    <w:rsid w:val="4FF6B5D1"/>
    <w:rsid w:val="4FFD8075"/>
    <w:rsid w:val="4FFF05F8"/>
    <w:rsid w:val="50031E55"/>
    <w:rsid w:val="50814FBF"/>
    <w:rsid w:val="50C261AD"/>
    <w:rsid w:val="510559A1"/>
    <w:rsid w:val="518F15DB"/>
    <w:rsid w:val="51A06B29"/>
    <w:rsid w:val="520715DB"/>
    <w:rsid w:val="537A78FD"/>
    <w:rsid w:val="53E8215F"/>
    <w:rsid w:val="53ED400F"/>
    <w:rsid w:val="53F53E74"/>
    <w:rsid w:val="53FFFCFE"/>
    <w:rsid w:val="541F0153"/>
    <w:rsid w:val="54395F6D"/>
    <w:rsid w:val="54A51975"/>
    <w:rsid w:val="54CC5154"/>
    <w:rsid w:val="54DFBCC8"/>
    <w:rsid w:val="54F70DD5"/>
    <w:rsid w:val="552349BA"/>
    <w:rsid w:val="5538589A"/>
    <w:rsid w:val="555C614A"/>
    <w:rsid w:val="556D1D67"/>
    <w:rsid w:val="55AF316C"/>
    <w:rsid w:val="55B3042A"/>
    <w:rsid w:val="55F93719"/>
    <w:rsid w:val="560C77D2"/>
    <w:rsid w:val="564F996D"/>
    <w:rsid w:val="567F7DC0"/>
    <w:rsid w:val="568455BA"/>
    <w:rsid w:val="56C22258"/>
    <w:rsid w:val="56C95A42"/>
    <w:rsid w:val="56F642DB"/>
    <w:rsid w:val="56FAABDF"/>
    <w:rsid w:val="5766328D"/>
    <w:rsid w:val="577F1E36"/>
    <w:rsid w:val="57E81221"/>
    <w:rsid w:val="57F67E32"/>
    <w:rsid w:val="57F75B3B"/>
    <w:rsid w:val="57F7776B"/>
    <w:rsid w:val="57FAE53B"/>
    <w:rsid w:val="57FBEB40"/>
    <w:rsid w:val="57FD4A94"/>
    <w:rsid w:val="57FD5090"/>
    <w:rsid w:val="57FF1844"/>
    <w:rsid w:val="57FF7D71"/>
    <w:rsid w:val="5818245E"/>
    <w:rsid w:val="587A36E2"/>
    <w:rsid w:val="59017396"/>
    <w:rsid w:val="592A24AA"/>
    <w:rsid w:val="59AD3B43"/>
    <w:rsid w:val="59B78E8C"/>
    <w:rsid w:val="59EA213A"/>
    <w:rsid w:val="5A5F66F1"/>
    <w:rsid w:val="5A6000EC"/>
    <w:rsid w:val="5AF75BF1"/>
    <w:rsid w:val="5AFDDB4C"/>
    <w:rsid w:val="5B055D4F"/>
    <w:rsid w:val="5B17E8C6"/>
    <w:rsid w:val="5B477521"/>
    <w:rsid w:val="5B615779"/>
    <w:rsid w:val="5B622487"/>
    <w:rsid w:val="5BB15B3E"/>
    <w:rsid w:val="5BB7D3D6"/>
    <w:rsid w:val="5BBF9E45"/>
    <w:rsid w:val="5BCE2125"/>
    <w:rsid w:val="5BDFB74A"/>
    <w:rsid w:val="5BEF819F"/>
    <w:rsid w:val="5BF75487"/>
    <w:rsid w:val="5BFF11F6"/>
    <w:rsid w:val="5C1C2629"/>
    <w:rsid w:val="5C23362D"/>
    <w:rsid w:val="5C5F8CAE"/>
    <w:rsid w:val="5C7A7C3A"/>
    <w:rsid w:val="5CFF1C01"/>
    <w:rsid w:val="5D2C42B6"/>
    <w:rsid w:val="5D9004AD"/>
    <w:rsid w:val="5DB22169"/>
    <w:rsid w:val="5DB41250"/>
    <w:rsid w:val="5DBFA24C"/>
    <w:rsid w:val="5DFBDD71"/>
    <w:rsid w:val="5E5FEC62"/>
    <w:rsid w:val="5E6460E1"/>
    <w:rsid w:val="5E69CA95"/>
    <w:rsid w:val="5E6E1B79"/>
    <w:rsid w:val="5E6F4D13"/>
    <w:rsid w:val="5EBFC020"/>
    <w:rsid w:val="5EC155FD"/>
    <w:rsid w:val="5ED66A25"/>
    <w:rsid w:val="5EDF2860"/>
    <w:rsid w:val="5EFB1A12"/>
    <w:rsid w:val="5EFE6FC7"/>
    <w:rsid w:val="5F2E00EB"/>
    <w:rsid w:val="5F3FB40C"/>
    <w:rsid w:val="5F5BAED1"/>
    <w:rsid w:val="5F5F2F63"/>
    <w:rsid w:val="5F6E4EAD"/>
    <w:rsid w:val="5F6FB388"/>
    <w:rsid w:val="5F76ABA8"/>
    <w:rsid w:val="5F77DB76"/>
    <w:rsid w:val="5F7E91CF"/>
    <w:rsid w:val="5F7F1061"/>
    <w:rsid w:val="5F8B4077"/>
    <w:rsid w:val="5FBBA8EA"/>
    <w:rsid w:val="5FDA0B59"/>
    <w:rsid w:val="5FE1D897"/>
    <w:rsid w:val="5FF5FF2D"/>
    <w:rsid w:val="5FF74AAF"/>
    <w:rsid w:val="5FF78C7F"/>
    <w:rsid w:val="5FF87035"/>
    <w:rsid w:val="602D60EA"/>
    <w:rsid w:val="60BB2E4E"/>
    <w:rsid w:val="60D62465"/>
    <w:rsid w:val="6126799A"/>
    <w:rsid w:val="615F10FE"/>
    <w:rsid w:val="61631BF7"/>
    <w:rsid w:val="6184468A"/>
    <w:rsid w:val="618B7EA4"/>
    <w:rsid w:val="61C83B57"/>
    <w:rsid w:val="61E3588B"/>
    <w:rsid w:val="61E7472F"/>
    <w:rsid w:val="6203465B"/>
    <w:rsid w:val="62B02DA1"/>
    <w:rsid w:val="62BD1521"/>
    <w:rsid w:val="62C9149E"/>
    <w:rsid w:val="62D71446"/>
    <w:rsid w:val="62F16EDC"/>
    <w:rsid w:val="62FF2105"/>
    <w:rsid w:val="63163A3E"/>
    <w:rsid w:val="63344B42"/>
    <w:rsid w:val="636B6AA9"/>
    <w:rsid w:val="63B02D25"/>
    <w:rsid w:val="649C6934"/>
    <w:rsid w:val="64C806BD"/>
    <w:rsid w:val="64DA73D0"/>
    <w:rsid w:val="65530F79"/>
    <w:rsid w:val="6576246A"/>
    <w:rsid w:val="661B763F"/>
    <w:rsid w:val="6641218C"/>
    <w:rsid w:val="66DF80CF"/>
    <w:rsid w:val="66F7D8B5"/>
    <w:rsid w:val="66FC377F"/>
    <w:rsid w:val="67124E9C"/>
    <w:rsid w:val="673FD720"/>
    <w:rsid w:val="67404549"/>
    <w:rsid w:val="67947700"/>
    <w:rsid w:val="67A8ECC0"/>
    <w:rsid w:val="67A91653"/>
    <w:rsid w:val="67BF5B80"/>
    <w:rsid w:val="67D92D4F"/>
    <w:rsid w:val="67F5DD33"/>
    <w:rsid w:val="67F79AF1"/>
    <w:rsid w:val="67F81964"/>
    <w:rsid w:val="67FDF37C"/>
    <w:rsid w:val="67FEAC8E"/>
    <w:rsid w:val="67FF9444"/>
    <w:rsid w:val="68370038"/>
    <w:rsid w:val="68693658"/>
    <w:rsid w:val="68D532B0"/>
    <w:rsid w:val="68DFCD84"/>
    <w:rsid w:val="68EC4F94"/>
    <w:rsid w:val="690C66E5"/>
    <w:rsid w:val="697EB294"/>
    <w:rsid w:val="69DF62C4"/>
    <w:rsid w:val="69F1FB63"/>
    <w:rsid w:val="69F5E9F1"/>
    <w:rsid w:val="6A427DC6"/>
    <w:rsid w:val="6A773190"/>
    <w:rsid w:val="6AAD2E3D"/>
    <w:rsid w:val="6BD78572"/>
    <w:rsid w:val="6BE77FEB"/>
    <w:rsid w:val="6BFAFB24"/>
    <w:rsid w:val="6BFF4B68"/>
    <w:rsid w:val="6C5C0714"/>
    <w:rsid w:val="6C6053CC"/>
    <w:rsid w:val="6C7F0787"/>
    <w:rsid w:val="6C7F07BB"/>
    <w:rsid w:val="6C8DE909"/>
    <w:rsid w:val="6CEF85CB"/>
    <w:rsid w:val="6D54362D"/>
    <w:rsid w:val="6D660405"/>
    <w:rsid w:val="6D773F56"/>
    <w:rsid w:val="6D9D2847"/>
    <w:rsid w:val="6DD356FC"/>
    <w:rsid w:val="6E471B33"/>
    <w:rsid w:val="6E4C2A0A"/>
    <w:rsid w:val="6E57FB1A"/>
    <w:rsid w:val="6E6FB961"/>
    <w:rsid w:val="6ED9730D"/>
    <w:rsid w:val="6EDE5CF7"/>
    <w:rsid w:val="6EDED157"/>
    <w:rsid w:val="6EDF12E2"/>
    <w:rsid w:val="6EEBD59B"/>
    <w:rsid w:val="6EEF0E2A"/>
    <w:rsid w:val="6EF22159"/>
    <w:rsid w:val="6EF6244B"/>
    <w:rsid w:val="6F2B43EB"/>
    <w:rsid w:val="6F3F6140"/>
    <w:rsid w:val="6F466679"/>
    <w:rsid w:val="6F55DFB0"/>
    <w:rsid w:val="6F5B5558"/>
    <w:rsid w:val="6F902197"/>
    <w:rsid w:val="6F9D1534"/>
    <w:rsid w:val="6FA726EB"/>
    <w:rsid w:val="6FA93AFC"/>
    <w:rsid w:val="6FBDB1D0"/>
    <w:rsid w:val="6FD5E533"/>
    <w:rsid w:val="6FDC490B"/>
    <w:rsid w:val="6FDFA8BB"/>
    <w:rsid w:val="6FEB602E"/>
    <w:rsid w:val="6FF6A4F9"/>
    <w:rsid w:val="6FF9638A"/>
    <w:rsid w:val="6FF96ED0"/>
    <w:rsid w:val="6FFB33B5"/>
    <w:rsid w:val="6FFB587A"/>
    <w:rsid w:val="6FFB660B"/>
    <w:rsid w:val="6FFBB3A6"/>
    <w:rsid w:val="6FFBD7A1"/>
    <w:rsid w:val="6FFD2C91"/>
    <w:rsid w:val="6FFD5E48"/>
    <w:rsid w:val="6FFEE63D"/>
    <w:rsid w:val="6FFFC2C9"/>
    <w:rsid w:val="706D4A9E"/>
    <w:rsid w:val="707B1E75"/>
    <w:rsid w:val="708062BE"/>
    <w:rsid w:val="70D35DBD"/>
    <w:rsid w:val="70FC3B48"/>
    <w:rsid w:val="714A1482"/>
    <w:rsid w:val="71724535"/>
    <w:rsid w:val="71D497D2"/>
    <w:rsid w:val="71F35E82"/>
    <w:rsid w:val="72402885"/>
    <w:rsid w:val="7246A321"/>
    <w:rsid w:val="727D0249"/>
    <w:rsid w:val="72B63C8A"/>
    <w:rsid w:val="72D1FB2C"/>
    <w:rsid w:val="737A4056"/>
    <w:rsid w:val="737CA419"/>
    <w:rsid w:val="737F1D1A"/>
    <w:rsid w:val="73BB599D"/>
    <w:rsid w:val="73BF827C"/>
    <w:rsid w:val="73E21E46"/>
    <w:rsid w:val="73F54BC0"/>
    <w:rsid w:val="73FBCFD4"/>
    <w:rsid w:val="73FE7A07"/>
    <w:rsid w:val="74073EA6"/>
    <w:rsid w:val="743326A2"/>
    <w:rsid w:val="74344676"/>
    <w:rsid w:val="749D155F"/>
    <w:rsid w:val="74EEE63A"/>
    <w:rsid w:val="74F504E9"/>
    <w:rsid w:val="74F5D5A7"/>
    <w:rsid w:val="74F7B1BF"/>
    <w:rsid w:val="750E2B18"/>
    <w:rsid w:val="756F1D93"/>
    <w:rsid w:val="756F6F26"/>
    <w:rsid w:val="759BD0A3"/>
    <w:rsid w:val="75BF2CC4"/>
    <w:rsid w:val="75DF2695"/>
    <w:rsid w:val="75E7CBC6"/>
    <w:rsid w:val="75EE4AD0"/>
    <w:rsid w:val="75EF6330"/>
    <w:rsid w:val="75F93477"/>
    <w:rsid w:val="765B3C24"/>
    <w:rsid w:val="765C568B"/>
    <w:rsid w:val="767D68B8"/>
    <w:rsid w:val="767F72C4"/>
    <w:rsid w:val="769F8881"/>
    <w:rsid w:val="76D70CE1"/>
    <w:rsid w:val="76E91791"/>
    <w:rsid w:val="76EF9EA2"/>
    <w:rsid w:val="76F71F80"/>
    <w:rsid w:val="76FE5535"/>
    <w:rsid w:val="76FFCC09"/>
    <w:rsid w:val="775D3FED"/>
    <w:rsid w:val="776D1601"/>
    <w:rsid w:val="77715299"/>
    <w:rsid w:val="77799796"/>
    <w:rsid w:val="777BFAF3"/>
    <w:rsid w:val="779B61B7"/>
    <w:rsid w:val="77B24B29"/>
    <w:rsid w:val="77B475DA"/>
    <w:rsid w:val="77B744C7"/>
    <w:rsid w:val="77C51D8C"/>
    <w:rsid w:val="77DEF522"/>
    <w:rsid w:val="77DFA4F8"/>
    <w:rsid w:val="77EF6AF9"/>
    <w:rsid w:val="77F6D256"/>
    <w:rsid w:val="77FB1D53"/>
    <w:rsid w:val="77FD5B6C"/>
    <w:rsid w:val="77FF20B4"/>
    <w:rsid w:val="77FFC665"/>
    <w:rsid w:val="785D2CC2"/>
    <w:rsid w:val="787D67DC"/>
    <w:rsid w:val="78FF989C"/>
    <w:rsid w:val="793A5185"/>
    <w:rsid w:val="79431A3C"/>
    <w:rsid w:val="795402EE"/>
    <w:rsid w:val="796C267D"/>
    <w:rsid w:val="79A3744D"/>
    <w:rsid w:val="79AF6EF3"/>
    <w:rsid w:val="79B795AD"/>
    <w:rsid w:val="79BF2E16"/>
    <w:rsid w:val="79C36241"/>
    <w:rsid w:val="79F48406"/>
    <w:rsid w:val="79FD0BA4"/>
    <w:rsid w:val="7A7DEBCB"/>
    <w:rsid w:val="7A7EC850"/>
    <w:rsid w:val="7A8C0F9B"/>
    <w:rsid w:val="7AC15EF1"/>
    <w:rsid w:val="7AECBFD0"/>
    <w:rsid w:val="7AEFE47F"/>
    <w:rsid w:val="7AF7B4DE"/>
    <w:rsid w:val="7B050780"/>
    <w:rsid w:val="7B225539"/>
    <w:rsid w:val="7B33103C"/>
    <w:rsid w:val="7B3B008E"/>
    <w:rsid w:val="7B3EAE58"/>
    <w:rsid w:val="7B672FA8"/>
    <w:rsid w:val="7B704220"/>
    <w:rsid w:val="7B73DE2B"/>
    <w:rsid w:val="7B77D747"/>
    <w:rsid w:val="7B7F3937"/>
    <w:rsid w:val="7B7F68BE"/>
    <w:rsid w:val="7BA1116F"/>
    <w:rsid w:val="7BA70F2E"/>
    <w:rsid w:val="7BB7CF4D"/>
    <w:rsid w:val="7BBE1723"/>
    <w:rsid w:val="7BBF3E7D"/>
    <w:rsid w:val="7BDA53FB"/>
    <w:rsid w:val="7BDB9562"/>
    <w:rsid w:val="7BDD13D5"/>
    <w:rsid w:val="7BDF34A4"/>
    <w:rsid w:val="7BDF6B07"/>
    <w:rsid w:val="7BE5807D"/>
    <w:rsid w:val="7BEF2EC3"/>
    <w:rsid w:val="7BEF712A"/>
    <w:rsid w:val="7BF7DE89"/>
    <w:rsid w:val="7BFB0AD7"/>
    <w:rsid w:val="7BFBBD2B"/>
    <w:rsid w:val="7BFE7195"/>
    <w:rsid w:val="7BFF7588"/>
    <w:rsid w:val="7C1B7254"/>
    <w:rsid w:val="7C6F1E55"/>
    <w:rsid w:val="7C7B4ED4"/>
    <w:rsid w:val="7C7E39D5"/>
    <w:rsid w:val="7C7F90B8"/>
    <w:rsid w:val="7C83650A"/>
    <w:rsid w:val="7C9503FF"/>
    <w:rsid w:val="7CB3499E"/>
    <w:rsid w:val="7CEB1F82"/>
    <w:rsid w:val="7CEB5168"/>
    <w:rsid w:val="7CEDC3B6"/>
    <w:rsid w:val="7CFA0CCB"/>
    <w:rsid w:val="7CFC18C6"/>
    <w:rsid w:val="7CFD299B"/>
    <w:rsid w:val="7CFE75E0"/>
    <w:rsid w:val="7D3BDC83"/>
    <w:rsid w:val="7D3D1E9B"/>
    <w:rsid w:val="7D3D44B2"/>
    <w:rsid w:val="7D5B0573"/>
    <w:rsid w:val="7D5CF2F2"/>
    <w:rsid w:val="7D6A9232"/>
    <w:rsid w:val="7D775A20"/>
    <w:rsid w:val="7D78C716"/>
    <w:rsid w:val="7D8D6F2E"/>
    <w:rsid w:val="7DB859C6"/>
    <w:rsid w:val="7DBB9FD3"/>
    <w:rsid w:val="7DC142AE"/>
    <w:rsid w:val="7DC74126"/>
    <w:rsid w:val="7DCBEC3F"/>
    <w:rsid w:val="7DCF2DEF"/>
    <w:rsid w:val="7DDD3C67"/>
    <w:rsid w:val="7DDD9E75"/>
    <w:rsid w:val="7DDE3C10"/>
    <w:rsid w:val="7DEEF5CD"/>
    <w:rsid w:val="7DF72133"/>
    <w:rsid w:val="7DF7DBDC"/>
    <w:rsid w:val="7DFEFFC1"/>
    <w:rsid w:val="7DFF4F94"/>
    <w:rsid w:val="7E046927"/>
    <w:rsid w:val="7E1F79B4"/>
    <w:rsid w:val="7E28075B"/>
    <w:rsid w:val="7E357963"/>
    <w:rsid w:val="7E372B60"/>
    <w:rsid w:val="7E4234E1"/>
    <w:rsid w:val="7E4F632A"/>
    <w:rsid w:val="7E6DFCFD"/>
    <w:rsid w:val="7E76456F"/>
    <w:rsid w:val="7E7BB030"/>
    <w:rsid w:val="7E7E1B8C"/>
    <w:rsid w:val="7E7E3449"/>
    <w:rsid w:val="7E7E35DD"/>
    <w:rsid w:val="7E7FE3CC"/>
    <w:rsid w:val="7E932301"/>
    <w:rsid w:val="7EABFDCE"/>
    <w:rsid w:val="7EAD4857"/>
    <w:rsid w:val="7EB265E5"/>
    <w:rsid w:val="7EB65E72"/>
    <w:rsid w:val="7EC724A2"/>
    <w:rsid w:val="7ECD4A04"/>
    <w:rsid w:val="7ED75842"/>
    <w:rsid w:val="7ED78F36"/>
    <w:rsid w:val="7EDB88AF"/>
    <w:rsid w:val="7EDD66D5"/>
    <w:rsid w:val="7EDE25BC"/>
    <w:rsid w:val="7EDF41F6"/>
    <w:rsid w:val="7EF7985F"/>
    <w:rsid w:val="7EF9385D"/>
    <w:rsid w:val="7EFF0D45"/>
    <w:rsid w:val="7EFF7EF6"/>
    <w:rsid w:val="7F1D7244"/>
    <w:rsid w:val="7F32245B"/>
    <w:rsid w:val="7F3F0E67"/>
    <w:rsid w:val="7F3F2B7E"/>
    <w:rsid w:val="7F3FC2AB"/>
    <w:rsid w:val="7F4F8EB8"/>
    <w:rsid w:val="7F5EB08F"/>
    <w:rsid w:val="7F5F11B0"/>
    <w:rsid w:val="7F670CCD"/>
    <w:rsid w:val="7F6A3D3C"/>
    <w:rsid w:val="7F6BAD62"/>
    <w:rsid w:val="7F6BD98B"/>
    <w:rsid w:val="7F76694E"/>
    <w:rsid w:val="7F77EC58"/>
    <w:rsid w:val="7F7A033C"/>
    <w:rsid w:val="7F7E298A"/>
    <w:rsid w:val="7F7F1DD7"/>
    <w:rsid w:val="7F8E9B63"/>
    <w:rsid w:val="7F9E72E9"/>
    <w:rsid w:val="7F9F07C8"/>
    <w:rsid w:val="7FA7207C"/>
    <w:rsid w:val="7FADDA23"/>
    <w:rsid w:val="7FAEF984"/>
    <w:rsid w:val="7FAF7F8A"/>
    <w:rsid w:val="7FAF92BA"/>
    <w:rsid w:val="7FAFF4B1"/>
    <w:rsid w:val="7FB529BF"/>
    <w:rsid w:val="7FB7CE23"/>
    <w:rsid w:val="7FB7CFF8"/>
    <w:rsid w:val="7FBB1404"/>
    <w:rsid w:val="7FBCDF7F"/>
    <w:rsid w:val="7FBD590A"/>
    <w:rsid w:val="7FBDCBA6"/>
    <w:rsid w:val="7FBEC2DA"/>
    <w:rsid w:val="7FBFBE7C"/>
    <w:rsid w:val="7FCC3F7E"/>
    <w:rsid w:val="7FCD48E0"/>
    <w:rsid w:val="7FD3966B"/>
    <w:rsid w:val="7FD9D98F"/>
    <w:rsid w:val="7FDB59AD"/>
    <w:rsid w:val="7FDBD017"/>
    <w:rsid w:val="7FDCE29D"/>
    <w:rsid w:val="7FDD5A8C"/>
    <w:rsid w:val="7FDF8BA5"/>
    <w:rsid w:val="7FE743D8"/>
    <w:rsid w:val="7FE7B5B0"/>
    <w:rsid w:val="7FEA506D"/>
    <w:rsid w:val="7FEED91E"/>
    <w:rsid w:val="7FEF7DEE"/>
    <w:rsid w:val="7FF06EF9"/>
    <w:rsid w:val="7FF380B7"/>
    <w:rsid w:val="7FF57AE5"/>
    <w:rsid w:val="7FF66B44"/>
    <w:rsid w:val="7FF782B7"/>
    <w:rsid w:val="7FF78512"/>
    <w:rsid w:val="7FF7D7F8"/>
    <w:rsid w:val="7FF7FE90"/>
    <w:rsid w:val="7FF90A09"/>
    <w:rsid w:val="7FF936AD"/>
    <w:rsid w:val="7FFAFBEF"/>
    <w:rsid w:val="7FFB0A7C"/>
    <w:rsid w:val="7FFBBF61"/>
    <w:rsid w:val="7FFDC1B0"/>
    <w:rsid w:val="7FFE2334"/>
    <w:rsid w:val="7FFEB319"/>
    <w:rsid w:val="7FFEF8B8"/>
    <w:rsid w:val="7FFF29FC"/>
    <w:rsid w:val="7FFFB804"/>
    <w:rsid w:val="82FF9AF1"/>
    <w:rsid w:val="8CFA6B4F"/>
    <w:rsid w:val="8D36944C"/>
    <w:rsid w:val="8DFF83A4"/>
    <w:rsid w:val="91BC3446"/>
    <w:rsid w:val="96F4057C"/>
    <w:rsid w:val="971F689A"/>
    <w:rsid w:val="98BA29AC"/>
    <w:rsid w:val="98FED5D5"/>
    <w:rsid w:val="9B7D539E"/>
    <w:rsid w:val="9DEF6120"/>
    <w:rsid w:val="9EFDF61A"/>
    <w:rsid w:val="9F5388F8"/>
    <w:rsid w:val="9F9B140F"/>
    <w:rsid w:val="9FABFDD4"/>
    <w:rsid w:val="9FBDB621"/>
    <w:rsid w:val="9FCEB38A"/>
    <w:rsid w:val="9FDB3E75"/>
    <w:rsid w:val="9FED50C2"/>
    <w:rsid w:val="9FF1E684"/>
    <w:rsid w:val="9FF5783F"/>
    <w:rsid w:val="9FF9DA4A"/>
    <w:rsid w:val="9FFB20DB"/>
    <w:rsid w:val="9FFE5545"/>
    <w:rsid w:val="A1498201"/>
    <w:rsid w:val="A3BDF707"/>
    <w:rsid w:val="A7352715"/>
    <w:rsid w:val="A7999C8D"/>
    <w:rsid w:val="A79B19EB"/>
    <w:rsid w:val="AA785FAA"/>
    <w:rsid w:val="ABFF4531"/>
    <w:rsid w:val="AD6FFB38"/>
    <w:rsid w:val="ADAE3728"/>
    <w:rsid w:val="ADF33A25"/>
    <w:rsid w:val="ADF5C7F1"/>
    <w:rsid w:val="AEFE2101"/>
    <w:rsid w:val="AFBE2C18"/>
    <w:rsid w:val="AFFF85AF"/>
    <w:rsid w:val="AFFF9A35"/>
    <w:rsid w:val="B1FF9D39"/>
    <w:rsid w:val="B3FFB8B1"/>
    <w:rsid w:val="B49B8791"/>
    <w:rsid w:val="B615F7EF"/>
    <w:rsid w:val="B7332945"/>
    <w:rsid w:val="B76FB07E"/>
    <w:rsid w:val="B7BE4B39"/>
    <w:rsid w:val="B7BED6B7"/>
    <w:rsid w:val="B7EF5D68"/>
    <w:rsid w:val="B7FB026E"/>
    <w:rsid w:val="B7FC059D"/>
    <w:rsid w:val="B95FC9DF"/>
    <w:rsid w:val="B9F55947"/>
    <w:rsid w:val="BA1F4F9B"/>
    <w:rsid w:val="BABFD125"/>
    <w:rsid w:val="BB37DD4B"/>
    <w:rsid w:val="BB9E218F"/>
    <w:rsid w:val="BB9FA6ED"/>
    <w:rsid w:val="BBB5F94F"/>
    <w:rsid w:val="BBBFA850"/>
    <w:rsid w:val="BBC3B24E"/>
    <w:rsid w:val="BBD5EF45"/>
    <w:rsid w:val="BBDF586A"/>
    <w:rsid w:val="BBFEDACD"/>
    <w:rsid w:val="BD7BD874"/>
    <w:rsid w:val="BD7EFAE9"/>
    <w:rsid w:val="BDC9EB63"/>
    <w:rsid w:val="BDF710A6"/>
    <w:rsid w:val="BDF7789A"/>
    <w:rsid w:val="BE3D066C"/>
    <w:rsid w:val="BE7F5E05"/>
    <w:rsid w:val="BE9FAC18"/>
    <w:rsid w:val="BEC41E1E"/>
    <w:rsid w:val="BEDB7CD2"/>
    <w:rsid w:val="BEF53AE0"/>
    <w:rsid w:val="BEFF8D4F"/>
    <w:rsid w:val="BF3FC187"/>
    <w:rsid w:val="BF4B6CE3"/>
    <w:rsid w:val="BF5DFF98"/>
    <w:rsid w:val="BF7B4ED8"/>
    <w:rsid w:val="BFAF3F86"/>
    <w:rsid w:val="BFB714E3"/>
    <w:rsid w:val="BFC3E4DF"/>
    <w:rsid w:val="BFCD2CF3"/>
    <w:rsid w:val="BFCF44EA"/>
    <w:rsid w:val="BFD6EB6A"/>
    <w:rsid w:val="BFDAE1FB"/>
    <w:rsid w:val="BFDB66BB"/>
    <w:rsid w:val="BFEE07CB"/>
    <w:rsid w:val="BFEEB571"/>
    <w:rsid w:val="BFF74C85"/>
    <w:rsid w:val="BFF8D6F8"/>
    <w:rsid w:val="BFFEB46E"/>
    <w:rsid w:val="BFFFE0F5"/>
    <w:rsid w:val="C3ADEEBA"/>
    <w:rsid w:val="C4FEA583"/>
    <w:rsid w:val="C9EF873B"/>
    <w:rsid w:val="C9FEE3E6"/>
    <w:rsid w:val="CA9FB70B"/>
    <w:rsid w:val="CBAFE6EA"/>
    <w:rsid w:val="CBDBBD5C"/>
    <w:rsid w:val="CC22A4DF"/>
    <w:rsid w:val="CD2FB2DE"/>
    <w:rsid w:val="CD5ECF67"/>
    <w:rsid w:val="CEDA5CCB"/>
    <w:rsid w:val="CF38C8D7"/>
    <w:rsid w:val="CF3E22E6"/>
    <w:rsid w:val="CF3F269F"/>
    <w:rsid w:val="CF47308D"/>
    <w:rsid w:val="CF9D54A4"/>
    <w:rsid w:val="CFD5823C"/>
    <w:rsid w:val="CFEF3988"/>
    <w:rsid w:val="CFF489BC"/>
    <w:rsid w:val="CFF79910"/>
    <w:rsid w:val="CFFD6B32"/>
    <w:rsid w:val="CFFFAB7D"/>
    <w:rsid w:val="D1FF5C8D"/>
    <w:rsid w:val="D337BB7D"/>
    <w:rsid w:val="D35F26D6"/>
    <w:rsid w:val="D43AA0C0"/>
    <w:rsid w:val="D4DF47D9"/>
    <w:rsid w:val="D67E374F"/>
    <w:rsid w:val="D6FF2287"/>
    <w:rsid w:val="D735369F"/>
    <w:rsid w:val="D7493268"/>
    <w:rsid w:val="D7D3C0CD"/>
    <w:rsid w:val="D7F2FA00"/>
    <w:rsid w:val="D7FF574E"/>
    <w:rsid w:val="D84229A3"/>
    <w:rsid w:val="D9B50FC0"/>
    <w:rsid w:val="D9F7702F"/>
    <w:rsid w:val="DAD9C87F"/>
    <w:rsid w:val="DB873D24"/>
    <w:rsid w:val="DB9738DE"/>
    <w:rsid w:val="DBB3B323"/>
    <w:rsid w:val="DBBC2AE6"/>
    <w:rsid w:val="DBEBB65C"/>
    <w:rsid w:val="DBFD6CD1"/>
    <w:rsid w:val="DBFF9C44"/>
    <w:rsid w:val="DCD152A8"/>
    <w:rsid w:val="DD3A65CA"/>
    <w:rsid w:val="DD75D616"/>
    <w:rsid w:val="DD7F83F7"/>
    <w:rsid w:val="DD977602"/>
    <w:rsid w:val="DDA71222"/>
    <w:rsid w:val="DDB72C4E"/>
    <w:rsid w:val="DDDD4135"/>
    <w:rsid w:val="DDDF6BE8"/>
    <w:rsid w:val="DDE7D5FF"/>
    <w:rsid w:val="DDFB7B77"/>
    <w:rsid w:val="DDFBD322"/>
    <w:rsid w:val="DDFEEED3"/>
    <w:rsid w:val="DE77DA44"/>
    <w:rsid w:val="DE7A0CA6"/>
    <w:rsid w:val="DE9F4313"/>
    <w:rsid w:val="DEAF4D7C"/>
    <w:rsid w:val="DEB384DF"/>
    <w:rsid w:val="DEB38968"/>
    <w:rsid w:val="DEDDC75B"/>
    <w:rsid w:val="DEDF5947"/>
    <w:rsid w:val="DEF71E8F"/>
    <w:rsid w:val="DEFD9A56"/>
    <w:rsid w:val="DEFE277B"/>
    <w:rsid w:val="DF1CF4F2"/>
    <w:rsid w:val="DF5E7163"/>
    <w:rsid w:val="DF6BEA90"/>
    <w:rsid w:val="DF733419"/>
    <w:rsid w:val="DFAB5891"/>
    <w:rsid w:val="DFAF848A"/>
    <w:rsid w:val="DFB7FD15"/>
    <w:rsid w:val="DFBFBCDA"/>
    <w:rsid w:val="DFD10495"/>
    <w:rsid w:val="DFD345AE"/>
    <w:rsid w:val="DFDE6C49"/>
    <w:rsid w:val="DFEB75FE"/>
    <w:rsid w:val="DFECA90D"/>
    <w:rsid w:val="DFEE4175"/>
    <w:rsid w:val="DFEFC928"/>
    <w:rsid w:val="DFF71A25"/>
    <w:rsid w:val="DFF72073"/>
    <w:rsid w:val="DFFDF898"/>
    <w:rsid w:val="E1DFEFA0"/>
    <w:rsid w:val="E2F191BC"/>
    <w:rsid w:val="E4D91549"/>
    <w:rsid w:val="E5C6A510"/>
    <w:rsid w:val="E5FED96F"/>
    <w:rsid w:val="E6F7DAA3"/>
    <w:rsid w:val="E6FB330A"/>
    <w:rsid w:val="E6FF7D99"/>
    <w:rsid w:val="E7B06152"/>
    <w:rsid w:val="E7E912D5"/>
    <w:rsid w:val="E7EF5853"/>
    <w:rsid w:val="E7F700E8"/>
    <w:rsid w:val="E7FF8FCB"/>
    <w:rsid w:val="E8FF648E"/>
    <w:rsid w:val="E9FF2175"/>
    <w:rsid w:val="EA2E75C3"/>
    <w:rsid w:val="EA563DC4"/>
    <w:rsid w:val="EA7E5880"/>
    <w:rsid w:val="EAA9569E"/>
    <w:rsid w:val="EAB9729C"/>
    <w:rsid w:val="EADFF70C"/>
    <w:rsid w:val="EB6B4900"/>
    <w:rsid w:val="EB791890"/>
    <w:rsid w:val="EB7B2EAD"/>
    <w:rsid w:val="EB7F8A91"/>
    <w:rsid w:val="EBBB0D97"/>
    <w:rsid w:val="EBBEE871"/>
    <w:rsid w:val="EBF4B43D"/>
    <w:rsid w:val="EBFBF7A1"/>
    <w:rsid w:val="ECDF9C55"/>
    <w:rsid w:val="EDCB0FA9"/>
    <w:rsid w:val="EDCFB943"/>
    <w:rsid w:val="EDDEAB47"/>
    <w:rsid w:val="EDEE03EF"/>
    <w:rsid w:val="EDF671E5"/>
    <w:rsid w:val="EE772863"/>
    <w:rsid w:val="EE7A632D"/>
    <w:rsid w:val="EEBFDFBF"/>
    <w:rsid w:val="EEE66AC6"/>
    <w:rsid w:val="EEF6F3F2"/>
    <w:rsid w:val="EEFB994D"/>
    <w:rsid w:val="EF3F6682"/>
    <w:rsid w:val="EF76FF63"/>
    <w:rsid w:val="EF7C6D12"/>
    <w:rsid w:val="EF9F3372"/>
    <w:rsid w:val="EF9FC7BC"/>
    <w:rsid w:val="EFBF65BB"/>
    <w:rsid w:val="EFCA5F37"/>
    <w:rsid w:val="EFD7EC24"/>
    <w:rsid w:val="EFDE71DD"/>
    <w:rsid w:val="EFDEA749"/>
    <w:rsid w:val="EFDF566E"/>
    <w:rsid w:val="EFE39A84"/>
    <w:rsid w:val="EFE993B3"/>
    <w:rsid w:val="EFEF2046"/>
    <w:rsid w:val="EFF2AE0E"/>
    <w:rsid w:val="EFF79A3A"/>
    <w:rsid w:val="EFF7D626"/>
    <w:rsid w:val="EFF874E2"/>
    <w:rsid w:val="EFFE52D5"/>
    <w:rsid w:val="EFFF8A4F"/>
    <w:rsid w:val="F0F61D48"/>
    <w:rsid w:val="F17B8A91"/>
    <w:rsid w:val="F19C81E0"/>
    <w:rsid w:val="F1EBEBA0"/>
    <w:rsid w:val="F1FDA0A8"/>
    <w:rsid w:val="F2D8C3C0"/>
    <w:rsid w:val="F2FFD2B6"/>
    <w:rsid w:val="F34593F0"/>
    <w:rsid w:val="F367AA12"/>
    <w:rsid w:val="F3D928AF"/>
    <w:rsid w:val="F3DB24ED"/>
    <w:rsid w:val="F3DB2E60"/>
    <w:rsid w:val="F3E7E22A"/>
    <w:rsid w:val="F52EA09D"/>
    <w:rsid w:val="F57DD72B"/>
    <w:rsid w:val="F5B7D38A"/>
    <w:rsid w:val="F5CF7B83"/>
    <w:rsid w:val="F5EF7796"/>
    <w:rsid w:val="F5FB5862"/>
    <w:rsid w:val="F6239E98"/>
    <w:rsid w:val="F65D493F"/>
    <w:rsid w:val="F6F31860"/>
    <w:rsid w:val="F6FFA62D"/>
    <w:rsid w:val="F7355189"/>
    <w:rsid w:val="F75F6FFD"/>
    <w:rsid w:val="F76FE54D"/>
    <w:rsid w:val="F777A8FA"/>
    <w:rsid w:val="F77AD95B"/>
    <w:rsid w:val="F7B55E45"/>
    <w:rsid w:val="F7B69B4C"/>
    <w:rsid w:val="F7BB5886"/>
    <w:rsid w:val="F7BDCDDA"/>
    <w:rsid w:val="F7BE6601"/>
    <w:rsid w:val="F7BF8D31"/>
    <w:rsid w:val="F7DF9D55"/>
    <w:rsid w:val="F7DFC573"/>
    <w:rsid w:val="F7EF90A2"/>
    <w:rsid w:val="F7F7BCA8"/>
    <w:rsid w:val="F7FA8061"/>
    <w:rsid w:val="F7FDB7A2"/>
    <w:rsid w:val="F7FE2462"/>
    <w:rsid w:val="F7FE2A49"/>
    <w:rsid w:val="F7FF35EB"/>
    <w:rsid w:val="F7FF383D"/>
    <w:rsid w:val="F7FFEED1"/>
    <w:rsid w:val="F87EF646"/>
    <w:rsid w:val="F8CF3FAF"/>
    <w:rsid w:val="F8FF2151"/>
    <w:rsid w:val="F99FFEAB"/>
    <w:rsid w:val="F9CF424B"/>
    <w:rsid w:val="F9DD94B8"/>
    <w:rsid w:val="F9DFCBB0"/>
    <w:rsid w:val="F9FB1313"/>
    <w:rsid w:val="FA6C4CC3"/>
    <w:rsid w:val="FA7E2AD1"/>
    <w:rsid w:val="FAA7B3A2"/>
    <w:rsid w:val="FAB76F41"/>
    <w:rsid w:val="FAD3BB04"/>
    <w:rsid w:val="FADEC594"/>
    <w:rsid w:val="FB76559E"/>
    <w:rsid w:val="FB7F1379"/>
    <w:rsid w:val="FB7FA7FE"/>
    <w:rsid w:val="FBAB586E"/>
    <w:rsid w:val="FBAE596C"/>
    <w:rsid w:val="FBAF81D5"/>
    <w:rsid w:val="FBAF9C42"/>
    <w:rsid w:val="FBB56636"/>
    <w:rsid w:val="FBB70AFC"/>
    <w:rsid w:val="FBBB89F9"/>
    <w:rsid w:val="FBBBF984"/>
    <w:rsid w:val="FBBE9FCB"/>
    <w:rsid w:val="FBBF988C"/>
    <w:rsid w:val="FBDA0935"/>
    <w:rsid w:val="FBDF76C7"/>
    <w:rsid w:val="FBDFCD08"/>
    <w:rsid w:val="FBE6FAFA"/>
    <w:rsid w:val="FBEB1980"/>
    <w:rsid w:val="FBF5E135"/>
    <w:rsid w:val="FBF64C22"/>
    <w:rsid w:val="FBF7BCF2"/>
    <w:rsid w:val="FBFA9670"/>
    <w:rsid w:val="FBFB5C7E"/>
    <w:rsid w:val="FBFB6815"/>
    <w:rsid w:val="FBFD6186"/>
    <w:rsid w:val="FBFF07CB"/>
    <w:rsid w:val="FBFF4C5D"/>
    <w:rsid w:val="FBFF8603"/>
    <w:rsid w:val="FCB802B5"/>
    <w:rsid w:val="FCBB769B"/>
    <w:rsid w:val="FCBF7C41"/>
    <w:rsid w:val="FCDE4AFF"/>
    <w:rsid w:val="FCDECF01"/>
    <w:rsid w:val="FCF79D35"/>
    <w:rsid w:val="FD3F68FA"/>
    <w:rsid w:val="FD574DD3"/>
    <w:rsid w:val="FD778821"/>
    <w:rsid w:val="FD7BF2D7"/>
    <w:rsid w:val="FD7F855C"/>
    <w:rsid w:val="FD9CB8D2"/>
    <w:rsid w:val="FDA7F42C"/>
    <w:rsid w:val="FDB589F6"/>
    <w:rsid w:val="FDB73D95"/>
    <w:rsid w:val="FDC953B8"/>
    <w:rsid w:val="FDEB7E42"/>
    <w:rsid w:val="FDEDEA2E"/>
    <w:rsid w:val="FDEFE359"/>
    <w:rsid w:val="FDF3CB4A"/>
    <w:rsid w:val="FDF45B17"/>
    <w:rsid w:val="FDF9BDB7"/>
    <w:rsid w:val="FDF9D7F1"/>
    <w:rsid w:val="FDFBD465"/>
    <w:rsid w:val="FDFE5A38"/>
    <w:rsid w:val="FDFF042A"/>
    <w:rsid w:val="FDFF3BDC"/>
    <w:rsid w:val="FDFFAA8B"/>
    <w:rsid w:val="FDFFE84C"/>
    <w:rsid w:val="FDFFFDE0"/>
    <w:rsid w:val="FE3A506D"/>
    <w:rsid w:val="FE5EF0EB"/>
    <w:rsid w:val="FE5F4077"/>
    <w:rsid w:val="FE672701"/>
    <w:rsid w:val="FE75653D"/>
    <w:rsid w:val="FE778DE3"/>
    <w:rsid w:val="FE87BEA3"/>
    <w:rsid w:val="FE9F9739"/>
    <w:rsid w:val="FEABA96C"/>
    <w:rsid w:val="FEB3A6E8"/>
    <w:rsid w:val="FEB754E2"/>
    <w:rsid w:val="FECD1233"/>
    <w:rsid w:val="FECF3D23"/>
    <w:rsid w:val="FECFF03B"/>
    <w:rsid w:val="FEDF4026"/>
    <w:rsid w:val="FEED89CC"/>
    <w:rsid w:val="FEFF4584"/>
    <w:rsid w:val="FEFF9BC0"/>
    <w:rsid w:val="FEFFD936"/>
    <w:rsid w:val="FEFFF42E"/>
    <w:rsid w:val="FF2D6639"/>
    <w:rsid w:val="FF3DEF41"/>
    <w:rsid w:val="FF3E5516"/>
    <w:rsid w:val="FF3FA039"/>
    <w:rsid w:val="FF5AB20D"/>
    <w:rsid w:val="FF5FE766"/>
    <w:rsid w:val="FF60913A"/>
    <w:rsid w:val="FF65DDCA"/>
    <w:rsid w:val="FF6740A2"/>
    <w:rsid w:val="FF6F4924"/>
    <w:rsid w:val="FF6F624B"/>
    <w:rsid w:val="FF739BD7"/>
    <w:rsid w:val="FF7479B6"/>
    <w:rsid w:val="FF7B0E5F"/>
    <w:rsid w:val="FF7B2479"/>
    <w:rsid w:val="FF7ECF6A"/>
    <w:rsid w:val="FF7F0057"/>
    <w:rsid w:val="FF7F202E"/>
    <w:rsid w:val="FF8F34AF"/>
    <w:rsid w:val="FF977813"/>
    <w:rsid w:val="FF97E36F"/>
    <w:rsid w:val="FF9EF4FA"/>
    <w:rsid w:val="FFA16ED1"/>
    <w:rsid w:val="FFA5AC98"/>
    <w:rsid w:val="FFAD9F47"/>
    <w:rsid w:val="FFB1894C"/>
    <w:rsid w:val="FFBB22A3"/>
    <w:rsid w:val="FFBBAAC8"/>
    <w:rsid w:val="FFBFD438"/>
    <w:rsid w:val="FFCF598A"/>
    <w:rsid w:val="FFD71E09"/>
    <w:rsid w:val="FFDE9E9C"/>
    <w:rsid w:val="FFDF9CA5"/>
    <w:rsid w:val="FFE347E4"/>
    <w:rsid w:val="FFE5AA43"/>
    <w:rsid w:val="FFE72068"/>
    <w:rsid w:val="FFE74E24"/>
    <w:rsid w:val="FFEF72D5"/>
    <w:rsid w:val="FFEFF1AC"/>
    <w:rsid w:val="FFF3C8A0"/>
    <w:rsid w:val="FFF4139D"/>
    <w:rsid w:val="FFF74F28"/>
    <w:rsid w:val="FFF758AA"/>
    <w:rsid w:val="FFF75AF9"/>
    <w:rsid w:val="FFFBB038"/>
    <w:rsid w:val="FFFC5D2A"/>
    <w:rsid w:val="FFFD8C20"/>
    <w:rsid w:val="FFFE1986"/>
    <w:rsid w:val="FFFE8CB3"/>
    <w:rsid w:val="FFFF219B"/>
    <w:rsid w:val="FFFF2DC6"/>
    <w:rsid w:val="FFFF498F"/>
    <w:rsid w:val="FFFF4F46"/>
    <w:rsid w:val="FFFF8437"/>
    <w:rsid w:val="FFFFA4BC"/>
    <w:rsid w:val="FFFFA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cs="宋体" w:asciiTheme="minorHAnsi" w:hAnsiTheme="minorHAnsi" w:eastAsiaTheme="minorEastAsia"/>
      <w:kern w:val="2"/>
      <w:sz w:val="21"/>
      <w:szCs w:val="24"/>
      <w:lang w:val="en-US" w:eastAsia="zh-CN" w:bidi="ar-SA"/>
    </w:rPr>
  </w:style>
  <w:style w:type="paragraph" w:styleId="4">
    <w:name w:val="heading 1"/>
    <w:next w:val="1"/>
    <w:qFormat/>
    <w:uiPriority w:val="9"/>
    <w:pPr>
      <w:keepNext/>
      <w:keepLines/>
      <w:widowControl w:val="0"/>
      <w:spacing w:before="340" w:after="330" w:line="578" w:lineRule="auto"/>
      <w:jc w:val="both"/>
      <w:outlineLvl w:val="0"/>
    </w:pPr>
    <w:rPr>
      <w:rFonts w:ascii="Calibri" w:hAnsi="Calibri" w:eastAsia="宋体" w:cs="Times New Roman"/>
      <w:b/>
      <w:bCs/>
      <w:kern w:val="44"/>
      <w:sz w:val="44"/>
      <w:szCs w:val="44"/>
      <w:lang w:val="en-US" w:eastAsia="zh-CN" w:bidi="ar-SA"/>
    </w:rPr>
  </w:style>
  <w:style w:type="paragraph" w:styleId="5">
    <w:name w:val="heading 2"/>
    <w:basedOn w:val="1"/>
    <w:next w:val="1"/>
    <w:unhideWhenUsed/>
    <w:qFormat/>
    <w:uiPriority w:val="0"/>
    <w:pPr>
      <w:keepNext/>
      <w:keepLines/>
      <w:spacing w:before="260" w:after="260" w:line="413" w:lineRule="auto"/>
      <w:outlineLvl w:val="1"/>
    </w:pPr>
    <w:rPr>
      <w:rFonts w:ascii="Arial" w:hAnsi="Arial" w:eastAsia="宋体"/>
      <w:b/>
      <w:sz w:val="28"/>
    </w:rPr>
  </w:style>
  <w:style w:type="paragraph" w:styleId="6">
    <w:name w:val="heading 3"/>
    <w:basedOn w:val="1"/>
    <w:next w:val="1"/>
    <w:unhideWhenUsed/>
    <w:qFormat/>
    <w:uiPriority w:val="9"/>
    <w:pPr>
      <w:keepNext/>
      <w:keepLines/>
      <w:spacing w:after="0" w:line="560" w:lineRule="exact"/>
      <w:ind w:firstLine="880" w:firstLineChars="200"/>
      <w:outlineLvl w:val="2"/>
    </w:pPr>
    <w:rPr>
      <w:rFonts w:ascii="Times New Roman" w:hAnsi="Times New Roman" w:eastAsia="仿宋_GB2312"/>
      <w:b/>
      <w:sz w:val="32"/>
      <w:szCs w:val="32"/>
    </w:rPr>
  </w:style>
  <w:style w:type="paragraph" w:styleId="7">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40" w:line="276" w:lineRule="auto"/>
    </w:pPr>
  </w:style>
  <w:style w:type="paragraph" w:customStyle="1" w:styleId="3">
    <w:name w:val="toc 11"/>
    <w:next w:val="1"/>
    <w:qFormat/>
    <w:uiPriority w:val="0"/>
    <w:pPr>
      <w:wordWrap w:val="0"/>
      <w:spacing w:after="160" w:line="259" w:lineRule="auto"/>
      <w:jc w:val="both"/>
    </w:pPr>
    <w:rPr>
      <w:rFonts w:ascii="Calibri" w:hAnsi="Calibri" w:eastAsia="宋体" w:cs="Times New Roman"/>
      <w:sz w:val="21"/>
      <w:szCs w:val="22"/>
      <w:lang w:val="en-US" w:eastAsia="zh-CN" w:bidi="ar-SA"/>
    </w:rPr>
  </w:style>
  <w:style w:type="paragraph" w:styleId="8">
    <w:name w:val="annotation text"/>
    <w:basedOn w:val="1"/>
    <w:link w:val="27"/>
    <w:qFormat/>
    <w:uiPriority w:val="0"/>
    <w:pPr>
      <w:jc w:val="left"/>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toc 1"/>
    <w:basedOn w:val="1"/>
    <w:next w:val="1"/>
    <w:qFormat/>
    <w:uiPriority w:val="39"/>
  </w:style>
  <w:style w:type="paragraph" w:styleId="12">
    <w:name w:val="footnote text"/>
    <w:basedOn w:val="1"/>
    <w:unhideWhenUsed/>
    <w:qFormat/>
    <w:uiPriority w:val="0"/>
    <w:pPr>
      <w:snapToGrid w:val="0"/>
      <w:jc w:val="left"/>
    </w:pPr>
    <w:rPr>
      <w:sz w:val="18"/>
      <w:szCs w:val="18"/>
    </w:rPr>
  </w:style>
  <w:style w:type="paragraph" w:styleId="13">
    <w:name w:val="toc 2"/>
    <w:basedOn w:val="1"/>
    <w:next w:val="1"/>
    <w:qFormat/>
    <w:uiPriority w:val="39"/>
    <w:pPr>
      <w:ind w:left="420" w:leftChars="200"/>
    </w:pPr>
  </w:style>
  <w:style w:type="paragraph" w:styleId="14">
    <w:name w:val="Normal (Web)"/>
    <w:basedOn w:val="1"/>
    <w:unhideWhenUsed/>
    <w:qFormat/>
    <w:uiPriority w:val="99"/>
    <w:pPr>
      <w:widowControl/>
      <w:spacing w:after="100"/>
      <w:jc w:val="left"/>
    </w:pPr>
    <w:rPr>
      <w:rFonts w:ascii="宋体" w:hAnsi="宋体" w:cs="宋体"/>
      <w:kern w:val="0"/>
      <w:sz w:val="24"/>
    </w:rPr>
  </w:style>
  <w:style w:type="paragraph" w:styleId="15">
    <w:name w:val="annotation subject"/>
    <w:basedOn w:val="8"/>
    <w:next w:val="8"/>
    <w:link w:val="28"/>
    <w:qFormat/>
    <w:uiPriority w:val="0"/>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Emphasis"/>
    <w:basedOn w:val="18"/>
    <w:qFormat/>
    <w:uiPriority w:val="0"/>
    <w:rPr>
      <w:i/>
    </w:rPr>
  </w:style>
  <w:style w:type="character" w:styleId="20">
    <w:name w:val="Hyperlink"/>
    <w:basedOn w:val="18"/>
    <w:unhideWhenUsed/>
    <w:qFormat/>
    <w:uiPriority w:val="99"/>
    <w:rPr>
      <w:color w:val="0026E5" w:themeColor="hyperlink"/>
      <w:u w:val="single"/>
      <w14:textFill>
        <w14:solidFill>
          <w14:schemeClr w14:val="hlink"/>
        </w14:solidFill>
      </w14:textFill>
    </w:rPr>
  </w:style>
  <w:style w:type="character" w:styleId="21">
    <w:name w:val="annotation reference"/>
    <w:basedOn w:val="18"/>
    <w:qFormat/>
    <w:uiPriority w:val="0"/>
    <w:rPr>
      <w:sz w:val="21"/>
      <w:szCs w:val="21"/>
    </w:rPr>
  </w:style>
  <w:style w:type="character" w:styleId="22">
    <w:name w:val="footnote reference"/>
    <w:basedOn w:val="18"/>
    <w:unhideWhenUsed/>
    <w:qFormat/>
    <w:uiPriority w:val="0"/>
    <w:rPr>
      <w:vertAlign w:val="superscript"/>
    </w:rPr>
  </w:style>
  <w:style w:type="paragraph" w:customStyle="1" w:styleId="23">
    <w:name w:val="PlainText"/>
    <w:basedOn w:val="1"/>
    <w:next w:val="1"/>
    <w:qFormat/>
    <w:uiPriority w:val="0"/>
    <w:pPr>
      <w:spacing w:line="240" w:lineRule="auto"/>
    </w:pPr>
    <w:rPr>
      <w:rFonts w:ascii="宋体" w:hAnsi="宋体" w:eastAsia="宋体"/>
      <w:color w:val="000000"/>
      <w:szCs w:val="21"/>
    </w:rPr>
  </w:style>
  <w:style w:type="paragraph" w:customStyle="1" w:styleId="24">
    <w:name w:val="修订1"/>
    <w:hidden/>
    <w:unhideWhenUsed/>
    <w:qFormat/>
    <w:uiPriority w:val="99"/>
    <w:pPr>
      <w:spacing w:after="160" w:line="278" w:lineRule="auto"/>
    </w:pPr>
    <w:rPr>
      <w:rFonts w:cs="宋体" w:asciiTheme="minorHAnsi" w:hAnsiTheme="minorHAnsi" w:eastAsiaTheme="minorEastAsia"/>
      <w:kern w:val="2"/>
      <w:sz w:val="21"/>
      <w:szCs w:val="24"/>
      <w:lang w:val="en-US" w:eastAsia="zh-CN" w:bidi="ar-SA"/>
    </w:rPr>
  </w:style>
  <w:style w:type="paragraph" w:customStyle="1" w:styleId="25">
    <w:name w:val="修订2"/>
    <w:hidden/>
    <w:unhideWhenUsed/>
    <w:qFormat/>
    <w:uiPriority w:val="99"/>
    <w:pPr>
      <w:spacing w:after="160" w:line="278" w:lineRule="auto"/>
    </w:pPr>
    <w:rPr>
      <w:rFonts w:cs="宋体" w:asciiTheme="minorHAnsi" w:hAnsiTheme="minorHAnsi" w:eastAsiaTheme="minorEastAsia"/>
      <w:kern w:val="2"/>
      <w:sz w:val="21"/>
      <w:szCs w:val="24"/>
      <w:lang w:val="en-US" w:eastAsia="zh-CN" w:bidi="ar-SA"/>
    </w:rPr>
  </w:style>
  <w:style w:type="paragraph" w:customStyle="1" w:styleId="26">
    <w:name w:val="修订3"/>
    <w:hidden/>
    <w:unhideWhenUsed/>
    <w:qFormat/>
    <w:uiPriority w:val="99"/>
    <w:pPr>
      <w:spacing w:after="160" w:line="278" w:lineRule="auto"/>
    </w:pPr>
    <w:rPr>
      <w:rFonts w:cs="宋体" w:asciiTheme="minorHAnsi" w:hAnsiTheme="minorHAnsi" w:eastAsiaTheme="minorEastAsia"/>
      <w:kern w:val="2"/>
      <w:sz w:val="21"/>
      <w:szCs w:val="24"/>
      <w:lang w:val="en-US" w:eastAsia="zh-CN" w:bidi="ar-SA"/>
    </w:rPr>
  </w:style>
  <w:style w:type="character" w:customStyle="1" w:styleId="27">
    <w:name w:val="批注文字 字符"/>
    <w:basedOn w:val="18"/>
    <w:link w:val="8"/>
    <w:qFormat/>
    <w:uiPriority w:val="0"/>
    <w:rPr>
      <w:rFonts w:cs="宋体"/>
      <w:kern w:val="2"/>
      <w:sz w:val="21"/>
      <w:szCs w:val="24"/>
    </w:rPr>
  </w:style>
  <w:style w:type="character" w:customStyle="1" w:styleId="28">
    <w:name w:val="批注主题 字符"/>
    <w:basedOn w:val="27"/>
    <w:link w:val="15"/>
    <w:qFormat/>
    <w:uiPriority w:val="0"/>
    <w:rPr>
      <w:rFonts w:cs="宋体"/>
      <w:b/>
      <w:bCs/>
      <w:kern w:val="2"/>
      <w:sz w:val="21"/>
      <w:szCs w:val="24"/>
    </w:rPr>
  </w:style>
  <w:style w:type="paragraph" w:customStyle="1" w:styleId="29">
    <w:name w:val="修订4"/>
    <w:hidden/>
    <w:unhideWhenUsed/>
    <w:qFormat/>
    <w:uiPriority w:val="99"/>
    <w:pPr>
      <w:spacing w:after="160" w:line="278" w:lineRule="auto"/>
    </w:pPr>
    <w:rPr>
      <w:rFonts w:cs="宋体" w:asciiTheme="minorHAnsi" w:hAnsiTheme="minorHAnsi" w:eastAsiaTheme="minorEastAsia"/>
      <w:kern w:val="2"/>
      <w:sz w:val="21"/>
      <w:szCs w:val="24"/>
      <w:lang w:val="en-US" w:eastAsia="zh-CN" w:bidi="ar-SA"/>
    </w:rPr>
  </w:style>
  <w:style w:type="paragraph" w:customStyle="1" w:styleId="30">
    <w:name w:val="修订5"/>
    <w:hidden/>
    <w:unhideWhenUsed/>
    <w:qFormat/>
    <w:uiPriority w:val="99"/>
    <w:pPr>
      <w:spacing w:after="160" w:line="278" w:lineRule="auto"/>
    </w:pPr>
    <w:rPr>
      <w:rFonts w:cs="宋体" w:asciiTheme="minorHAnsi" w:hAnsiTheme="minorHAnsi" w:eastAsiaTheme="minorEastAsia"/>
      <w:kern w:val="2"/>
      <w:sz w:val="21"/>
      <w:szCs w:val="24"/>
      <w:lang w:val="en-US" w:eastAsia="zh-CN" w:bidi="ar-SA"/>
    </w:rPr>
  </w:style>
  <w:style w:type="paragraph" w:customStyle="1" w:styleId="31">
    <w:name w:val="修订6"/>
    <w:hidden/>
    <w:unhideWhenUsed/>
    <w:qFormat/>
    <w:uiPriority w:val="99"/>
    <w:pPr>
      <w:spacing w:after="160" w:line="278" w:lineRule="auto"/>
    </w:pPr>
    <w:rPr>
      <w:rFonts w:cs="宋体" w:asciiTheme="minorHAnsi" w:hAnsiTheme="minorHAnsi" w:eastAsiaTheme="minorEastAsia"/>
      <w:kern w:val="2"/>
      <w:sz w:val="21"/>
      <w:szCs w:val="24"/>
      <w:lang w:val="en-US" w:eastAsia="zh-CN" w:bidi="ar-SA"/>
    </w:rPr>
  </w:style>
  <w:style w:type="paragraph" w:customStyle="1" w:styleId="32">
    <w:name w:val="Revision"/>
    <w:hidden/>
    <w:unhideWhenUsed/>
    <w:qFormat/>
    <w:uiPriority w:val="99"/>
    <w:pPr>
      <w:spacing w:after="0" w:line="240" w:lineRule="auto"/>
    </w:pPr>
    <w:rPr>
      <w:rFonts w:cs="宋体" w:asciiTheme="minorHAnsi" w:hAnsiTheme="minorHAnsi" w:eastAsiaTheme="minorEastAsia"/>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6332</Words>
  <Characters>6378</Characters>
  <Lines>90</Lines>
  <Paragraphs>25</Paragraphs>
  <TotalTime>3</TotalTime>
  <ScaleCrop>false</ScaleCrop>
  <LinksUpToDate>false</LinksUpToDate>
  <CharactersWithSpaces>6410</CharactersWithSpaces>
  <Application>WPS Office_12.8.2.17148_F1E327BC-269C-435d-A152-05C5408002CA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2026-05-15T06:52:00Z</dcterms:created>
  <dc:creator>丁雪松</dc:creator>
  <cp:lastModifiedBy>丁雪松</cp:lastModifiedBy>
  <dcterms:modified xsi:type="dcterms:W3CDTF">2026-07-23T03:51:34Z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2052-12.8.2.17148</vt:lpwstr>
  </property>
  <property fmtid="{D5CDD505-2E9C-101B-9397-08002B2CF9AE}" pid="3" name="ICV">
    <vt:lpwstr>E55C22CE55C74D53B2060B78E3C86AF9_13</vt:lpwstr>
  </property>
  <property fmtid="{D5CDD505-2E9C-101B-9397-08002B2CF9AE}" pid="4" name="KSOTemplateDocerSaveRecord">
    <vt:lpwstr>eyJoZGlkIjoiYjZlODBlOWJiZjdkZGM1ODZjM2VmOWEwMjhkYTQxZjUiLCJ1c2VySWQiOiI5MjY2MTk1MDcifQ==</vt:lpwstr>
  </property>
</Properties>
</file>