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3EB5C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关于《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</w:rPr>
        <w:t>石景山区“十五五”时期现代金融</w:t>
      </w:r>
    </w:p>
    <w:p w14:paraId="1B142573">
      <w:pPr>
        <w:spacing w:line="560" w:lineRule="exact"/>
        <w:jc w:val="center"/>
        <w:rPr>
          <w:rFonts w:hint="eastAsia"/>
        </w:rPr>
      </w:pPr>
      <w:r>
        <w:rPr>
          <w:rFonts w:hint="eastAsia" w:ascii="Times New Roman" w:hAnsi="Times New Roman" w:eastAsia="方正小标宋简体" w:cs="Times New Roman"/>
          <w:kern w:val="0"/>
          <w:sz w:val="44"/>
          <w:szCs w:val="44"/>
        </w:rPr>
        <w:t>产业发展规划</w:t>
      </w: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》的起草说明</w:t>
      </w:r>
    </w:p>
    <w:p w14:paraId="276F42CD"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ABF6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left"/>
        <w:textAlignment w:val="center"/>
        <w:outlineLvl w:val="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一、制定背景</w:t>
      </w:r>
    </w:p>
    <w:p w14:paraId="00F3C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  <w:lang w:eastAsia="zh-Hans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金融是国民经济的血脉、现代经济的核心。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2023年10月召开的中央金融工作会议，首次明确提出“加快建设金融强国”重大战略目标，为全国金融业深化改革、优化产业结构、防范化解金融风险指明方向。“十五五”时期是我国夯实社会主义现代化建设根基、纵深推进金融强国建设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的</w:t>
      </w:r>
      <w:r>
        <w:rPr>
          <w:rFonts w:ascii="Times New Roman" w:hAnsi="Times New Roman" w:eastAsia="仿宋_GB2312"/>
          <w:color w:val="000000"/>
          <w:sz w:val="32"/>
          <w:szCs w:val="32"/>
        </w:rPr>
        <w:t>关键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阶段</w:t>
      </w:r>
      <w:r>
        <w:rPr>
          <w:rFonts w:ascii="Times New Roman" w:hAnsi="Times New Roman" w:eastAsia="仿宋_GB2312"/>
          <w:color w:val="000000"/>
          <w:sz w:val="32"/>
          <w:szCs w:val="32"/>
        </w:rPr>
        <w:t>，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也是石景山</w:t>
      </w:r>
      <w:r>
        <w:rPr>
          <w:rFonts w:ascii="Times New Roman" w:hAnsi="Times New Roman" w:eastAsia="仿宋_GB2312"/>
          <w:color w:val="000000"/>
          <w:sz w:val="32"/>
          <w:szCs w:val="32"/>
          <w:lang w:eastAsia="zh-Hans"/>
        </w:rPr>
        <w:t>区全力服务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首都</w:t>
      </w:r>
      <w:r>
        <w:rPr>
          <w:rFonts w:ascii="Times New Roman" w:hAnsi="Times New Roman" w:eastAsia="仿宋_GB2312"/>
          <w:color w:val="000000"/>
          <w:sz w:val="32"/>
          <w:szCs w:val="32"/>
          <w:lang w:eastAsia="zh-Hans"/>
        </w:rPr>
        <w:t>国家金融管理中心功能、推动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现代</w:t>
      </w:r>
      <w:r>
        <w:rPr>
          <w:rFonts w:ascii="Times New Roman" w:hAnsi="Times New Roman" w:eastAsia="仿宋_GB2312"/>
          <w:color w:val="000000"/>
          <w:sz w:val="32"/>
          <w:szCs w:val="32"/>
          <w:lang w:eastAsia="zh-Hans"/>
        </w:rPr>
        <w:t>金融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产业</w:t>
      </w:r>
      <w:r>
        <w:rPr>
          <w:rFonts w:ascii="Times New Roman" w:hAnsi="Times New Roman" w:eastAsia="仿宋_GB2312"/>
          <w:color w:val="000000"/>
          <w:sz w:val="32"/>
          <w:szCs w:val="32"/>
          <w:lang w:eastAsia="zh-Hans"/>
        </w:rPr>
        <w:t>高质量发展的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攻坚</w:t>
      </w:r>
      <w:r>
        <w:rPr>
          <w:rFonts w:ascii="Times New Roman" w:hAnsi="Times New Roman" w:eastAsia="仿宋_GB2312"/>
          <w:color w:val="000000"/>
          <w:sz w:val="32"/>
          <w:szCs w:val="32"/>
          <w:lang w:eastAsia="zh-Hans"/>
        </w:rPr>
        <w:t>期。</w:t>
      </w:r>
    </w:p>
    <w:p w14:paraId="3A098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“十四五”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期间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，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我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区不断强化党对金融工作全面领导，现代金融产业发展质效稳步提高，金融服务区域重大战略、重点领域和薄弱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环节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水平不断提升，金融安全底线有力夯实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为后续发展打下坚实基础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。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迈入“十五五”</w:t>
      </w:r>
      <w:bookmarkStart w:id="1" w:name="_GoBack"/>
      <w:bookmarkEnd w:id="1"/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阶段，全球经济不稳定性不确定性持续攀升，金融风险日益复杂多元，金融科技深度融合对金融监管、金融生态建设提出新要求，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金融业竞争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格局不断加剧，我区现代金融产业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转型压力加大。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在这一背景下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，科学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编制《石景山区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“十五五”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Hans"/>
        </w:rPr>
        <w:t>时期现代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金融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Hans"/>
        </w:rPr>
        <w:t>产业发展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规划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》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，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对于打造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Hans"/>
        </w:rPr>
        <w:t>国家级金融产业示范区、</w:t>
      </w:r>
      <w:r>
        <w:rPr>
          <w:rFonts w:ascii="Times New Roman" w:hAnsi="Times New Roman" w:eastAsia="仿宋_GB2312"/>
          <w:color w:val="000000"/>
          <w:sz w:val="32"/>
          <w:szCs w:val="32"/>
          <w:lang w:eastAsia="zh-Hans"/>
        </w:rPr>
        <w:t>高水平建设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好</w:t>
      </w:r>
      <w:r>
        <w:rPr>
          <w:rFonts w:ascii="Times New Roman" w:hAnsi="Times New Roman" w:eastAsia="仿宋_GB2312"/>
          <w:color w:val="000000"/>
          <w:sz w:val="32"/>
          <w:szCs w:val="32"/>
          <w:lang w:eastAsia="zh-Hans"/>
        </w:rPr>
        <w:t>首都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城市</w:t>
      </w:r>
      <w:r>
        <w:rPr>
          <w:rFonts w:ascii="Times New Roman" w:hAnsi="Times New Roman" w:eastAsia="仿宋_GB2312"/>
          <w:color w:val="000000"/>
          <w:sz w:val="32"/>
          <w:szCs w:val="32"/>
          <w:lang w:eastAsia="zh-Hans"/>
        </w:rPr>
        <w:t>西大门</w:t>
      </w:r>
      <w:r>
        <w:rPr>
          <w:rFonts w:ascii="Times New Roman" w:hAnsi="Times New Roman" w:eastAsia="仿宋_GB2312"/>
          <w:color w:val="000000"/>
          <w:sz w:val="32"/>
          <w:szCs w:val="32"/>
        </w:rPr>
        <w:t>具有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重要</w:t>
      </w:r>
      <w:r>
        <w:rPr>
          <w:rFonts w:ascii="Times New Roman" w:hAnsi="Times New Roman" w:eastAsia="仿宋_GB2312"/>
          <w:color w:val="000000"/>
          <w:sz w:val="32"/>
          <w:szCs w:val="32"/>
        </w:rPr>
        <w:t>意义。</w:t>
      </w:r>
    </w:p>
    <w:p w14:paraId="3C564C6A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left"/>
        <w:textAlignment w:val="center"/>
        <w:outlineLvl w:val="0"/>
        <w:rPr>
          <w:rFonts w:hint="eastAsia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基本原则</w:t>
      </w:r>
    </w:p>
    <w:p w14:paraId="2D58F5C9">
      <w:pPr>
        <w:spacing w:after="0" w:line="560" w:lineRule="exact"/>
        <w:ind w:firstLine="643" w:firstLineChars="200"/>
        <w:textAlignment w:val="center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</w:rPr>
        <w:t>坚持党建引领，特色发展。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把党的全面领导贯穿于金融工作各领域、全过程，加快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推动党建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与</w:t>
      </w:r>
      <w:r>
        <w:rPr>
          <w:rFonts w:hint="eastAsia" w:ascii="Times New Roman" w:hAnsi="Times New Roman" w:eastAsia="仿宋_GB2312" w:cs="仿宋_GB2312"/>
          <w:sz w:val="32"/>
          <w:szCs w:val="32"/>
        </w:rPr>
        <w:t>金融业务融合互促。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聚焦消费金融、保险创新等优势领域，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坚定不移走特色化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差异化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发展道路，打造具有石景山辨识度的现代金融产业集群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。</w:t>
      </w:r>
    </w:p>
    <w:p w14:paraId="6DC34A29">
      <w:pPr>
        <w:spacing w:after="0" w:line="560" w:lineRule="exact"/>
        <w:ind w:firstLine="643" w:firstLineChars="200"/>
        <w:textAlignment w:val="center"/>
        <w:rPr>
          <w:rFonts w:ascii="Calibri" w:hAnsi="Calibri" w:eastAsia="宋体" w:cs="Times New Roman"/>
          <w:szCs w:val="22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</w:rPr>
        <w:t>坚持市场导向，创新驱动。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充分发挥市场在资源配置中的决定性作用，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val="en-US" w:eastAsia="zh-CN"/>
        </w:rPr>
        <w:t>加快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推进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val="en-US" w:eastAsia="zh-CN"/>
        </w:rPr>
        <w:t>保险创新试验区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、数字人民币综合性试验区建设，在金融服务创新、金融监管创新领域大胆探索、先行先试。</w:t>
      </w:r>
    </w:p>
    <w:p w14:paraId="33CEC4D7">
      <w:pPr>
        <w:spacing w:after="0" w:line="560" w:lineRule="exact"/>
        <w:ind w:firstLine="643" w:firstLineChars="200"/>
        <w:textAlignment w:val="center"/>
        <w:rPr>
          <w:rFonts w:ascii="Times New Roman" w:hAnsi="Times New Roman" w:eastAsia="仿宋_GB2312" w:cs="Times New Roman"/>
          <w:color w:val="000000"/>
          <w:sz w:val="32"/>
          <w:szCs w:val="36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</w:rPr>
        <w:t>坚持服务实体，双向赋能。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坚守服务实体经济天职，推动金融发展与产业升级、城市更新、民生改善紧密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衔接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，建立区域资金与资源精准匹配机制，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在与实体经济良性互动中实现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val="en-US" w:eastAsia="zh-CN"/>
        </w:rPr>
        <w:t>金融业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自身高质量发展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 w14:paraId="27D05C3D">
      <w:pPr>
        <w:spacing w:after="0" w:line="556" w:lineRule="exact"/>
        <w:ind w:firstLine="643" w:firstLineChars="200"/>
        <w:textAlignment w:val="center"/>
        <w:rPr>
          <w:rFonts w:ascii="Times New Roman" w:hAnsi="Times New Roman" w:eastAsia="仿宋_GB2312" w:cs="Times New Roman"/>
          <w:color w:val="000000"/>
          <w:sz w:val="32"/>
          <w:szCs w:val="36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</w:rPr>
        <w:t>坚持强化监管，守牢底线。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统筹发展和安全，完善金融风险监测、预警、防范和处置机制，加大金融安全宣传教育力度，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val="en-US" w:eastAsia="zh-CN"/>
        </w:rPr>
        <w:t>压实属地、机构各方防控责任，坚决守住区域金融安全底线。</w:t>
      </w:r>
    </w:p>
    <w:p w14:paraId="18F922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left"/>
        <w:textAlignment w:val="center"/>
        <w:outlineLvl w:val="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三、主要内容</w:t>
      </w:r>
    </w:p>
    <w:p w14:paraId="28A76096">
      <w:pPr>
        <w:spacing w:after="0" w:line="556" w:lineRule="exact"/>
        <w:ind w:firstLine="640" w:firstLineChars="200"/>
        <w:textAlignment w:val="center"/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6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规划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正文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共六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部分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内容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。</w:t>
      </w:r>
    </w:p>
    <w:p w14:paraId="33839673">
      <w:pPr>
        <w:spacing w:after="0" w:line="560" w:lineRule="exact"/>
        <w:ind w:firstLine="643" w:firstLineChars="200"/>
        <w:textAlignment w:val="center"/>
        <w:rPr>
          <w:rFonts w:ascii="Times New Roman" w:hAnsi="Times New Roman" w:eastAsia="仿宋_GB2312"/>
          <w:color w:val="000000"/>
          <w:sz w:val="32"/>
          <w:szCs w:val="36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</w:rPr>
        <w:t>第一部分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  <w:lang w:val="en-US" w:eastAsia="zh-CN"/>
        </w:rPr>
        <w:t>总体要求。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6"/>
          <w:lang w:val="en-US" w:eastAsia="zh-CN"/>
        </w:rPr>
        <w:t>明确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eastAsia="zh-CN"/>
        </w:rPr>
        <w:t>“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val="en-US" w:eastAsia="zh-CN"/>
        </w:rPr>
        <w:t>十五五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eastAsia="zh-CN"/>
        </w:rPr>
        <w:t>”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val="en-US" w:eastAsia="zh-CN"/>
        </w:rPr>
        <w:t>时期现代金融产业发展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的指导思想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提出“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eastAsia="zh-Hans"/>
        </w:rPr>
        <w:t>国家级金融产业示范区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”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eastAsia="zh-Hans"/>
        </w:rPr>
        <w:t>基本建成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目标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val="en-US" w:eastAsia="zh-CN"/>
        </w:rPr>
        <w:t>确立</w:t>
      </w:r>
      <w:r>
        <w:rPr>
          <w:rFonts w:hint="eastAsia" w:ascii="Times New Roman" w:hAnsi="Times New Roman" w:eastAsia="仿宋_GB2312"/>
          <w:color w:val="000000"/>
          <w:sz w:val="32"/>
          <w:szCs w:val="36"/>
        </w:rPr>
        <w:t>“一园一轴”</w:t>
      </w:r>
      <w:r>
        <w:rPr>
          <w:rFonts w:hint="eastAsia" w:ascii="Times New Roman" w:hAnsi="Times New Roman" w:eastAsia="仿宋_GB2312"/>
          <w:color w:val="000000"/>
          <w:sz w:val="32"/>
          <w:szCs w:val="36"/>
          <w:lang w:val="en-US" w:eastAsia="zh-CN"/>
        </w:rPr>
        <w:t>的</w:t>
      </w:r>
      <w:r>
        <w:rPr>
          <w:rFonts w:hint="eastAsia" w:ascii="Times New Roman" w:hAnsi="Times New Roman" w:eastAsia="仿宋_GB2312"/>
          <w:color w:val="000000"/>
          <w:sz w:val="32"/>
          <w:szCs w:val="36"/>
        </w:rPr>
        <w:t>空间格局。</w:t>
      </w:r>
    </w:p>
    <w:p w14:paraId="6F49A249">
      <w:pPr>
        <w:spacing w:after="0" w:line="560" w:lineRule="exact"/>
        <w:ind w:firstLine="643" w:firstLineChars="200"/>
        <w:textAlignment w:val="center"/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</w:rPr>
        <w:t>第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  <w:lang w:val="en-US" w:eastAsia="zh-CN"/>
        </w:rPr>
        <w:t>二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</w:rPr>
        <w:t>部分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  <w:lang w:val="en-US" w:eastAsia="zh-CN"/>
        </w:rPr>
        <w:t xml:space="preserve"> 加快现代金融产业高质量发展。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以消费金融为特色，以保险创新、金融科技为重点，以“大资管”产业和金融专业服务为支撑，打造金融优势产业集群。</w:t>
      </w:r>
    </w:p>
    <w:p w14:paraId="1349910B">
      <w:pPr>
        <w:spacing w:after="0" w:line="560" w:lineRule="exact"/>
        <w:ind w:firstLine="643" w:firstLineChars="200"/>
        <w:textAlignment w:val="center"/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</w:rPr>
        <w:t>第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  <w:lang w:val="en-US" w:eastAsia="zh-CN"/>
        </w:rPr>
        <w:t>三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</w:rPr>
        <w:t>部分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6"/>
          <w:lang w:val="en-US" w:eastAsia="zh-CN"/>
        </w:rPr>
        <w:t>提升金融服务实体经济质效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6"/>
        </w:rPr>
        <w:t>做精做优“科技金融、数字金融、养老金融”，做新做实“普惠金融、绿色金融”，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为实体经济发展提供强力金融支持。</w:t>
      </w:r>
    </w:p>
    <w:p w14:paraId="5604B752">
      <w:pPr>
        <w:spacing w:after="0" w:line="560" w:lineRule="exact"/>
        <w:ind w:firstLine="643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</w:rPr>
        <w:t>第四部分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  <w:lang w:val="en-US" w:eastAsia="zh-CN"/>
        </w:rPr>
        <w:t xml:space="preserve"> 推动金融领域高水平对外开放。</w:t>
      </w:r>
      <w:r>
        <w:rPr>
          <w:rFonts w:hint="eastAsia" w:ascii="仿宋_GB2312" w:hAnsi="Calibri" w:eastAsia="仿宋_GB2312" w:cs="Times New Roman"/>
          <w:sz w:val="32"/>
          <w:szCs w:val="32"/>
        </w:rPr>
        <w:t>紧抓深化“两区”建设机遇，稳妥推进金融领域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Hans"/>
        </w:rPr>
        <w:t>制度</w:t>
      </w:r>
      <w:r>
        <w:rPr>
          <w:rFonts w:hint="eastAsia" w:ascii="仿宋_GB2312" w:hAnsi="Calibri" w:eastAsia="仿宋_GB2312" w:cs="Times New Roman"/>
          <w:sz w:val="32"/>
          <w:szCs w:val="32"/>
        </w:rPr>
        <w:t>型开放，打造首都开放型金融生态区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高水平举办系列金融品牌活动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D1D2F12">
      <w:pPr>
        <w:spacing w:after="0" w:line="560" w:lineRule="exact"/>
        <w:ind w:firstLine="643" w:firstLineChars="200"/>
        <w:textAlignment w:val="center"/>
        <w:outlineLvl w:val="1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  <w:lang w:val="en-US" w:eastAsia="zh-CN"/>
        </w:rPr>
        <w:t xml:space="preserve">第五部分 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</w:rPr>
        <w:t>增强金融风险防范化解能力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  <w:lang w:eastAsia="zh-CN"/>
        </w:rPr>
        <w:t>。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统筹发展和安全，健全金融风险防范化解工作体系，有序推进金融风险化解处置，提升现代金融多元调解服务能力。</w:t>
      </w:r>
    </w:p>
    <w:p w14:paraId="5680E6D3">
      <w:pPr>
        <w:spacing w:after="0" w:line="556" w:lineRule="exact"/>
        <w:ind w:firstLine="643" w:firstLineChars="200"/>
        <w:textAlignment w:val="center"/>
        <w:rPr>
          <w:rFonts w:ascii="Times New Roman" w:hAnsi="Times New Roman" w:eastAsia="仿宋_GB2312" w:cs="Times New Roman"/>
          <w:color w:val="000000"/>
          <w:sz w:val="32"/>
          <w:szCs w:val="36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</w:rPr>
        <w:t>第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  <w:lang w:val="en-US" w:eastAsia="zh-CN"/>
        </w:rPr>
        <w:t>六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</w:rPr>
        <w:t>部分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6"/>
          <w:lang w:val="en-US" w:eastAsia="zh-CN"/>
        </w:rPr>
        <w:t xml:space="preserve"> 保障措施。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从</w:t>
      </w:r>
      <w:bookmarkStart w:id="0" w:name="_Toc192507545"/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val="en-US" w:eastAsia="zh-CN"/>
        </w:rPr>
        <w:t>加强党的领导、强化组织实施、加大服务保障、开展</w:t>
      </w:r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规划评估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方面提出保障措施，确保规划各项目标任务高质量完成。</w:t>
      </w:r>
    </w:p>
    <w:p w14:paraId="2A2422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left"/>
        <w:textAlignment w:val="center"/>
        <w:outlineLvl w:val="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四、其他需要说明的问题任务</w:t>
      </w:r>
    </w:p>
    <w:p w14:paraId="7D965567">
      <w:pPr>
        <w:spacing w:after="0" w:line="556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6"/>
        </w:rPr>
        <w:t>无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6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9620E"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AD1277">
                          <w:pPr>
                            <w:pStyle w:val="1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AD1277">
                    <w:pPr>
                      <w:pStyle w:val="1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6A7569"/>
    <w:multiLevelType w:val="singleLevel"/>
    <w:tmpl w:val="086A756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D3E"/>
    <w:rsid w:val="00133A77"/>
    <w:rsid w:val="00984F60"/>
    <w:rsid w:val="00A74D3E"/>
    <w:rsid w:val="00C209CA"/>
    <w:rsid w:val="00F72CA9"/>
    <w:rsid w:val="05535400"/>
    <w:rsid w:val="09296F84"/>
    <w:rsid w:val="0B132FB7"/>
    <w:rsid w:val="0B1A3DD1"/>
    <w:rsid w:val="0C324F16"/>
    <w:rsid w:val="0D643474"/>
    <w:rsid w:val="0F5C4941"/>
    <w:rsid w:val="0F903249"/>
    <w:rsid w:val="104D2642"/>
    <w:rsid w:val="11150F0E"/>
    <w:rsid w:val="13677A7B"/>
    <w:rsid w:val="182B30B6"/>
    <w:rsid w:val="19737C5F"/>
    <w:rsid w:val="1D2B3169"/>
    <w:rsid w:val="1FD3140F"/>
    <w:rsid w:val="212826F4"/>
    <w:rsid w:val="22405A17"/>
    <w:rsid w:val="252B4438"/>
    <w:rsid w:val="278D1050"/>
    <w:rsid w:val="27B119B4"/>
    <w:rsid w:val="296C603F"/>
    <w:rsid w:val="2B970537"/>
    <w:rsid w:val="2BDC5B80"/>
    <w:rsid w:val="2D641828"/>
    <w:rsid w:val="2F731EE4"/>
    <w:rsid w:val="2FE1240E"/>
    <w:rsid w:val="32D820B0"/>
    <w:rsid w:val="32DC2C73"/>
    <w:rsid w:val="3A2B5FA3"/>
    <w:rsid w:val="3BD83514"/>
    <w:rsid w:val="3C89795C"/>
    <w:rsid w:val="3CE469C4"/>
    <w:rsid w:val="419378A9"/>
    <w:rsid w:val="43216E1A"/>
    <w:rsid w:val="437466E4"/>
    <w:rsid w:val="43C17982"/>
    <w:rsid w:val="4554210E"/>
    <w:rsid w:val="482E2A91"/>
    <w:rsid w:val="4942492D"/>
    <w:rsid w:val="49DC3A37"/>
    <w:rsid w:val="4CAF55C3"/>
    <w:rsid w:val="4E616639"/>
    <w:rsid w:val="4FF54646"/>
    <w:rsid w:val="53F6470D"/>
    <w:rsid w:val="5A076E80"/>
    <w:rsid w:val="5A1B4488"/>
    <w:rsid w:val="5C8D77D5"/>
    <w:rsid w:val="616404C2"/>
    <w:rsid w:val="63F271E2"/>
    <w:rsid w:val="67DA6204"/>
    <w:rsid w:val="6D15307C"/>
    <w:rsid w:val="6E8E3022"/>
    <w:rsid w:val="6F853E06"/>
    <w:rsid w:val="70A364C8"/>
    <w:rsid w:val="71254D6D"/>
    <w:rsid w:val="71706B42"/>
    <w:rsid w:val="7196291D"/>
    <w:rsid w:val="71995F66"/>
    <w:rsid w:val="722257AC"/>
    <w:rsid w:val="77D61957"/>
    <w:rsid w:val="78E56431"/>
    <w:rsid w:val="7935635D"/>
    <w:rsid w:val="7A6A0ACD"/>
    <w:rsid w:val="7B1D0D76"/>
    <w:rsid w:val="7CBA3570"/>
    <w:rsid w:val="7CC1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23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paragraph" w:styleId="5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6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7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8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  <w:sz w:val="24"/>
      <w:szCs w:val="24"/>
    </w:rPr>
  </w:style>
  <w:style w:type="paragraph" w:styleId="9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76092" w:themeColor="accent1" w:themeShade="BF"/>
    </w:rPr>
  </w:style>
  <w:style w:type="paragraph" w:styleId="10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8"/>
    <w:basedOn w:val="1"/>
    <w:next w:val="1"/>
    <w:link w:val="30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40" w:line="276" w:lineRule="auto"/>
    </w:pPr>
  </w:style>
  <w:style w:type="paragraph" w:customStyle="1" w:styleId="3">
    <w:name w:val="toc 11"/>
    <w:next w:val="1"/>
    <w:qFormat/>
    <w:uiPriority w:val="0"/>
    <w:pPr>
      <w:wordWrap w:val="0"/>
      <w:spacing w:after="160" w:line="259" w:lineRule="auto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13">
    <w:name w:val="annotation text"/>
    <w:basedOn w:val="1"/>
    <w:link w:val="41"/>
    <w:semiHidden/>
    <w:unhideWhenUsed/>
    <w:qFormat/>
    <w:uiPriority w:val="99"/>
    <w:pPr>
      <w:jc w:val="left"/>
    </w:pPr>
  </w:style>
  <w:style w:type="paragraph" w:styleId="1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6">
    <w:name w:val="Subtitle"/>
    <w:basedOn w:val="1"/>
    <w:next w:val="1"/>
    <w:link w:val="33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32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3"/>
    <w:next w:val="13"/>
    <w:link w:val="42"/>
    <w:semiHidden/>
    <w:unhideWhenUsed/>
    <w:qFormat/>
    <w:uiPriority w:val="99"/>
    <w:rPr>
      <w:b/>
      <w:bCs/>
    </w:rPr>
  </w:style>
  <w:style w:type="character" w:styleId="21">
    <w:name w:val="annotation reference"/>
    <w:basedOn w:val="20"/>
    <w:semiHidden/>
    <w:unhideWhenUsed/>
    <w:qFormat/>
    <w:uiPriority w:val="99"/>
    <w:rPr>
      <w:sz w:val="21"/>
      <w:szCs w:val="21"/>
    </w:rPr>
  </w:style>
  <w:style w:type="paragraph" w:customStyle="1" w:styleId="22">
    <w:name w:val="PlainText"/>
    <w:basedOn w:val="1"/>
    <w:next w:val="1"/>
    <w:qFormat/>
    <w:uiPriority w:val="0"/>
    <w:pPr>
      <w:spacing w:line="240" w:lineRule="auto"/>
      <w:jc w:val="both"/>
    </w:pPr>
    <w:rPr>
      <w:rFonts w:ascii="宋体" w:hAnsi="宋体" w:eastAsia="宋体"/>
      <w:color w:val="000000"/>
      <w:kern w:val="2"/>
      <w:sz w:val="21"/>
      <w:szCs w:val="21"/>
      <w:lang w:val="en-US" w:eastAsia="zh-CN" w:bidi="ar-SA"/>
    </w:rPr>
  </w:style>
  <w:style w:type="character" w:customStyle="1" w:styleId="23">
    <w:name w:val="标题 1 字符"/>
    <w:basedOn w:val="20"/>
    <w:link w:val="4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character" w:customStyle="1" w:styleId="24">
    <w:name w:val="标题 2 字符"/>
    <w:basedOn w:val="20"/>
    <w:link w:val="5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25">
    <w:name w:val="标题 3 字符"/>
    <w:basedOn w:val="20"/>
    <w:link w:val="6"/>
    <w:semiHidden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26">
    <w:name w:val="标题 4 字符"/>
    <w:basedOn w:val="20"/>
    <w:link w:val="7"/>
    <w:semiHidden/>
    <w:qFormat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27">
    <w:name w:val="标题 5 字符"/>
    <w:basedOn w:val="20"/>
    <w:link w:val="8"/>
    <w:semiHidden/>
    <w:qFormat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28">
    <w:name w:val="标题 6 字符"/>
    <w:basedOn w:val="20"/>
    <w:link w:val="9"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29">
    <w:name w:val="标题 7 字符"/>
    <w:basedOn w:val="20"/>
    <w:link w:val="10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20"/>
    <w:link w:val="11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20"/>
    <w:link w:val="12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20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20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Intense Emphasis"/>
    <w:basedOn w:val="20"/>
    <w:qFormat/>
    <w:uiPriority w:val="21"/>
    <w:rPr>
      <w:i/>
      <w:iCs/>
      <w:color w:val="376092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9">
    <w:name w:val="明显引用 字符"/>
    <w:basedOn w:val="20"/>
    <w:link w:val="38"/>
    <w:qFormat/>
    <w:uiPriority w:val="30"/>
    <w:rPr>
      <w:i/>
      <w:iCs/>
      <w:color w:val="376092" w:themeColor="accent1" w:themeShade="BF"/>
    </w:rPr>
  </w:style>
  <w:style w:type="character" w:customStyle="1" w:styleId="40">
    <w:name w:val="Intense Reference"/>
    <w:basedOn w:val="20"/>
    <w:qFormat/>
    <w:uiPriority w:val="32"/>
    <w:rPr>
      <w:b/>
      <w:bCs/>
      <w:smallCaps/>
      <w:color w:val="376092" w:themeColor="accent1" w:themeShade="BF"/>
      <w:spacing w:val="5"/>
    </w:rPr>
  </w:style>
  <w:style w:type="character" w:customStyle="1" w:styleId="41">
    <w:name w:val="批注文字 字符"/>
    <w:basedOn w:val="20"/>
    <w:link w:val="13"/>
    <w:semiHidden/>
    <w:qFormat/>
    <w:uiPriority w:val="99"/>
  </w:style>
  <w:style w:type="character" w:customStyle="1" w:styleId="42">
    <w:name w:val="批注主题 字符"/>
    <w:basedOn w:val="41"/>
    <w:link w:val="18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1162</Words>
  <Characters>1166</Characters>
  <Lines>24</Lines>
  <Paragraphs>17</Paragraphs>
  <TotalTime>4</TotalTime>
  <ScaleCrop>false</ScaleCrop>
  <LinksUpToDate>false</LinksUpToDate>
  <CharactersWithSpaces>1166</CharactersWithSpaces>
  <Application>WPS Office_12.8.2.17148_F1E327BC-269C-435d-A152-05C5408002CA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2026-07-20T01:17:00Z</dcterms:created>
  <dc:creator>XUE</dc:creator>
  <cp:lastModifiedBy>丁雪松</cp:lastModifiedBy>
  <dcterms:modified xsi:type="dcterms:W3CDTF">2026-07-23T03:30:19Z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eyJoZGlkIjoiYjZlODBlOWJiZjdkZGM1ODZjM2VmOWEwMjhkYTQxZjUiLCJ1c2VySWQiOiI5MjY2MTk1MDcifQ==</vt:lpwstr>
  </property>
  <property fmtid="{D5CDD505-2E9C-101B-9397-08002B2CF9AE}" pid="3" name="KSOProductBuildVer">
    <vt:lpwstr>2052-12.8.2.17148</vt:lpwstr>
  </property>
  <property fmtid="{D5CDD505-2E9C-101B-9397-08002B2CF9AE}" pid="4" name="ICV">
    <vt:lpwstr>12B4FFAE205D43B6BB728C7E80E50634_13</vt:lpwstr>
  </property>
</Properties>
</file>