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小标宋简体" w:hAnsi="宋体" w:eastAsia="方正小标宋简体"/>
          <w:b w:val="0"/>
          <w:bCs w:val="0"/>
          <w:sz w:val="28"/>
          <w:szCs w:val="28"/>
          <w:lang w:val="en-US" w:eastAsia="zh-CN"/>
        </w:rPr>
      </w:pPr>
      <w:r>
        <w:rPr>
          <w:rFonts w:hint="eastAsia" w:ascii="方正小标宋简体" w:hAnsi="宋体" w:eastAsia="方正小标宋简体"/>
          <w:b w:val="0"/>
          <w:bCs w:val="0"/>
          <w:sz w:val="28"/>
          <w:szCs w:val="28"/>
          <w:lang w:eastAsia="zh-CN"/>
        </w:rPr>
        <w:t>附件</w:t>
      </w:r>
      <w:r>
        <w:rPr>
          <w:rFonts w:hint="eastAsia" w:ascii="方正小标宋简体" w:hAnsi="宋体" w:eastAsia="方正小标宋简体"/>
          <w:b w:val="0"/>
          <w:bCs w:val="0"/>
          <w:sz w:val="28"/>
          <w:szCs w:val="28"/>
          <w:lang w:val="en-US" w:eastAsia="zh-CN"/>
        </w:rPr>
        <w:t>2：</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关于《北京市西城区科技企业孵化器认定、</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评价及支持办法</w:t>
      </w:r>
      <w:r>
        <w:rPr>
          <w:rFonts w:hint="eastAsia" w:ascii="方正小标宋简体" w:hAnsi="宋体" w:eastAsia="方正小标宋简体"/>
          <w:sz w:val="44"/>
          <w:szCs w:val="44"/>
          <w:lang w:eastAsia="zh-CN"/>
        </w:rPr>
        <w:t>（审议稿）</w:t>
      </w:r>
      <w:r>
        <w:rPr>
          <w:rFonts w:hint="eastAsia" w:ascii="方正小标宋简体" w:hAnsi="宋体" w:eastAsia="方正小标宋简体"/>
          <w:sz w:val="44"/>
          <w:szCs w:val="44"/>
        </w:rPr>
        <w:t>》</w:t>
      </w:r>
      <w:r>
        <w:rPr>
          <w:rFonts w:hint="eastAsia" w:ascii="方正小标宋简体" w:hAnsi="宋体" w:eastAsia="方正小标宋简体"/>
          <w:sz w:val="44"/>
          <w:szCs w:val="44"/>
          <w:lang w:eastAsia="zh-CN"/>
        </w:rPr>
        <w:t>的起草说明</w:t>
      </w:r>
    </w:p>
    <w:p>
      <w:pPr>
        <w:spacing w:line="560" w:lineRule="exact"/>
        <w:jc w:val="center"/>
        <w:rPr>
          <w:rFonts w:hint="eastAsia" w:ascii="黑体" w:hAnsi="黑体" w:eastAsia="黑体"/>
          <w:sz w:val="32"/>
          <w:szCs w:val="32"/>
        </w:rPr>
      </w:pPr>
      <w:r>
        <w:rPr>
          <w:rFonts w:hint="eastAsia" w:ascii="楷体_GB2312" w:hAnsi="宋体" w:eastAsia="楷体_GB2312"/>
          <w:sz w:val="32"/>
          <w:szCs w:val="32"/>
        </w:rPr>
        <w:t>西城园管委会（区科委）</w:t>
      </w:r>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kern w:val="2"/>
          <w:sz w:val="32"/>
          <w:szCs w:val="32"/>
          <w:lang w:eastAsia="zh-CN"/>
        </w:rPr>
      </w:pPr>
    </w:p>
    <w:p>
      <w:pPr>
        <w:spacing w:line="560" w:lineRule="exact"/>
        <w:ind w:firstLine="640" w:firstLineChars="200"/>
        <w:rPr>
          <w:rFonts w:hint="eastAsia" w:ascii="仿宋_GB2312" w:hAnsi="仿宋_GB2312" w:eastAsia="仿宋_GB2312" w:cs="仿宋_GB2312"/>
          <w:kern w:val="2"/>
          <w:sz w:val="32"/>
          <w:szCs w:val="32"/>
          <w:lang w:eastAsia="zh-CN"/>
        </w:rPr>
      </w:pPr>
      <w:r>
        <w:rPr>
          <w:rFonts w:hint="eastAsia" w:ascii="黑体" w:hAnsi="黑体" w:eastAsia="黑体"/>
          <w:sz w:val="32"/>
          <w:szCs w:val="32"/>
        </w:rPr>
        <w:t>一、</w:t>
      </w:r>
      <w:r>
        <w:rPr>
          <w:rFonts w:hint="eastAsia" w:ascii="黑体" w:hAnsi="黑体" w:eastAsia="黑体"/>
          <w:sz w:val="32"/>
          <w:szCs w:val="32"/>
          <w:lang w:val="en-US" w:eastAsia="zh-CN"/>
        </w:rPr>
        <w:t>制定</w:t>
      </w:r>
      <w:r>
        <w:rPr>
          <w:rFonts w:hint="eastAsia" w:ascii="黑体" w:hAnsi="黑体" w:eastAsia="黑体"/>
          <w:sz w:val="32"/>
          <w:szCs w:val="32"/>
        </w:rPr>
        <w:t>背景</w:t>
      </w:r>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eastAsia="zh-CN"/>
        </w:rPr>
        <w:t>为推动我区科技创新和产业创新深度融合，促进科技型企业孵化器高质量发展，落实</w:t>
      </w:r>
      <w:r>
        <w:rPr>
          <w:rFonts w:hint="eastAsia" w:ascii="仿宋_GB2312" w:hAnsi="仿宋_GB2312" w:eastAsia="仿宋_GB2312" w:cs="仿宋_GB2312"/>
          <w:sz w:val="32"/>
          <w:szCs w:val="32"/>
          <w:lang w:eastAsia="zh-CN"/>
        </w:rPr>
        <w:t>《北京市西城区促进科技创新及中关村科技园区西城园高质量发展的若干措施》（“科创十二条”）第七条第一款的政策，我委对原有办法进行修订，现已形成了《北京市西城区科技企业孵化器认定、评价及支持办法（审议稿）》，作为该政策条款的实施细则。</w:t>
      </w:r>
      <w:bookmarkStart w:id="0" w:name="OLE_LINK1"/>
    </w:p>
    <w:bookmarkEnd w:id="0"/>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修订情况</w:t>
      </w:r>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版办法内容涉及资质认定、资格复核、考核评价和资金支持，各环节层层衔接。首先，通过前置条件，对符合标准的孵化器予以认定，并给予基础运营支持；其次，对已认定孵化器每年开展复核，动态检验其是否持续符合认定标准；在此基础上，依托多维指标和孵化成果开展考核和综合评定。总体上，新版办法在各环节标准整体提升，主要体现在以下三个方面：</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Lines="0" w:after="0" w:afterLines="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（一）注重孵化效能，引导认定标准向成效化转变</w:t>
      </w:r>
    </w:p>
    <w:p>
      <w:pPr>
        <w:keepNext w:val="0"/>
        <w:keepLines w:val="0"/>
        <w:pageBreakBefore w:val="0"/>
        <w:kinsoku/>
        <w:overflowPunct/>
        <w:topLinePunct w:val="0"/>
        <w:autoSpaceDE/>
        <w:autoSpaceDN/>
        <w:bidi w:val="0"/>
        <w:adjustRightInd/>
        <w:snapToGrid/>
        <w:spacing w:line="560" w:lineRule="exact"/>
        <w:ind w:leftChars="0" w:firstLine="640" w:firstLineChars="200"/>
        <w:textAlignment w:val="auto"/>
        <w:rPr>
          <w:rFonts w:hint="eastAsia"/>
          <w:lang w:eastAsia="zh-CN"/>
        </w:rPr>
      </w:pPr>
      <w:r>
        <w:rPr>
          <w:rFonts w:hint="eastAsia" w:ascii="仿宋_GB2312" w:hAnsi="仿宋_GB2312" w:eastAsia="仿宋_GB2312" w:cs="仿宋_GB2312"/>
          <w:sz w:val="32"/>
          <w:szCs w:val="32"/>
          <w:lang w:eastAsia="zh-CN"/>
        </w:rPr>
        <w:t>新版办法更加突出孵化能力考核，一是新增在孵企业增量的要求，更加注重企业实际培育成果；二是首次将专业服务收入纳入认定条件，引导孵化器由依赖空间租赁向提供专业化服务转变；三是结合我区空间载体规模相对较小、产业资源密度较高的实际，将最低可自主支配孵化面积调整为1000平方米，在降低空间硬门槛的同时，支持“小而精、小而专、小而活”的专业化孵化载体发展。</w:t>
      </w:r>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（二）突出产业布局，推动孵化器差异化发展</w:t>
      </w:r>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新版办法</w:t>
      </w:r>
      <w:bookmarkStart w:id="1" w:name="OLE_LINK2"/>
      <w:r>
        <w:rPr>
          <w:rFonts w:hint="eastAsia" w:ascii="仿宋_GB2312" w:hAnsi="仿宋_GB2312" w:eastAsia="仿宋_GB2312" w:cs="仿宋_GB2312"/>
          <w:sz w:val="32"/>
          <w:szCs w:val="32"/>
          <w:lang w:eastAsia="zh-CN"/>
        </w:rPr>
        <w:t>将“特色垂类产业方向企业集聚占比”列入动态评价表中，要求申报机构结合自身资源禀赋和专业服务能力明确产业方向，引导不同孵化器围绕全区科技产业布局，在数字经济、人工智能、金融科技等细分领域形成特色定位，推动其专业化、垂直化发展，避免同质化竞争，使孵化器由单纯空间载体向产业谋划平台转变。</w:t>
      </w:r>
      <w:bookmarkEnd w:id="1"/>
    </w:p>
    <w:p>
      <w:pPr>
        <w:pStyle w:val="3"/>
        <w:keepNext w:val="0"/>
        <w:keepLines w:val="0"/>
        <w:pageBreakBefore w:val="0"/>
        <w:widowControl/>
        <w:kinsoku/>
        <w:wordWrap w:val="0"/>
        <w:overflowPunct/>
        <w:topLinePunct w:val="0"/>
        <w:autoSpaceDE/>
        <w:autoSpaceDN/>
        <w:bidi w:val="0"/>
        <w:adjustRightInd/>
        <w:snapToGrid/>
        <w:spacing w:beforeLines="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（三）优化支持方式，强调体系化政策激励</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新版办法构建了资质认定资金、效能激励资金和专项奖励资金的支持体系。对按照高标准通过认定的区级科技企业孵化器，每年围绕服务能力、孵化绩效和可持续发展水平等对孵化器开展动态评价；同时，对孵化器在服务能力提升、企业培育等方面形成的孵化成果给予专项奖励支持。</w:t>
      </w:r>
    </w:p>
    <w:p>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color w:val="000000"/>
          <w:sz w:val="32"/>
          <w:szCs w:val="32"/>
        </w:rPr>
        <w:t>三、主要内容</w:t>
      </w:r>
    </w:p>
    <w:p>
      <w:pPr>
        <w:pStyle w:val="7"/>
        <w:spacing w:beforeAutospacing="0" w:afterAutospacing="0" w:line="560" w:lineRule="exact"/>
        <w:ind w:firstLine="640"/>
        <w:jc w:val="both"/>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办法</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共</w:t>
      </w:r>
      <w:r>
        <w:rPr>
          <w:rFonts w:hint="eastAsia" w:ascii="仿宋_GB2312" w:eastAsia="仿宋_GB2312" w:cs="仿宋_GB2312"/>
          <w:color w:val="000000"/>
          <w:sz w:val="32"/>
          <w:szCs w:val="32"/>
          <w:lang w:val="en-US" w:eastAsia="zh-CN"/>
        </w:rPr>
        <w:t>六</w:t>
      </w:r>
      <w:r>
        <w:rPr>
          <w:rFonts w:hint="eastAsia" w:ascii="仿宋_GB2312" w:eastAsia="仿宋_GB2312" w:cs="仿宋_GB2312"/>
          <w:color w:val="000000"/>
          <w:sz w:val="32"/>
          <w:szCs w:val="32"/>
        </w:rPr>
        <w:t>章</w:t>
      </w:r>
      <w:r>
        <w:rPr>
          <w:rFonts w:hint="eastAsia" w:ascii="仿宋_GB2312" w:eastAsia="仿宋_GB2312" w:cs="仿宋_GB2312"/>
          <w:color w:val="000000"/>
          <w:sz w:val="32"/>
          <w:szCs w:val="32"/>
          <w:lang w:eastAsia="zh-CN"/>
        </w:rPr>
        <w:t>十八</w:t>
      </w:r>
      <w:r>
        <w:rPr>
          <w:rFonts w:hint="eastAsia" w:ascii="仿宋_GB2312" w:eastAsia="仿宋_GB2312" w:cs="仿宋_GB2312"/>
          <w:color w:val="000000"/>
          <w:sz w:val="32"/>
          <w:szCs w:val="32"/>
        </w:rPr>
        <w:t>条，包括总则</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认定条件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认定与复核</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评价与支持</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变更与撤销</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附则。</w:t>
      </w:r>
      <w:r>
        <w:rPr>
          <w:rFonts w:hint="eastAsia" w:ascii="仿宋_GB2312" w:eastAsia="仿宋_GB2312" w:cs="仿宋_GB2312"/>
          <w:color w:val="000000"/>
          <w:sz w:val="32"/>
          <w:szCs w:val="32"/>
          <w:lang w:val="en-US" w:eastAsia="zh-CN"/>
        </w:rPr>
        <w:t>主要内容如下：</w:t>
      </w:r>
    </w:p>
    <w:p>
      <w:pPr>
        <w:pStyle w:val="7"/>
        <w:spacing w:beforeAutospacing="0" w:afterAutospacing="0" w:line="560" w:lineRule="exact"/>
        <w:ind w:firstLine="640"/>
        <w:jc w:val="both"/>
        <w:rPr>
          <w:rFonts w:hint="default"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第一章</w:t>
      </w:r>
      <w:r>
        <w:rPr>
          <w:rFonts w:hint="default" w:ascii="仿宋_GB2312" w:eastAsia="仿宋_GB2312" w:cs="仿宋_GB2312"/>
          <w:b/>
          <w:bCs/>
          <w:color w:val="000000"/>
          <w:sz w:val="32"/>
          <w:szCs w:val="32"/>
          <w:lang w:val="en-US" w:eastAsia="zh-CN"/>
        </w:rPr>
        <w:t>总则</w:t>
      </w:r>
      <w:r>
        <w:rPr>
          <w:rFonts w:hint="eastAsia" w:ascii="仿宋_GB2312" w:eastAsia="仿宋_GB2312" w:cs="仿宋_GB2312"/>
          <w:b/>
          <w:bCs/>
          <w:color w:val="000000"/>
          <w:sz w:val="32"/>
          <w:szCs w:val="32"/>
          <w:lang w:val="en-US" w:eastAsia="zh-CN"/>
        </w:rPr>
        <w:t>，共五条。</w:t>
      </w:r>
      <w:r>
        <w:rPr>
          <w:rFonts w:hint="eastAsia" w:ascii="仿宋_GB2312" w:eastAsia="仿宋_GB2312" w:cs="仿宋_GB2312"/>
          <w:color w:val="000000"/>
          <w:sz w:val="32"/>
          <w:szCs w:val="32"/>
          <w:lang w:val="en-US" w:eastAsia="zh-CN"/>
        </w:rPr>
        <w:t>主要包括制定</w:t>
      </w:r>
      <w:r>
        <w:rPr>
          <w:rFonts w:hint="default" w:ascii="仿宋_GB2312" w:eastAsia="仿宋_GB2312" w:cs="仿宋_GB2312"/>
          <w:color w:val="000000"/>
          <w:sz w:val="32"/>
          <w:szCs w:val="32"/>
          <w:lang w:val="en-US" w:eastAsia="zh-CN"/>
        </w:rPr>
        <w:t>依据、适用范围和基本原则</w:t>
      </w:r>
      <w:r>
        <w:rPr>
          <w:rFonts w:hint="eastAsia" w:ascii="仿宋_GB2312" w:eastAsia="仿宋_GB2312" w:cs="仿宋_GB2312"/>
          <w:color w:val="000000"/>
          <w:sz w:val="32"/>
          <w:szCs w:val="32"/>
          <w:lang w:val="en-US" w:eastAsia="zh-CN"/>
        </w:rPr>
        <w:t>。</w:t>
      </w:r>
    </w:p>
    <w:p>
      <w:pPr>
        <w:pStyle w:val="7"/>
        <w:spacing w:beforeAutospacing="0" w:afterAutospacing="0" w:line="560" w:lineRule="exact"/>
        <w:ind w:firstLine="640"/>
        <w:jc w:val="both"/>
        <w:rPr>
          <w:rFonts w:hint="default"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第二章</w:t>
      </w:r>
      <w:r>
        <w:rPr>
          <w:rFonts w:hint="default" w:ascii="仿宋_GB2312" w:eastAsia="仿宋_GB2312" w:cs="仿宋_GB2312"/>
          <w:b/>
          <w:bCs/>
          <w:color w:val="000000"/>
          <w:sz w:val="32"/>
          <w:szCs w:val="32"/>
          <w:lang w:val="en-US" w:eastAsia="zh-CN"/>
        </w:rPr>
        <w:t>认定条件</w:t>
      </w:r>
      <w:r>
        <w:rPr>
          <w:rFonts w:hint="eastAsia" w:ascii="仿宋_GB2312" w:eastAsia="仿宋_GB2312" w:cs="仿宋_GB2312"/>
          <w:b/>
          <w:bCs/>
          <w:color w:val="000000"/>
          <w:sz w:val="32"/>
          <w:szCs w:val="32"/>
          <w:lang w:val="en-US" w:eastAsia="zh-CN"/>
        </w:rPr>
        <w:t>，共一条。</w:t>
      </w:r>
      <w:r>
        <w:rPr>
          <w:rFonts w:hint="eastAsia" w:ascii="仿宋_GB2312" w:eastAsia="仿宋_GB2312" w:cs="仿宋_GB2312"/>
          <w:color w:val="000000"/>
          <w:sz w:val="32"/>
          <w:szCs w:val="32"/>
          <w:lang w:val="en-US" w:eastAsia="zh-CN"/>
        </w:rPr>
        <w:t>主要包括</w:t>
      </w:r>
      <w:bookmarkStart w:id="2" w:name="_GoBack"/>
      <w:bookmarkEnd w:id="2"/>
      <w:r>
        <w:rPr>
          <w:rFonts w:hint="default" w:ascii="仿宋_GB2312" w:eastAsia="仿宋_GB2312" w:cs="仿宋_GB2312"/>
          <w:color w:val="000000"/>
          <w:sz w:val="32"/>
          <w:szCs w:val="32"/>
          <w:lang w:val="en-US" w:eastAsia="zh-CN"/>
        </w:rPr>
        <w:t>申请区级科技企业孵化器</w:t>
      </w:r>
      <w:r>
        <w:rPr>
          <w:rFonts w:hint="eastAsia" w:ascii="仿宋_GB2312" w:eastAsia="仿宋_GB2312" w:cs="仿宋_GB2312"/>
          <w:color w:val="000000"/>
          <w:sz w:val="32"/>
          <w:szCs w:val="32"/>
          <w:lang w:val="en-US" w:eastAsia="zh-CN"/>
        </w:rPr>
        <w:t>的运营单位</w:t>
      </w:r>
      <w:r>
        <w:rPr>
          <w:rFonts w:hint="default" w:ascii="仿宋_GB2312" w:eastAsia="仿宋_GB2312" w:cs="仿宋_GB2312"/>
          <w:color w:val="000000"/>
          <w:sz w:val="32"/>
          <w:szCs w:val="32"/>
          <w:lang w:val="en-US" w:eastAsia="zh-CN"/>
        </w:rPr>
        <w:t>应具备</w:t>
      </w:r>
      <w:r>
        <w:rPr>
          <w:rFonts w:hint="eastAsia" w:ascii="仿宋_GB2312" w:eastAsia="仿宋_GB2312" w:cs="仿宋_GB2312"/>
          <w:color w:val="000000"/>
          <w:sz w:val="32"/>
          <w:szCs w:val="32"/>
          <w:lang w:val="en-US" w:eastAsia="zh-CN"/>
        </w:rPr>
        <w:t>的具体</w:t>
      </w:r>
      <w:r>
        <w:rPr>
          <w:rFonts w:hint="default" w:ascii="仿宋_GB2312" w:eastAsia="仿宋_GB2312" w:cs="仿宋_GB2312"/>
          <w:color w:val="000000"/>
          <w:sz w:val="32"/>
          <w:szCs w:val="32"/>
          <w:lang w:val="en-US" w:eastAsia="zh-CN"/>
        </w:rPr>
        <w:t>条件</w:t>
      </w:r>
      <w:r>
        <w:rPr>
          <w:rFonts w:hint="eastAsia" w:ascii="仿宋_GB2312" w:eastAsia="仿宋_GB2312" w:cs="仿宋_GB2312"/>
          <w:color w:val="000000"/>
          <w:sz w:val="32"/>
          <w:szCs w:val="32"/>
          <w:lang w:val="en-US" w:eastAsia="zh-CN"/>
        </w:rPr>
        <w:t>。</w:t>
      </w:r>
    </w:p>
    <w:p>
      <w:pPr>
        <w:pStyle w:val="7"/>
        <w:spacing w:beforeAutospacing="0" w:afterAutospacing="0" w:line="560" w:lineRule="exact"/>
        <w:ind w:firstLine="640"/>
        <w:jc w:val="both"/>
        <w:rPr>
          <w:rFonts w:hint="default"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第三章</w:t>
      </w:r>
      <w:r>
        <w:rPr>
          <w:rFonts w:hint="default" w:ascii="仿宋_GB2312" w:eastAsia="仿宋_GB2312" w:cs="仿宋_GB2312"/>
          <w:b/>
          <w:bCs/>
          <w:color w:val="000000"/>
          <w:sz w:val="32"/>
          <w:szCs w:val="32"/>
          <w:lang w:val="en-US" w:eastAsia="zh-CN"/>
        </w:rPr>
        <w:t>认定与复核</w:t>
      </w:r>
      <w:r>
        <w:rPr>
          <w:rFonts w:hint="eastAsia" w:ascii="仿宋_GB2312" w:eastAsia="仿宋_GB2312" w:cs="仿宋_GB2312"/>
          <w:b/>
          <w:bCs/>
          <w:color w:val="000000"/>
          <w:sz w:val="32"/>
          <w:szCs w:val="32"/>
          <w:lang w:val="en-US" w:eastAsia="zh-CN"/>
        </w:rPr>
        <w:t>，共四条。</w:t>
      </w:r>
      <w:r>
        <w:rPr>
          <w:rFonts w:hint="eastAsia" w:ascii="仿宋_GB2312" w:eastAsia="仿宋_GB2312" w:cs="仿宋_GB2312"/>
          <w:color w:val="000000"/>
          <w:sz w:val="32"/>
          <w:szCs w:val="32"/>
          <w:lang w:val="en-US" w:eastAsia="zh-CN"/>
        </w:rPr>
        <w:t>主要包括组织开展对区级科技企业孵化器申请的评审流程和资金支持额度。</w:t>
      </w:r>
    </w:p>
    <w:p>
      <w:pPr>
        <w:pStyle w:val="7"/>
        <w:spacing w:beforeAutospacing="0" w:afterAutospacing="0" w:line="560" w:lineRule="exact"/>
        <w:ind w:firstLine="640"/>
        <w:jc w:val="both"/>
        <w:rPr>
          <w:rFonts w:hint="default"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第四章</w:t>
      </w:r>
      <w:r>
        <w:rPr>
          <w:rFonts w:hint="default" w:ascii="仿宋_GB2312" w:eastAsia="仿宋_GB2312" w:cs="仿宋_GB2312"/>
          <w:b/>
          <w:bCs/>
          <w:color w:val="000000"/>
          <w:sz w:val="32"/>
          <w:szCs w:val="32"/>
          <w:lang w:val="en-US" w:eastAsia="zh-CN"/>
        </w:rPr>
        <w:t>评价与支持</w:t>
      </w:r>
      <w:r>
        <w:rPr>
          <w:rFonts w:hint="eastAsia" w:ascii="仿宋_GB2312" w:eastAsia="仿宋_GB2312" w:cs="仿宋_GB2312"/>
          <w:b/>
          <w:bCs/>
          <w:color w:val="000000"/>
          <w:sz w:val="32"/>
          <w:szCs w:val="32"/>
          <w:lang w:val="en-US" w:eastAsia="zh-CN"/>
        </w:rPr>
        <w:t>，共四条。</w:t>
      </w:r>
      <w:r>
        <w:rPr>
          <w:rFonts w:hint="eastAsia" w:ascii="仿宋_GB2312" w:eastAsia="仿宋_GB2312" w:cs="仿宋_GB2312"/>
          <w:color w:val="000000"/>
          <w:sz w:val="32"/>
          <w:szCs w:val="32"/>
          <w:lang w:val="en-US" w:eastAsia="zh-CN"/>
        </w:rPr>
        <w:t>主要围绕服务能力、孵化绩效、可持续发展水平等方面对区级科技企业孵化器进行动态评价。</w:t>
      </w:r>
    </w:p>
    <w:p>
      <w:pPr>
        <w:pStyle w:val="7"/>
        <w:spacing w:beforeAutospacing="0" w:afterAutospacing="0" w:line="560" w:lineRule="exact"/>
        <w:ind w:firstLine="640"/>
        <w:jc w:val="both"/>
        <w:rPr>
          <w:rFonts w:hint="default"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第五章</w:t>
      </w:r>
      <w:r>
        <w:rPr>
          <w:rFonts w:hint="default" w:ascii="仿宋_GB2312" w:eastAsia="仿宋_GB2312" w:cs="仿宋_GB2312"/>
          <w:b/>
          <w:bCs/>
          <w:color w:val="000000"/>
          <w:sz w:val="32"/>
          <w:szCs w:val="32"/>
          <w:lang w:val="en-US" w:eastAsia="zh-CN"/>
        </w:rPr>
        <w:t>变更与撤销</w:t>
      </w:r>
      <w:r>
        <w:rPr>
          <w:rFonts w:hint="eastAsia" w:ascii="仿宋_GB2312" w:eastAsia="仿宋_GB2312" w:cs="仿宋_GB2312"/>
          <w:b/>
          <w:bCs/>
          <w:color w:val="000000"/>
          <w:sz w:val="32"/>
          <w:szCs w:val="32"/>
          <w:lang w:val="en-US" w:eastAsia="zh-CN"/>
        </w:rPr>
        <w:t>，共三条</w:t>
      </w:r>
      <w:r>
        <w:rPr>
          <w:rFonts w:hint="eastAsia" w:ascii="仿宋_GB2312" w:eastAsia="仿宋_GB2312" w:cs="仿宋_GB2312"/>
          <w:color w:val="000000"/>
          <w:sz w:val="32"/>
          <w:szCs w:val="32"/>
          <w:lang w:val="en-US" w:eastAsia="zh-CN"/>
        </w:rPr>
        <w:t>。</w:t>
      </w:r>
      <w:r>
        <w:rPr>
          <w:rFonts w:hint="default" w:ascii="仿宋_GB2312" w:eastAsia="仿宋_GB2312" w:cs="仿宋_GB2312"/>
          <w:color w:val="000000"/>
          <w:sz w:val="32"/>
          <w:szCs w:val="32"/>
          <w:lang w:val="en-US" w:eastAsia="zh-CN"/>
        </w:rPr>
        <w:t>主要包括</w:t>
      </w:r>
      <w:r>
        <w:rPr>
          <w:rFonts w:hint="eastAsia" w:ascii="仿宋_GB2312" w:eastAsia="仿宋_GB2312" w:cs="仿宋_GB2312"/>
          <w:color w:val="000000"/>
          <w:sz w:val="32"/>
          <w:szCs w:val="32"/>
          <w:lang w:val="en-US" w:eastAsia="zh-CN"/>
        </w:rPr>
        <w:t>对孵化器重大调整和终止认定等实施过程管理要求。</w:t>
      </w:r>
    </w:p>
    <w:p>
      <w:pPr>
        <w:pStyle w:val="7"/>
        <w:spacing w:beforeAutospacing="0" w:afterAutospacing="0" w:line="560" w:lineRule="exact"/>
        <w:ind w:firstLine="640"/>
        <w:jc w:val="both"/>
        <w:rPr>
          <w:rFonts w:hint="eastAsia" w:ascii="仿宋_GB2312" w:eastAsia="仿宋_GB2312" w:cs="仿宋_GB2312"/>
          <w:color w:val="000000"/>
          <w:sz w:val="32"/>
          <w:szCs w:val="32"/>
          <w:lang w:val="en-US" w:eastAsia="zh-CN"/>
        </w:rPr>
      </w:pPr>
      <w:r>
        <w:rPr>
          <w:rFonts w:hint="eastAsia" w:ascii="仿宋_GB2312" w:eastAsia="仿宋_GB2312" w:cs="仿宋_GB2312"/>
          <w:b/>
          <w:bCs/>
          <w:color w:val="000000"/>
          <w:sz w:val="32"/>
          <w:szCs w:val="32"/>
          <w:lang w:val="en-US" w:eastAsia="zh-CN"/>
        </w:rPr>
        <w:t>第六章</w:t>
      </w:r>
      <w:r>
        <w:rPr>
          <w:rFonts w:hint="default" w:ascii="仿宋_GB2312" w:eastAsia="仿宋_GB2312" w:cs="仿宋_GB2312"/>
          <w:b/>
          <w:bCs/>
          <w:color w:val="000000"/>
          <w:sz w:val="32"/>
          <w:szCs w:val="32"/>
          <w:lang w:val="en-US" w:eastAsia="zh-CN"/>
        </w:rPr>
        <w:t>附则</w:t>
      </w:r>
      <w:r>
        <w:rPr>
          <w:rFonts w:hint="eastAsia" w:ascii="仿宋_GB2312" w:eastAsia="仿宋_GB2312" w:cs="仿宋_GB2312"/>
          <w:b/>
          <w:bCs/>
          <w:color w:val="000000"/>
          <w:sz w:val="32"/>
          <w:szCs w:val="32"/>
          <w:lang w:val="en-US" w:eastAsia="zh-CN"/>
        </w:rPr>
        <w:t>，共一条。</w:t>
      </w:r>
      <w:r>
        <w:rPr>
          <w:rFonts w:hint="default" w:ascii="仿宋_GB2312" w:eastAsia="仿宋_GB2312" w:cs="仿宋_GB2312"/>
          <w:color w:val="000000"/>
          <w:sz w:val="32"/>
          <w:szCs w:val="32"/>
          <w:lang w:val="en-US" w:eastAsia="zh-CN"/>
        </w:rPr>
        <w:t>主要</w:t>
      </w:r>
      <w:r>
        <w:rPr>
          <w:rFonts w:hint="eastAsia" w:ascii="仿宋_GB2312" w:eastAsia="仿宋_GB2312" w:cs="仿宋_GB2312"/>
          <w:color w:val="000000"/>
          <w:sz w:val="32"/>
          <w:szCs w:val="32"/>
          <w:lang w:val="en-US" w:eastAsia="zh-CN"/>
        </w:rPr>
        <w:t>说明新办法实施，则旧办法终止</w:t>
      </w:r>
      <w:r>
        <w:rPr>
          <w:rFonts w:hint="default" w:ascii="仿宋_GB2312" w:eastAsia="仿宋_GB2312" w:cs="仿宋_GB2312"/>
          <w:color w:val="000000"/>
          <w:sz w:val="32"/>
          <w:szCs w:val="32"/>
          <w:lang w:val="en-US" w:eastAsia="zh-CN"/>
        </w:rPr>
        <w:t>。</w:t>
      </w:r>
    </w:p>
    <w:p>
      <w:pPr>
        <w:wordWrap/>
        <w:jc w:val="left"/>
        <w:rPr>
          <w:rFonts w:hint="default" w:eastAsia="仿宋_GB231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C47D7"/>
    <w:rsid w:val="00815585"/>
    <w:rsid w:val="009F1099"/>
    <w:rsid w:val="01483C35"/>
    <w:rsid w:val="016B517D"/>
    <w:rsid w:val="031B553D"/>
    <w:rsid w:val="05B561FC"/>
    <w:rsid w:val="05F95698"/>
    <w:rsid w:val="06A917CF"/>
    <w:rsid w:val="06C33738"/>
    <w:rsid w:val="06D15644"/>
    <w:rsid w:val="076F57E1"/>
    <w:rsid w:val="07B9589B"/>
    <w:rsid w:val="07DD7D66"/>
    <w:rsid w:val="07E419B7"/>
    <w:rsid w:val="08F460A3"/>
    <w:rsid w:val="09564270"/>
    <w:rsid w:val="0AD032C7"/>
    <w:rsid w:val="0D2878EC"/>
    <w:rsid w:val="0D433701"/>
    <w:rsid w:val="0EC33681"/>
    <w:rsid w:val="0F7B5B50"/>
    <w:rsid w:val="110242F8"/>
    <w:rsid w:val="115805B7"/>
    <w:rsid w:val="115A4E98"/>
    <w:rsid w:val="11761226"/>
    <w:rsid w:val="1224473E"/>
    <w:rsid w:val="12822609"/>
    <w:rsid w:val="13B973E9"/>
    <w:rsid w:val="13BB6B5F"/>
    <w:rsid w:val="13F1164A"/>
    <w:rsid w:val="14AB479B"/>
    <w:rsid w:val="18BC3425"/>
    <w:rsid w:val="19135F4D"/>
    <w:rsid w:val="1A113CE0"/>
    <w:rsid w:val="1B5A1EB4"/>
    <w:rsid w:val="1BFF5B84"/>
    <w:rsid w:val="1C514137"/>
    <w:rsid w:val="1D05597E"/>
    <w:rsid w:val="1F0366EC"/>
    <w:rsid w:val="21002434"/>
    <w:rsid w:val="23837327"/>
    <w:rsid w:val="24A20836"/>
    <w:rsid w:val="25FC32AC"/>
    <w:rsid w:val="26D40CB4"/>
    <w:rsid w:val="272831FF"/>
    <w:rsid w:val="287522B6"/>
    <w:rsid w:val="2895303A"/>
    <w:rsid w:val="298C0BFA"/>
    <w:rsid w:val="2B8D4D80"/>
    <w:rsid w:val="2BAF300B"/>
    <w:rsid w:val="2C0E014F"/>
    <w:rsid w:val="2E3B7D95"/>
    <w:rsid w:val="2F044EFE"/>
    <w:rsid w:val="2F716C8B"/>
    <w:rsid w:val="322153AA"/>
    <w:rsid w:val="322A0979"/>
    <w:rsid w:val="349651F5"/>
    <w:rsid w:val="35DC5782"/>
    <w:rsid w:val="361F25B3"/>
    <w:rsid w:val="37E51FB8"/>
    <w:rsid w:val="3ABC1A4A"/>
    <w:rsid w:val="3B3342F3"/>
    <w:rsid w:val="3B5D1BD6"/>
    <w:rsid w:val="3C7C1EBF"/>
    <w:rsid w:val="3DA70E21"/>
    <w:rsid w:val="3E36053C"/>
    <w:rsid w:val="3E6B22FA"/>
    <w:rsid w:val="3F230D71"/>
    <w:rsid w:val="3FAC07B1"/>
    <w:rsid w:val="41307D02"/>
    <w:rsid w:val="416B5110"/>
    <w:rsid w:val="41825F3B"/>
    <w:rsid w:val="423B6A8D"/>
    <w:rsid w:val="43712FA2"/>
    <w:rsid w:val="43EC6CC1"/>
    <w:rsid w:val="43ED2481"/>
    <w:rsid w:val="43FB33D8"/>
    <w:rsid w:val="46FD3290"/>
    <w:rsid w:val="48B91710"/>
    <w:rsid w:val="48E57118"/>
    <w:rsid w:val="48F24EDA"/>
    <w:rsid w:val="48FB2E7D"/>
    <w:rsid w:val="492E5983"/>
    <w:rsid w:val="4AC028DD"/>
    <w:rsid w:val="4BF229E6"/>
    <w:rsid w:val="4C247D49"/>
    <w:rsid w:val="4D770C6C"/>
    <w:rsid w:val="50C86BE4"/>
    <w:rsid w:val="51797467"/>
    <w:rsid w:val="52B07760"/>
    <w:rsid w:val="53064C60"/>
    <w:rsid w:val="53D86570"/>
    <w:rsid w:val="53E678DE"/>
    <w:rsid w:val="54DA17FD"/>
    <w:rsid w:val="56073893"/>
    <w:rsid w:val="57037F56"/>
    <w:rsid w:val="57E629F4"/>
    <w:rsid w:val="582B18BB"/>
    <w:rsid w:val="582B7C0F"/>
    <w:rsid w:val="594323BE"/>
    <w:rsid w:val="5A046815"/>
    <w:rsid w:val="5A681C81"/>
    <w:rsid w:val="5A9E4284"/>
    <w:rsid w:val="5BFA3E1A"/>
    <w:rsid w:val="5C950CDC"/>
    <w:rsid w:val="5CF92F3E"/>
    <w:rsid w:val="5E5215B2"/>
    <w:rsid w:val="5EF14839"/>
    <w:rsid w:val="618D5DD6"/>
    <w:rsid w:val="63811331"/>
    <w:rsid w:val="63AF1DAC"/>
    <w:rsid w:val="63DA5EDB"/>
    <w:rsid w:val="643E337F"/>
    <w:rsid w:val="65566240"/>
    <w:rsid w:val="65F03C76"/>
    <w:rsid w:val="666769B4"/>
    <w:rsid w:val="670976AB"/>
    <w:rsid w:val="688B7D1A"/>
    <w:rsid w:val="68A47311"/>
    <w:rsid w:val="693123C5"/>
    <w:rsid w:val="6A207882"/>
    <w:rsid w:val="6B2D3C78"/>
    <w:rsid w:val="6BED2830"/>
    <w:rsid w:val="6C1831DD"/>
    <w:rsid w:val="72C628FC"/>
    <w:rsid w:val="73193427"/>
    <w:rsid w:val="734831B1"/>
    <w:rsid w:val="73CA3C7A"/>
    <w:rsid w:val="74565ADE"/>
    <w:rsid w:val="74930F1D"/>
    <w:rsid w:val="76D37271"/>
    <w:rsid w:val="77AA04C7"/>
    <w:rsid w:val="785F13B8"/>
    <w:rsid w:val="788A1A13"/>
    <w:rsid w:val="78FA61BD"/>
    <w:rsid w:val="7C4749FE"/>
    <w:rsid w:val="7E062A34"/>
    <w:rsid w:val="7E207B82"/>
    <w:rsid w:val="7EC4413F"/>
    <w:rsid w:val="7F7B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default"/>
      <w:sz w:val="21"/>
    </w:rPr>
  </w:style>
  <w:style w:type="paragraph" w:customStyle="1" w:styleId="3">
    <w:name w:val="目录 11"/>
    <w:next w:val="1"/>
    <w:unhideWhenUsed/>
    <w:qFormat/>
    <w:uiPriority w:val="0"/>
    <w:pPr>
      <w:wordWrap w:val="0"/>
      <w:spacing w:beforeLines="0" w:after="160" w:afterLines="0" w:line="278" w:lineRule="auto"/>
      <w:jc w:val="both"/>
    </w:pPr>
    <w:rPr>
      <w:rFonts w:hint="default" w:ascii="Times New Roman" w:hAnsi="Times New Roman" w:eastAsia="宋体" w:cs="Times New Roman"/>
      <w:sz w:val="21"/>
      <w:lang w:val="en-US" w:eastAsia="zh-CN"/>
    </w:rPr>
  </w:style>
  <w:style w:type="paragraph" w:styleId="4">
    <w:name w:val="Normal Indent"/>
    <w:basedOn w:val="1"/>
    <w:qFormat/>
    <w:uiPriority w:val="99"/>
    <w:pPr>
      <w:widowControl/>
      <w:spacing w:line="560" w:lineRule="exact"/>
      <w:ind w:firstLine="560"/>
      <w:jc w:val="left"/>
    </w:pPr>
    <w:rPr>
      <w:rFonts w:ascii="仿宋" w:hAnsi="仿宋" w:eastAsia="仿宋_GB2312" w:cs="仿宋"/>
      <w:kern w:val="0"/>
      <w:sz w:val="36"/>
      <w:szCs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next w:val="1"/>
    <w:qFormat/>
    <w:uiPriority w:val="10"/>
    <w:pPr>
      <w:spacing w:line="578" w:lineRule="exact"/>
      <w:jc w:val="center"/>
      <w:outlineLvl w:val="1"/>
    </w:pPr>
    <w:rPr>
      <w:rFonts w:ascii="Cambria" w:hAnsi="Cambria" w:eastAsia="楷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2026-03-10T06:12:00Z</dcterms:created>
  <dc:creator>Administrator</dc:creator>
  <cp:lastModifiedBy>张小熊</cp:lastModifiedBy>
  <cp:lastPrinted>2026-07-14T10:12:25Z</cp:lastPrinted>
  <dcterms:modified xsi:type="dcterms:W3CDTF">2026-07-14T10:12:27Z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