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F466A">
      <w:pPr>
        <w:pStyle w:val="15"/>
        <w:bidi w:val="0"/>
        <w:rPr>
          <w:rFonts w:hint="default"/>
          <w:lang w:val="en-US" w:eastAsia="zh-CN"/>
        </w:rPr>
      </w:pPr>
      <w:bookmarkStart w:id="0" w:name="_GoBack"/>
      <w:r>
        <w:rPr>
          <w:rFonts w:hint="default"/>
          <w:lang w:val="en-US" w:eastAsia="zh-CN"/>
        </w:rPr>
        <w:t>国家发展改革委有关负责同志就《招标投标领域信用管理暂行办法》答记者问</w:t>
      </w:r>
    </w:p>
    <w:bookmarkEnd w:id="0"/>
    <w:p w14:paraId="2BFCC0E5">
      <w:pPr>
        <w:pStyle w:val="8"/>
        <w:bidi w:val="0"/>
        <w:rPr>
          <w:rFonts w:hint="default"/>
          <w:lang w:val="en-US" w:eastAsia="zh-CN"/>
        </w:rPr>
      </w:pPr>
      <w:r>
        <w:rPr>
          <w:rFonts w:hint="default"/>
          <w:lang w:val="en-US" w:eastAsia="zh-CN"/>
        </w:rPr>
        <w:t>发布时间：2026/07/17</w:t>
      </w:r>
      <w:r>
        <w:rPr>
          <w:rFonts w:hint="eastAsia"/>
          <w:lang w:val="en-US" w:eastAsia="zh-CN"/>
        </w:rPr>
        <w:t xml:space="preserve">                                        </w:t>
      </w:r>
      <w:r>
        <w:rPr>
          <w:rFonts w:hint="default"/>
          <w:lang w:val="en-US" w:eastAsia="zh-CN"/>
        </w:rPr>
        <w:t>来源：法规司</w:t>
      </w:r>
    </w:p>
    <w:p w14:paraId="4AB0094F">
      <w:pPr>
        <w:ind w:firstLine="560" w:firstLineChars="200"/>
        <w:rPr>
          <w:rFonts w:hint="default"/>
          <w:lang w:val="en-US" w:eastAsia="zh-CN"/>
        </w:rPr>
      </w:pPr>
      <w:r>
        <w:rPr>
          <w:rFonts w:hint="default"/>
          <w:lang w:val="en-US" w:eastAsia="zh-CN"/>
        </w:rPr>
        <w:t>落实《国务院办公厅印发〈关于建立企业信用状况综合评价体系的实施方案〉的通知》（国办发〔2026〕8号）有关要求，国家发展改革委、工业和信息化部、住房城乡建设部、交通运输部、水利部、农业农村部、商务部、广电总局等8部门联合印发了《招标投标领域信用管理暂行办法》（国家发展改革委等8部门令2026年第44号，以下简称《办法》）。围绕社会各界关注的问题，国家发展改革委有关负责同志就《办法》相关情况回答了记者的提问。</w:t>
      </w:r>
    </w:p>
    <w:p w14:paraId="5D429BC7">
      <w:pPr>
        <w:pStyle w:val="2"/>
        <w:bidi w:val="0"/>
        <w:rPr>
          <w:rFonts w:hint="default"/>
          <w:lang w:val="en-US" w:eastAsia="zh-CN"/>
        </w:rPr>
      </w:pPr>
      <w:r>
        <w:rPr>
          <w:rFonts w:hint="default"/>
          <w:lang w:val="en-US" w:eastAsia="zh-CN"/>
        </w:rPr>
        <w:t>一、《办法》起草背景是什么？</w:t>
      </w:r>
    </w:p>
    <w:p w14:paraId="194A3784">
      <w:pPr>
        <w:ind w:firstLine="560" w:firstLineChars="200"/>
        <w:rPr>
          <w:rFonts w:hint="default"/>
          <w:lang w:val="en-US" w:eastAsia="zh-CN"/>
        </w:rPr>
      </w:pPr>
      <w:r>
        <w:rPr>
          <w:rFonts w:hint="default"/>
          <w:lang w:val="en-US" w:eastAsia="zh-CN"/>
        </w:rPr>
        <w:t>加强和规范招标投标领域信用管理，对于维护招标投标市场秩序、促进全国统一大市场建设具有重要意义。《国务院办公厅印发〈关于建立企业信用状况综合评价体系的实施方案〉的通知》（国办发〔2026〕8号）明确，鼓励经营主体在招标投标、商业往来等市场活动中，为信用状况良好的企业提供优惠或便利措施。近年来，招标投标领域信用管理机制不断完善，有力促进了招标投标市场环境优化改善，但也存在公共信用信息共享不充分、公共信用评价标准不统一、评价结果应用不规范等突出问题。为进一步加强招标投标领域信用管理，规范公共信用评价和评价结果应用，国家发展改革委会同有关部门，在深入调查研究、广泛征求意见和认真总结经验基础上，研究起草了《办法》。</w:t>
      </w:r>
    </w:p>
    <w:p w14:paraId="1B2071A6">
      <w:pPr>
        <w:pStyle w:val="2"/>
        <w:bidi w:val="0"/>
        <w:rPr>
          <w:rFonts w:hint="default"/>
          <w:lang w:val="en-US" w:eastAsia="zh-CN"/>
        </w:rPr>
      </w:pPr>
      <w:r>
        <w:rPr>
          <w:rFonts w:hint="default"/>
          <w:lang w:val="en-US" w:eastAsia="zh-CN"/>
        </w:rPr>
        <w:t>二、《办法》制定的主要思路和内容是什么？</w:t>
      </w:r>
    </w:p>
    <w:p w14:paraId="0DD3D564">
      <w:pPr>
        <w:ind w:firstLine="560" w:firstLineChars="200"/>
        <w:rPr>
          <w:rFonts w:hint="default"/>
          <w:lang w:val="en-US" w:eastAsia="zh-CN"/>
        </w:rPr>
      </w:pPr>
      <w:r>
        <w:rPr>
          <w:rFonts w:hint="default"/>
          <w:lang w:val="en-US" w:eastAsia="zh-CN"/>
        </w:rPr>
        <w:t>《办法》认真贯彻落实党中央、国务院部署要求，结合招标投标信用管理实践，聚焦解决经营主体关切的重点问题，提出了针对性举措。《办法》共5章37条。</w:t>
      </w:r>
    </w:p>
    <w:p w14:paraId="2465E194">
      <w:pPr>
        <w:ind w:firstLine="560" w:firstLineChars="200"/>
        <w:rPr>
          <w:rFonts w:hint="default"/>
          <w:lang w:val="en-US" w:eastAsia="zh-CN"/>
        </w:rPr>
      </w:pPr>
      <w:r>
        <w:rPr>
          <w:rFonts w:hint="default"/>
          <w:lang w:val="en-US" w:eastAsia="zh-CN"/>
        </w:rPr>
        <w:t>第一章总则，规定立法目的、依据、适用范围、基本原则、职责分工等内容。</w:t>
      </w:r>
    </w:p>
    <w:p w14:paraId="3D12E6D0">
      <w:pPr>
        <w:ind w:firstLine="560" w:firstLineChars="200"/>
        <w:rPr>
          <w:rFonts w:hint="default"/>
          <w:lang w:val="en-US" w:eastAsia="zh-CN"/>
        </w:rPr>
      </w:pPr>
      <w:r>
        <w:rPr>
          <w:rFonts w:hint="default"/>
          <w:lang w:val="en-US" w:eastAsia="zh-CN"/>
        </w:rPr>
        <w:t>第二章公共信用信息管理，明确招标投标领域公共信用信息范围及其归集、共享、公示、查询的具体要求，并对失信惩戒、信用修复等作出规定。</w:t>
      </w:r>
    </w:p>
    <w:p w14:paraId="6BFFA863">
      <w:pPr>
        <w:ind w:firstLine="560" w:firstLineChars="200"/>
        <w:rPr>
          <w:rFonts w:hint="default"/>
          <w:lang w:val="en-US" w:eastAsia="zh-CN"/>
        </w:rPr>
      </w:pPr>
      <w:r>
        <w:rPr>
          <w:rFonts w:hint="default"/>
          <w:lang w:val="en-US" w:eastAsia="zh-CN"/>
        </w:rPr>
        <w:t>第三章公共信用评价管理，规定公共信用评价的评价主体、评价要求和异议申诉渠道，明确评价结果应用的方式、环节，禁止地方自行开展招标投标领域信用评价，并要求动态清理公共信用评价和评价结果应用中的违法违规行为。</w:t>
      </w:r>
    </w:p>
    <w:p w14:paraId="0E77FDF0">
      <w:pPr>
        <w:ind w:firstLine="560" w:firstLineChars="200"/>
        <w:rPr>
          <w:rFonts w:hint="default"/>
          <w:lang w:val="en-US" w:eastAsia="zh-CN"/>
        </w:rPr>
      </w:pPr>
      <w:r>
        <w:rPr>
          <w:rFonts w:hint="default"/>
          <w:lang w:val="en-US" w:eastAsia="zh-CN"/>
        </w:rPr>
        <w:t>第四章法律责任，规定招标人、评标委员会成员、有关部门和单位违反信用管理相关要求，所应承担的法律责任。</w:t>
      </w:r>
    </w:p>
    <w:p w14:paraId="7F4ED271">
      <w:pPr>
        <w:ind w:firstLine="560" w:firstLineChars="200"/>
        <w:rPr>
          <w:rFonts w:hint="default"/>
          <w:lang w:val="en-US" w:eastAsia="zh-CN"/>
        </w:rPr>
      </w:pPr>
      <w:r>
        <w:rPr>
          <w:rFonts w:hint="default"/>
          <w:lang w:val="en-US" w:eastAsia="zh-CN"/>
        </w:rPr>
        <w:t>第五章附则，对招标投标领域公共信用信息的具体类别、市场化信用评价以及解释机关、施行时间等事项作出规定。</w:t>
      </w:r>
    </w:p>
    <w:p w14:paraId="7C6E10BF">
      <w:pPr>
        <w:pStyle w:val="2"/>
        <w:bidi w:val="0"/>
        <w:rPr>
          <w:rFonts w:hint="default"/>
          <w:lang w:val="en-US" w:eastAsia="zh-CN"/>
        </w:rPr>
      </w:pPr>
      <w:r>
        <w:rPr>
          <w:rFonts w:hint="default"/>
          <w:lang w:val="en-US" w:eastAsia="zh-CN"/>
        </w:rPr>
        <w:t>三、《办法》对加强招标投标领域公共信用信息管理，具体提出哪些机制要求？</w:t>
      </w:r>
    </w:p>
    <w:p w14:paraId="424A2967">
      <w:pPr>
        <w:ind w:firstLine="560" w:firstLineChars="200"/>
        <w:rPr>
          <w:rFonts w:hint="default"/>
          <w:lang w:val="en-US" w:eastAsia="zh-CN"/>
        </w:rPr>
      </w:pPr>
      <w:r>
        <w:rPr>
          <w:rFonts w:hint="default"/>
          <w:lang w:val="en-US" w:eastAsia="zh-CN"/>
        </w:rPr>
        <w:t>《办法》围绕建立健全公共信用信息全链条管理机制提出了系列要求，推动公共信用信息在招标投标活动中更好应用。</w:t>
      </w:r>
    </w:p>
    <w:p w14:paraId="4C6129F1">
      <w:pPr>
        <w:ind w:firstLine="560" w:firstLineChars="200"/>
        <w:rPr>
          <w:rFonts w:hint="default"/>
          <w:lang w:val="en-US" w:eastAsia="zh-CN"/>
        </w:rPr>
      </w:pPr>
      <w:r>
        <w:rPr>
          <w:rFonts w:hint="default"/>
          <w:lang w:val="en-US" w:eastAsia="zh-CN"/>
        </w:rPr>
        <w:t>一是目录管理机制。明确招标投标领域公共信用信息的范围和具体类别，对确定全国统一的信用信息目录和数据规范提出要求，统一信用信息认定标准。</w:t>
      </w:r>
    </w:p>
    <w:p w14:paraId="60E5A326">
      <w:pPr>
        <w:ind w:firstLine="560" w:firstLineChars="200"/>
        <w:rPr>
          <w:rFonts w:hint="default"/>
          <w:lang w:val="en-US" w:eastAsia="zh-CN"/>
        </w:rPr>
      </w:pPr>
      <w:r>
        <w:rPr>
          <w:rFonts w:hint="default"/>
          <w:lang w:val="en-US" w:eastAsia="zh-CN"/>
        </w:rPr>
        <w:t>二是归集共享机制。对招标投标领域公共信用信息的归集方式、时限要求作出具体规定，推动信用信息“应归尽归”、共享共用。</w:t>
      </w:r>
    </w:p>
    <w:p w14:paraId="34B431B8">
      <w:pPr>
        <w:ind w:firstLine="560" w:firstLineChars="200"/>
        <w:rPr>
          <w:rFonts w:hint="default"/>
          <w:lang w:val="en-US" w:eastAsia="zh-CN"/>
        </w:rPr>
      </w:pPr>
      <w:r>
        <w:rPr>
          <w:rFonts w:hint="default"/>
          <w:lang w:val="en-US" w:eastAsia="zh-CN"/>
        </w:rPr>
        <w:t>三是集中公示机制。通过“信用中国”网站公示招标人、投标人、招标代理机构的招标投标领域公共信用信息，并通过全国公共资源交易平台网站公示评标专家依法被取消评标资格的行政处罚信息，强化社会监督。</w:t>
      </w:r>
    </w:p>
    <w:p w14:paraId="4B127792">
      <w:pPr>
        <w:ind w:firstLine="560" w:firstLineChars="200"/>
        <w:rPr>
          <w:rFonts w:hint="default"/>
          <w:lang w:val="en-US" w:eastAsia="zh-CN"/>
        </w:rPr>
      </w:pPr>
      <w:r>
        <w:rPr>
          <w:rFonts w:hint="default"/>
          <w:lang w:val="en-US" w:eastAsia="zh-CN"/>
        </w:rPr>
        <w:t>四是查询应用机制。规定依法必须招标项目，在委托代理机构、选聘评标专家、开展评标、确定中标人等环节，应当查询招标投标领域公共信用信息，并对存在失信情形的招标代理机构、评标专家、投标人依法采取惩戒措施。</w:t>
      </w:r>
    </w:p>
    <w:p w14:paraId="0CF4DD79">
      <w:pPr>
        <w:ind w:firstLine="560" w:firstLineChars="200"/>
        <w:rPr>
          <w:rFonts w:hint="default"/>
          <w:lang w:val="en-US" w:eastAsia="zh-CN"/>
        </w:rPr>
      </w:pPr>
      <w:r>
        <w:rPr>
          <w:rFonts w:hint="default"/>
          <w:lang w:val="en-US" w:eastAsia="zh-CN"/>
        </w:rPr>
        <w:t>五是申诉处理机制。对招标投标领域公共信用信息的申诉处理程序作出规定，建立统一的申诉渠道，明确申诉处理时限，保障招标投标参与主体的合法权益。</w:t>
      </w:r>
    </w:p>
    <w:p w14:paraId="6776AD71">
      <w:pPr>
        <w:pStyle w:val="2"/>
        <w:bidi w:val="0"/>
        <w:rPr>
          <w:rFonts w:hint="default"/>
          <w:lang w:val="en-US" w:eastAsia="zh-CN"/>
        </w:rPr>
      </w:pPr>
      <w:r>
        <w:rPr>
          <w:rFonts w:hint="default"/>
          <w:lang w:val="en-US" w:eastAsia="zh-CN"/>
        </w:rPr>
        <w:t>四、《办法》对加强招标投标参与主体信用约束作出哪些规定？</w:t>
      </w:r>
    </w:p>
    <w:p w14:paraId="3606B11F">
      <w:pPr>
        <w:ind w:firstLine="560" w:firstLineChars="200"/>
        <w:rPr>
          <w:rFonts w:hint="default"/>
          <w:lang w:val="en-US" w:eastAsia="zh-CN"/>
        </w:rPr>
      </w:pPr>
      <w:r>
        <w:rPr>
          <w:rFonts w:hint="default"/>
          <w:lang w:val="en-US" w:eastAsia="zh-CN"/>
        </w:rPr>
        <w:t>《办法》聚焦招标人、投标人、招标代理机构、评标专家等4类招标投标参与主体，逐项明确实施信用约束的具体情形和方式。</w:t>
      </w:r>
    </w:p>
    <w:p w14:paraId="540C4F4F">
      <w:pPr>
        <w:ind w:firstLine="560" w:firstLineChars="200"/>
        <w:rPr>
          <w:rFonts w:hint="default"/>
          <w:lang w:val="en-US" w:eastAsia="zh-CN"/>
        </w:rPr>
      </w:pPr>
      <w:r>
        <w:rPr>
          <w:rFonts w:hint="default"/>
          <w:lang w:val="en-US" w:eastAsia="zh-CN"/>
        </w:rPr>
        <w:t>一是对于招标代理机构，将其信用状况作为招标人择优选择招标代理机构的重要参考。对存在泄露交易涉密信息、串通投标、向评标专家行贿，以及被列为失信被执行人等7类严重失信信息的招标代理机构，禁止委托其开展代理业务。</w:t>
      </w:r>
    </w:p>
    <w:p w14:paraId="4EBF520C">
      <w:pPr>
        <w:ind w:firstLine="560" w:firstLineChars="200"/>
        <w:rPr>
          <w:rFonts w:hint="default"/>
          <w:lang w:val="en-US" w:eastAsia="zh-CN"/>
        </w:rPr>
      </w:pPr>
      <w:r>
        <w:rPr>
          <w:rFonts w:hint="default"/>
          <w:lang w:val="en-US" w:eastAsia="zh-CN"/>
        </w:rPr>
        <w:t>二是对于评标专家，要求评标专家库组建单位在专家管理全过程应用信用管理手段。在入库阶段，对存在受到取消评标资格的行政处罚等3类严重失信信息的评标专家，不得聘任入库；在日常管理中，鼓励开展信用评价并据此采取差异化管理措施；对于存在应当回避而不回避等8类严重失信信息的评标专家，调整出库并向社会公开。</w:t>
      </w:r>
    </w:p>
    <w:p w14:paraId="446CB7F2">
      <w:pPr>
        <w:ind w:firstLine="560" w:firstLineChars="200"/>
        <w:rPr>
          <w:rFonts w:hint="default"/>
          <w:lang w:val="en-US" w:eastAsia="zh-CN"/>
        </w:rPr>
      </w:pPr>
      <w:r>
        <w:rPr>
          <w:rFonts w:hint="default"/>
          <w:lang w:val="en-US" w:eastAsia="zh-CN"/>
        </w:rPr>
        <w:t>三是对于投标人，依法限制严重失信主体参与招标投标活动。对存在串通投标、弄虚作假、拒不履约，以及被列为失信被执行人等5类严重失信信息的投标人，明确评标委员会应当依法否决其投标，招标人不得将其确定为中标人。</w:t>
      </w:r>
    </w:p>
    <w:p w14:paraId="73E1B7A4">
      <w:pPr>
        <w:ind w:firstLine="560" w:firstLineChars="200"/>
        <w:rPr>
          <w:rFonts w:hint="default"/>
          <w:lang w:val="en-US" w:eastAsia="zh-CN"/>
        </w:rPr>
      </w:pPr>
      <w:r>
        <w:rPr>
          <w:rFonts w:hint="default"/>
          <w:lang w:val="en-US" w:eastAsia="zh-CN"/>
        </w:rPr>
        <w:t>四是对于招标人，将招标人纳入国务院有关部门开展的公共信用评价范围，要求各级招标投标行政监督部门根据评价结果，提高或者降低抽查比例和检查频次，并可以实施告知承诺制等便利服务措施，引导和督促招标人规范履职。</w:t>
      </w:r>
    </w:p>
    <w:p w14:paraId="0478064F">
      <w:pPr>
        <w:pStyle w:val="2"/>
        <w:bidi w:val="0"/>
        <w:rPr>
          <w:rFonts w:hint="default"/>
          <w:lang w:val="en-US" w:eastAsia="zh-CN"/>
        </w:rPr>
      </w:pPr>
      <w:r>
        <w:rPr>
          <w:rFonts w:hint="default"/>
          <w:lang w:val="en-US" w:eastAsia="zh-CN"/>
        </w:rPr>
        <w:t>五、《办法》对公共信用评价和评价结果应用作出哪些规定？</w:t>
      </w:r>
    </w:p>
    <w:p w14:paraId="1D32DCE9">
      <w:pPr>
        <w:ind w:firstLine="560" w:firstLineChars="200"/>
        <w:rPr>
          <w:rFonts w:hint="default"/>
          <w:lang w:val="en-US" w:eastAsia="zh-CN"/>
        </w:rPr>
      </w:pPr>
      <w:r>
        <w:rPr>
          <w:rFonts w:hint="default"/>
          <w:lang w:val="en-US" w:eastAsia="zh-CN"/>
        </w:rPr>
        <w:t>《办法》对规范公共信用评价、拓展应用场景提出具体要求，深化公共信用评价结果在招标投标领域的应用。</w:t>
      </w:r>
    </w:p>
    <w:p w14:paraId="738CB8ED">
      <w:pPr>
        <w:ind w:firstLine="560" w:firstLineChars="200"/>
        <w:rPr>
          <w:rFonts w:hint="default"/>
          <w:lang w:val="en-US" w:eastAsia="zh-CN"/>
        </w:rPr>
      </w:pPr>
      <w:r>
        <w:rPr>
          <w:rFonts w:hint="default"/>
          <w:lang w:val="en-US" w:eastAsia="zh-CN"/>
        </w:rPr>
        <w:t>一是严格限定实施主体。规定由国务院招标投标行政监督部门确定本行业统一的公共信用评价规则，明确地方不得自行开展招标投标领域信用评价，从源头上解决信用评价“碎片化”、通过信用评价实施地方保护等问题。</w:t>
      </w:r>
    </w:p>
    <w:p w14:paraId="4084CCFD">
      <w:pPr>
        <w:ind w:firstLine="560" w:firstLineChars="200"/>
        <w:rPr>
          <w:rFonts w:hint="default"/>
          <w:lang w:val="en-US" w:eastAsia="zh-CN"/>
        </w:rPr>
      </w:pPr>
      <w:r>
        <w:rPr>
          <w:rFonts w:hint="default"/>
          <w:lang w:val="en-US" w:eastAsia="zh-CN"/>
        </w:rPr>
        <w:t>二是划定评价“负面清单”。列明公共信用评价和评价结果应用的禁止性情形，防止通过公共信用评价或评价结果应用限制、排斥潜在投标人或投标人。在评价方面，明确不得根据不同区域、所有制形式、规模等设置差异化得分，或将业绩、市场占有率等不能反映企业信用状况的信息纳入信用评价范围。在应用方面，要求不得将评价结果作为唯一条件或赋予不合理权重，不得区别对待不同地区、所有制形式、规模的企业的同一等级信用评价结果。</w:t>
      </w:r>
    </w:p>
    <w:p w14:paraId="12BA4F0B">
      <w:pPr>
        <w:ind w:firstLine="560" w:firstLineChars="200"/>
        <w:rPr>
          <w:rFonts w:hint="default"/>
          <w:lang w:val="en-US" w:eastAsia="zh-CN"/>
        </w:rPr>
      </w:pPr>
      <w:r>
        <w:rPr>
          <w:rFonts w:hint="default"/>
          <w:lang w:val="en-US" w:eastAsia="zh-CN"/>
        </w:rPr>
        <w:t>三是加强评价结果应用。鼓励在设置评标标准（资格审查标准）、确定保证金缴纳机制、核验中标候选人履约能力、出具保函（保单）等重点环节参考公共信用评价结果；要求各级招标投标行政监督部门根据公共信用评价结果实施差异化监管，形成“守信受益、失信受限”的良好秩序。</w:t>
      </w:r>
    </w:p>
    <w:p w14:paraId="45E35D73">
      <w:pPr>
        <w:pStyle w:val="2"/>
        <w:bidi w:val="0"/>
        <w:rPr>
          <w:rFonts w:hint="default"/>
          <w:lang w:val="en-US" w:eastAsia="zh-CN"/>
        </w:rPr>
      </w:pPr>
      <w:r>
        <w:rPr>
          <w:rFonts w:hint="default"/>
          <w:lang w:val="en-US" w:eastAsia="zh-CN"/>
        </w:rPr>
        <w:t>六、推动《办法》贯彻落实方面有哪些考虑和安排？</w:t>
      </w:r>
    </w:p>
    <w:p w14:paraId="6FFC6111">
      <w:pPr>
        <w:ind w:firstLine="560" w:firstLineChars="200"/>
        <w:rPr>
          <w:rFonts w:hint="default"/>
          <w:lang w:val="en-US" w:eastAsia="zh-CN"/>
        </w:rPr>
      </w:pPr>
      <w:r>
        <w:rPr>
          <w:rFonts w:hint="default"/>
          <w:lang w:val="en-US" w:eastAsia="zh-CN"/>
        </w:rPr>
        <w:t>《办法》将于2027年1月1日起实施。为确保《办法》落实到位，国家发展改革委将会同有关部门重点做好以下三方面工作。</w:t>
      </w:r>
    </w:p>
    <w:p w14:paraId="200147E3">
      <w:pPr>
        <w:ind w:firstLine="560" w:firstLineChars="200"/>
        <w:rPr>
          <w:rFonts w:hint="default"/>
          <w:lang w:val="en-US" w:eastAsia="zh-CN"/>
        </w:rPr>
      </w:pPr>
      <w:r>
        <w:rPr>
          <w:rFonts w:hint="default"/>
          <w:lang w:val="en-US" w:eastAsia="zh-CN"/>
        </w:rPr>
        <w:t>一是加强宣贯落实。推动各有关部门准确把握《办法》要求，规范组织实施公共信用评价，用好公共信用评价结果。面向各类企业和评标专家开展《办法》宣传解读，引导和督促各类主体依法诚信参与招标投标活动。</w:t>
      </w:r>
    </w:p>
    <w:p w14:paraId="0BBA6309">
      <w:pPr>
        <w:ind w:firstLine="560" w:firstLineChars="200"/>
        <w:rPr>
          <w:rFonts w:hint="default"/>
          <w:lang w:val="en-US" w:eastAsia="zh-CN"/>
        </w:rPr>
      </w:pPr>
      <w:r>
        <w:rPr>
          <w:rFonts w:hint="default"/>
          <w:lang w:val="en-US" w:eastAsia="zh-CN"/>
        </w:rPr>
        <w:t>二是健全配套制度。制定招标投标领域公共信用信息目录，明确公共信用信息范围。编制全国统一的数据规范，加强信用信息共享平台、公共资源交易平台、招标投标行政监督部门有关业务系统的互联共享，提高招标投标领域公共信用信息管理的精准性规范性。</w:t>
      </w:r>
    </w:p>
    <w:p w14:paraId="01506887">
      <w:pPr>
        <w:ind w:firstLine="560" w:firstLineChars="200"/>
        <w:rPr>
          <w:rFonts w:hint="default"/>
          <w:lang w:val="en-US" w:eastAsia="zh-CN"/>
        </w:rPr>
      </w:pPr>
      <w:r>
        <w:rPr>
          <w:rFonts w:hint="default"/>
          <w:lang w:val="en-US" w:eastAsia="zh-CN"/>
        </w:rPr>
        <w:t>三是加强动态监测。持续跟进《办法》落实情况，对公共信用评价和具体应用情况进行常态化跟踪监测，畅通企业、社会公众问题反映渠道，及时清理和纠正以信用评价变相设置交易壁垒等突出问题，维护公平竞争的市场秩序。</w:t>
      </w:r>
    </w:p>
    <w:p w14:paraId="75474DA1">
      <w:pPr>
        <w:ind w:firstLine="560" w:firstLineChars="200"/>
        <w:rPr>
          <w:rFonts w:hint="default"/>
          <w:lang w:val="en-US" w:eastAsia="zh-CN"/>
        </w:rPr>
      </w:pPr>
      <w:r>
        <w:rPr>
          <w:rFonts w:hint="default"/>
          <w:lang w:val="en-US" w:eastAsia="zh-CN"/>
        </w:rPr>
        <w:t>https://www.ndrc.gov.cn/xxgk/jd/jd/202607/t20260716_1406532.html</w:t>
      </w:r>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0"/>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1"/>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56EBE"/>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24090F"/>
    <w:rsid w:val="04BE52E0"/>
    <w:rsid w:val="04C52596"/>
    <w:rsid w:val="04E5597F"/>
    <w:rsid w:val="05C9270C"/>
    <w:rsid w:val="05CC0449"/>
    <w:rsid w:val="05CC6BA7"/>
    <w:rsid w:val="05F56545"/>
    <w:rsid w:val="06961A26"/>
    <w:rsid w:val="072E100E"/>
    <w:rsid w:val="075325DA"/>
    <w:rsid w:val="07D41004"/>
    <w:rsid w:val="08232C96"/>
    <w:rsid w:val="093C70F8"/>
    <w:rsid w:val="0A3D2F70"/>
    <w:rsid w:val="0B9079F1"/>
    <w:rsid w:val="0B943B18"/>
    <w:rsid w:val="0E1238D7"/>
    <w:rsid w:val="0E592DD6"/>
    <w:rsid w:val="0EBE39E4"/>
    <w:rsid w:val="0F033741"/>
    <w:rsid w:val="0F9E1127"/>
    <w:rsid w:val="0FC26D8E"/>
    <w:rsid w:val="10225A02"/>
    <w:rsid w:val="109003E2"/>
    <w:rsid w:val="10D02130"/>
    <w:rsid w:val="11284EE7"/>
    <w:rsid w:val="122C71D3"/>
    <w:rsid w:val="126555E2"/>
    <w:rsid w:val="12B6109D"/>
    <w:rsid w:val="135C6A68"/>
    <w:rsid w:val="14AC3169"/>
    <w:rsid w:val="14BA55A9"/>
    <w:rsid w:val="15313E4A"/>
    <w:rsid w:val="16E465E6"/>
    <w:rsid w:val="17B571BE"/>
    <w:rsid w:val="183B3D17"/>
    <w:rsid w:val="187A04AD"/>
    <w:rsid w:val="188602CE"/>
    <w:rsid w:val="191F6B75"/>
    <w:rsid w:val="19470B19"/>
    <w:rsid w:val="19DB3E43"/>
    <w:rsid w:val="19E646A3"/>
    <w:rsid w:val="1A3F168A"/>
    <w:rsid w:val="1ACD4BC9"/>
    <w:rsid w:val="1AD00105"/>
    <w:rsid w:val="1C1F5C60"/>
    <w:rsid w:val="1C26202E"/>
    <w:rsid w:val="1CFA082A"/>
    <w:rsid w:val="1D2B08CD"/>
    <w:rsid w:val="1D75769C"/>
    <w:rsid w:val="1E486D5E"/>
    <w:rsid w:val="20E515DF"/>
    <w:rsid w:val="20EE4514"/>
    <w:rsid w:val="21490716"/>
    <w:rsid w:val="22A660F0"/>
    <w:rsid w:val="23350630"/>
    <w:rsid w:val="239C0C8D"/>
    <w:rsid w:val="242B3DB3"/>
    <w:rsid w:val="2458023C"/>
    <w:rsid w:val="24891F4C"/>
    <w:rsid w:val="24DD1B30"/>
    <w:rsid w:val="24FB777E"/>
    <w:rsid w:val="26BE469D"/>
    <w:rsid w:val="28341D78"/>
    <w:rsid w:val="284055FE"/>
    <w:rsid w:val="284C442A"/>
    <w:rsid w:val="288233CE"/>
    <w:rsid w:val="29481F8B"/>
    <w:rsid w:val="299E2259"/>
    <w:rsid w:val="29AE54C4"/>
    <w:rsid w:val="2A20733C"/>
    <w:rsid w:val="2A36166C"/>
    <w:rsid w:val="2A5B6A65"/>
    <w:rsid w:val="2AC85DD5"/>
    <w:rsid w:val="2B983D5E"/>
    <w:rsid w:val="2BD17CE5"/>
    <w:rsid w:val="2C1B2534"/>
    <w:rsid w:val="2C5661E7"/>
    <w:rsid w:val="2CC90378"/>
    <w:rsid w:val="2DDA75F8"/>
    <w:rsid w:val="2E451107"/>
    <w:rsid w:val="2E561F32"/>
    <w:rsid w:val="2F167534"/>
    <w:rsid w:val="30D427EB"/>
    <w:rsid w:val="31604062"/>
    <w:rsid w:val="31AC3498"/>
    <w:rsid w:val="31BA36E4"/>
    <w:rsid w:val="34163C6F"/>
    <w:rsid w:val="34E21617"/>
    <w:rsid w:val="34FC0B26"/>
    <w:rsid w:val="35CC7FE4"/>
    <w:rsid w:val="360A0131"/>
    <w:rsid w:val="370B0758"/>
    <w:rsid w:val="387E58D5"/>
    <w:rsid w:val="38D5360F"/>
    <w:rsid w:val="3B005163"/>
    <w:rsid w:val="3BC5648D"/>
    <w:rsid w:val="3C131F35"/>
    <w:rsid w:val="3C8B707E"/>
    <w:rsid w:val="3D0B60DD"/>
    <w:rsid w:val="3D242F7A"/>
    <w:rsid w:val="3E9C40F3"/>
    <w:rsid w:val="3F047193"/>
    <w:rsid w:val="40B15178"/>
    <w:rsid w:val="4139196E"/>
    <w:rsid w:val="415848E1"/>
    <w:rsid w:val="417A5F93"/>
    <w:rsid w:val="418935AC"/>
    <w:rsid w:val="4296377D"/>
    <w:rsid w:val="42F8070A"/>
    <w:rsid w:val="430E0353"/>
    <w:rsid w:val="433C38D6"/>
    <w:rsid w:val="441C68B9"/>
    <w:rsid w:val="446948F1"/>
    <w:rsid w:val="45B9632A"/>
    <w:rsid w:val="46931CE2"/>
    <w:rsid w:val="47407E1B"/>
    <w:rsid w:val="477B0D92"/>
    <w:rsid w:val="47A516B2"/>
    <w:rsid w:val="480F418D"/>
    <w:rsid w:val="483F5039"/>
    <w:rsid w:val="485C7A85"/>
    <w:rsid w:val="486F5D2C"/>
    <w:rsid w:val="4B077B9F"/>
    <w:rsid w:val="4CF97814"/>
    <w:rsid w:val="4D797ECA"/>
    <w:rsid w:val="4E7271B8"/>
    <w:rsid w:val="4EB31BF9"/>
    <w:rsid w:val="4F216E80"/>
    <w:rsid w:val="4F6B7653"/>
    <w:rsid w:val="4FEE4718"/>
    <w:rsid w:val="505020B9"/>
    <w:rsid w:val="513841CB"/>
    <w:rsid w:val="514A0E57"/>
    <w:rsid w:val="515B6E68"/>
    <w:rsid w:val="52025F45"/>
    <w:rsid w:val="52511EB8"/>
    <w:rsid w:val="52687459"/>
    <w:rsid w:val="528945A2"/>
    <w:rsid w:val="53AA5870"/>
    <w:rsid w:val="54581D88"/>
    <w:rsid w:val="54992FDE"/>
    <w:rsid w:val="5599644C"/>
    <w:rsid w:val="56A05C5E"/>
    <w:rsid w:val="57691CAA"/>
    <w:rsid w:val="579B39F0"/>
    <w:rsid w:val="57A37E38"/>
    <w:rsid w:val="58700445"/>
    <w:rsid w:val="587662C1"/>
    <w:rsid w:val="58E45E5C"/>
    <w:rsid w:val="5966249A"/>
    <w:rsid w:val="599D54F4"/>
    <w:rsid w:val="59C57696"/>
    <w:rsid w:val="5ABE63C0"/>
    <w:rsid w:val="5B5F3C17"/>
    <w:rsid w:val="5C0F18E6"/>
    <w:rsid w:val="5D942074"/>
    <w:rsid w:val="5F110691"/>
    <w:rsid w:val="5F42540D"/>
    <w:rsid w:val="605308F0"/>
    <w:rsid w:val="60F01468"/>
    <w:rsid w:val="613B531F"/>
    <w:rsid w:val="61537BFA"/>
    <w:rsid w:val="616E77F5"/>
    <w:rsid w:val="61941FCD"/>
    <w:rsid w:val="61A372B8"/>
    <w:rsid w:val="61CC184F"/>
    <w:rsid w:val="61FB7F6E"/>
    <w:rsid w:val="626A293A"/>
    <w:rsid w:val="632C62D6"/>
    <w:rsid w:val="65F73711"/>
    <w:rsid w:val="66801568"/>
    <w:rsid w:val="6710609A"/>
    <w:rsid w:val="67697562"/>
    <w:rsid w:val="695B7490"/>
    <w:rsid w:val="69C218FE"/>
    <w:rsid w:val="6BDB68DE"/>
    <w:rsid w:val="6C270DD3"/>
    <w:rsid w:val="6C705350"/>
    <w:rsid w:val="6D872A5A"/>
    <w:rsid w:val="6DC836A7"/>
    <w:rsid w:val="6E1F25FD"/>
    <w:rsid w:val="6E413E28"/>
    <w:rsid w:val="6F370898"/>
    <w:rsid w:val="6F4638FD"/>
    <w:rsid w:val="70956FE4"/>
    <w:rsid w:val="71020CE1"/>
    <w:rsid w:val="73F7433F"/>
    <w:rsid w:val="74C55E96"/>
    <w:rsid w:val="756F626F"/>
    <w:rsid w:val="75930F1E"/>
    <w:rsid w:val="76FA56D9"/>
    <w:rsid w:val="775748F9"/>
    <w:rsid w:val="77BF12F7"/>
    <w:rsid w:val="78264085"/>
    <w:rsid w:val="79060B26"/>
    <w:rsid w:val="79665442"/>
    <w:rsid w:val="798E17BF"/>
    <w:rsid w:val="79D16624"/>
    <w:rsid w:val="79E44119"/>
    <w:rsid w:val="7A283BED"/>
    <w:rsid w:val="7A5A1A94"/>
    <w:rsid w:val="7AA0221D"/>
    <w:rsid w:val="7B705706"/>
    <w:rsid w:val="7C8440E2"/>
    <w:rsid w:val="7D324444"/>
    <w:rsid w:val="7D470D1C"/>
    <w:rsid w:val="7DCC36B1"/>
    <w:rsid w:val="7E0E1F5B"/>
    <w:rsid w:val="7E39495F"/>
    <w:rsid w:val="7F3A0F4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5"/>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8"/>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9"/>
    <w:unhideWhenUsed/>
    <w:qFormat/>
    <w:uiPriority w:val="9"/>
    <w:pPr>
      <w:keepNext/>
      <w:keepLines/>
      <w:spacing w:line="440" w:lineRule="exact"/>
      <w:outlineLvl w:val="2"/>
    </w:pPr>
    <w:rPr>
      <w:b/>
      <w:bCs/>
      <w:szCs w:val="32"/>
    </w:rPr>
  </w:style>
  <w:style w:type="paragraph" w:styleId="5">
    <w:name w:val="heading 4"/>
    <w:basedOn w:val="1"/>
    <w:next w:val="1"/>
    <w:link w:val="30"/>
    <w:unhideWhenUsed/>
    <w:qFormat/>
    <w:uiPriority w:val="9"/>
    <w:pPr>
      <w:keepNext/>
      <w:keepLines/>
      <w:spacing w:beforeLines="0" w:beforeAutospacing="0" w:afterLines="0" w:afterAutospacing="0" w:line="440" w:lineRule="exact"/>
      <w:outlineLvl w:val="3"/>
    </w:pPr>
  </w:style>
  <w:style w:type="paragraph" w:styleId="6">
    <w:name w:val="heading 5"/>
    <w:basedOn w:val="1"/>
    <w:next w:val="1"/>
    <w:link w:val="5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paragraph" w:styleId="9">
    <w:name w:val="heading 8"/>
    <w:basedOn w:val="1"/>
    <w:next w:val="1"/>
    <w:link w:val="52"/>
    <w:unhideWhenUsed/>
    <w:qFormat/>
    <w:uiPriority w:val="9"/>
    <w:pPr>
      <w:keepNext/>
      <w:keepLines/>
      <w:spacing w:beforeLines="0" w:beforeAutospacing="0" w:afterLines="0" w:afterAutospacing="0" w:line="240" w:lineRule="auto"/>
      <w:ind w:firstLine="0" w:firstLineChars="0"/>
      <w:jc w:val="center"/>
      <w:outlineLvl w:val="7"/>
    </w:pPr>
    <w:rPr>
      <w:rFonts w:ascii="Arial" w:hAnsi="Arial" w:eastAsia="仿宋_GB2312" w:cs="Times New Roman"/>
      <w:sz w:val="24"/>
      <w:szCs w:val="2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10">
    <w:name w:val="footer"/>
    <w:basedOn w:val="1"/>
    <w:link w:val="31"/>
    <w:unhideWhenUsed/>
    <w:qFormat/>
    <w:uiPriority w:val="99"/>
    <w:pPr>
      <w:tabs>
        <w:tab w:val="center" w:pos="4153"/>
        <w:tab w:val="right" w:pos="8306"/>
      </w:tabs>
      <w:snapToGrid w:val="0"/>
    </w:pPr>
    <w:rPr>
      <w:sz w:val="18"/>
      <w:szCs w:val="18"/>
    </w:rPr>
  </w:style>
  <w:style w:type="paragraph" w:styleId="11">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link w:val="33"/>
    <w:qFormat/>
    <w:uiPriority w:val="11"/>
    <w:pPr>
      <w:outlineLvl w:val="1"/>
    </w:pPr>
    <w:rPr>
      <w:b/>
      <w:bCs/>
      <w:kern w:val="28"/>
      <w:szCs w:val="32"/>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5">
    <w:name w:val="Title"/>
    <w:basedOn w:val="1"/>
    <w:next w:val="1"/>
    <w:link w:val="27"/>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customStyle="1" w:styleId="25">
    <w:name w:val="标题 1 字符"/>
    <w:basedOn w:val="18"/>
    <w:link w:val="2"/>
    <w:qFormat/>
    <w:uiPriority w:val="9"/>
    <w:rPr>
      <w:rFonts w:ascii="黑体" w:hAnsi="黑体" w:eastAsia="黑体"/>
      <w:bCs/>
      <w:kern w:val="44"/>
      <w:sz w:val="28"/>
      <w:szCs w:val="44"/>
    </w:rPr>
  </w:style>
  <w:style w:type="character" w:customStyle="1" w:styleId="26">
    <w:name w:val="标题 3 Char1"/>
    <w:link w:val="4"/>
    <w:qFormat/>
    <w:uiPriority w:val="9"/>
    <w:rPr>
      <w:rFonts w:ascii="仿宋_GB2312" w:hAnsi="仿宋_GB2312" w:eastAsia="仿宋_GB2312"/>
      <w:b/>
    </w:rPr>
  </w:style>
  <w:style w:type="character" w:customStyle="1" w:styleId="27">
    <w:name w:val="标题 字符"/>
    <w:basedOn w:val="18"/>
    <w:link w:val="15"/>
    <w:qFormat/>
    <w:uiPriority w:val="10"/>
    <w:rPr>
      <w:rFonts w:ascii="华文中宋" w:hAnsi="华文中宋" w:eastAsia="华文中宋" w:cs="Times New Roman"/>
      <w:b/>
      <w:bCs/>
      <w:sz w:val="32"/>
      <w:szCs w:val="32"/>
    </w:rPr>
  </w:style>
  <w:style w:type="character" w:customStyle="1" w:styleId="28">
    <w:name w:val="标题 2 字符"/>
    <w:basedOn w:val="18"/>
    <w:link w:val="3"/>
    <w:qFormat/>
    <w:uiPriority w:val="9"/>
    <w:rPr>
      <w:rFonts w:ascii="楷体_GB2312" w:hAnsi="楷体_GB2312" w:eastAsia="楷体_GB2312" w:cs="Times New Roman"/>
      <w:b/>
      <w:bCs/>
      <w:sz w:val="28"/>
      <w:szCs w:val="32"/>
    </w:rPr>
  </w:style>
  <w:style w:type="character" w:customStyle="1" w:styleId="29">
    <w:name w:val="标题 3 字符"/>
    <w:basedOn w:val="18"/>
    <w:link w:val="4"/>
    <w:semiHidden/>
    <w:qFormat/>
    <w:uiPriority w:val="9"/>
    <w:rPr>
      <w:rFonts w:ascii="仿宋_GB2312" w:hAnsi="仿宋_GB2312" w:eastAsia="仿宋_GB2312"/>
      <w:b/>
      <w:bCs/>
      <w:kern w:val="2"/>
      <w:sz w:val="28"/>
      <w:szCs w:val="32"/>
    </w:rPr>
  </w:style>
  <w:style w:type="character" w:customStyle="1" w:styleId="30">
    <w:name w:val="标题 4 Char1"/>
    <w:link w:val="5"/>
    <w:qFormat/>
    <w:uiPriority w:val="9"/>
    <w:rPr>
      <w:rFonts w:ascii="仿宋_GB2312" w:hAnsi="仿宋_GB2312" w:eastAsia="仿宋_GB2312"/>
    </w:rPr>
  </w:style>
  <w:style w:type="character" w:customStyle="1" w:styleId="31">
    <w:name w:val="页脚 字符"/>
    <w:basedOn w:val="18"/>
    <w:link w:val="10"/>
    <w:qFormat/>
    <w:uiPriority w:val="99"/>
    <w:rPr>
      <w:sz w:val="18"/>
      <w:szCs w:val="18"/>
    </w:rPr>
  </w:style>
  <w:style w:type="character" w:customStyle="1" w:styleId="32">
    <w:name w:val="页眉 字符"/>
    <w:basedOn w:val="18"/>
    <w:link w:val="11"/>
    <w:qFormat/>
    <w:uiPriority w:val="99"/>
    <w:rPr>
      <w:sz w:val="18"/>
      <w:szCs w:val="18"/>
    </w:rPr>
  </w:style>
  <w:style w:type="character" w:customStyle="1" w:styleId="33">
    <w:name w:val="副标题 字符"/>
    <w:basedOn w:val="18"/>
    <w:link w:val="12"/>
    <w:qFormat/>
    <w:uiPriority w:val="11"/>
    <w:rPr>
      <w:rFonts w:ascii="仿宋_GB2312" w:eastAsia="仿宋_GB2312"/>
      <w:b/>
      <w:bCs/>
      <w:kern w:val="28"/>
      <w:sz w:val="28"/>
      <w:szCs w:val="32"/>
    </w:rPr>
  </w:style>
  <w:style w:type="paragraph" w:styleId="34">
    <w:name w:val="Quote"/>
    <w:basedOn w:val="1"/>
    <w:next w:val="1"/>
    <w:link w:val="35"/>
    <w:qFormat/>
    <w:uiPriority w:val="29"/>
    <w:pPr>
      <w:ind w:firstLine="486"/>
    </w:pPr>
    <w:rPr>
      <w:rFonts w:eastAsia="华文楷体"/>
      <w:iCs/>
      <w:spacing w:val="-16"/>
      <w:w w:val="98"/>
    </w:rPr>
  </w:style>
  <w:style w:type="character" w:customStyle="1" w:styleId="35">
    <w:name w:val="引用 字符"/>
    <w:basedOn w:val="18"/>
    <w:link w:val="34"/>
    <w:qFormat/>
    <w:uiPriority w:val="29"/>
    <w:rPr>
      <w:rFonts w:ascii="仿宋_GB2312" w:eastAsia="华文楷体"/>
      <w:iCs/>
      <w:spacing w:val="-16"/>
      <w:w w:val="98"/>
      <w:sz w:val="28"/>
    </w:rPr>
  </w:style>
  <w:style w:type="paragraph" w:styleId="36">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7">
    <w:name w:val="不明显强调1"/>
    <w:basedOn w:val="18"/>
    <w:qFormat/>
    <w:uiPriority w:val="19"/>
    <w:rPr>
      <w:i/>
      <w:iCs/>
      <w:color w:val="3F3F3F"/>
    </w:rPr>
  </w:style>
  <w:style w:type="table" w:customStyle="1" w:styleId="38">
    <w:name w:val="Table Normal"/>
    <w:unhideWhenUsed/>
    <w:qFormat/>
    <w:uiPriority w:val="0"/>
    <w:tblPr>
      <w:tblCellMar>
        <w:top w:w="0" w:type="dxa"/>
        <w:left w:w="0" w:type="dxa"/>
        <w:bottom w:w="0" w:type="dxa"/>
        <w:right w:w="0" w:type="dxa"/>
      </w:tblCellMar>
    </w:tblPr>
  </w:style>
  <w:style w:type="paragraph" w:customStyle="1" w:styleId="39">
    <w:name w:val="title_m"/>
    <w:basedOn w:val="1"/>
    <w:qFormat/>
    <w:uiPriority w:val="0"/>
    <w:pPr>
      <w:jc w:val="center"/>
    </w:pPr>
    <w:rPr>
      <w:rFonts w:ascii="宋体" w:hAnsi="宋体" w:eastAsia="宋体" w:cs="宋体"/>
      <w:b/>
      <w:bCs/>
      <w:sz w:val="32"/>
      <w:szCs w:val="32"/>
    </w:rPr>
  </w:style>
  <w:style w:type="paragraph" w:customStyle="1" w:styleId="40">
    <w:name w:val="fulltext_text"/>
    <w:basedOn w:val="1"/>
    <w:qFormat/>
    <w:uiPriority w:val="0"/>
    <w:pPr>
      <w:spacing w:line="525" w:lineRule="atLeast"/>
    </w:pPr>
    <w:rPr>
      <w:rFonts w:ascii="宋体" w:hAnsi="宋体" w:eastAsia="宋体" w:cs="宋体"/>
      <w:sz w:val="24"/>
      <w:szCs w:val="24"/>
    </w:rPr>
  </w:style>
  <w:style w:type="character" w:customStyle="1" w:styleId="41">
    <w:name w:val="c_tiao"/>
    <w:basedOn w:val="18"/>
    <w:qFormat/>
    <w:uiPriority w:val="0"/>
    <w:rPr>
      <w:rFonts w:ascii="宋体" w:hAnsi="宋体" w:eastAsia="宋体" w:cs="宋体"/>
      <w:b/>
      <w:bCs/>
      <w:sz w:val="24"/>
      <w:szCs w:val="24"/>
    </w:rPr>
  </w:style>
  <w:style w:type="paragraph" w:customStyle="1" w:styleId="42">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3">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4">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5">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6">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7">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8">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9">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Body text|3"/>
    <w:basedOn w:val="1"/>
    <w:qFormat/>
    <w:uiPriority w:val="0"/>
    <w:pPr>
      <w:widowControl w:val="0"/>
      <w:shd w:val="clear" w:color="auto" w:fill="auto"/>
      <w:spacing w:line="363" w:lineRule="exact"/>
      <w:ind w:firstLine="140"/>
    </w:pPr>
    <w:rPr>
      <w:u w:val="none"/>
      <w:shd w:val="clear" w:color="auto" w:fill="auto"/>
    </w:rPr>
  </w:style>
  <w:style w:type="character" w:customStyle="1" w:styleId="51">
    <w:name w:val="标题 5 Char"/>
    <w:link w:val="6"/>
    <w:qFormat/>
    <w:uiPriority w:val="9"/>
  </w:style>
  <w:style w:type="character" w:customStyle="1" w:styleId="52">
    <w:name w:val="标题 8 Char"/>
    <w:link w:val="9"/>
    <w:qFormat/>
    <w:uiPriority w:val="9"/>
    <w:rPr>
      <w:rFonts w:ascii="Arial" w:hAnsi="Arial" w:eastAsia="仿宋_GB2312" w:cs="Times New Roman"/>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0</Words>
  <Characters>0</Characters>
  <Lines>1</Lines>
  <Paragraphs>1</Paragraphs>
  <TotalTime>1</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MLee</cp:lastModifiedBy>
  <dcterms:modified xsi:type="dcterms:W3CDTF">2026-07-17T09:57:55Z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7993CD0B1615470F872B5CC331E11B66_13</vt:lpwstr>
  </property>
  <property fmtid="{D5CDD505-2E9C-101B-9397-08002B2CF9AE}" pid="4" name="KSOTemplateDocerSaveRecord">
    <vt:lpwstr>eyJoZGlkIjoiMjIxMjI5YjhlNTAxYzUyOTYyYWZlMGFjYmE4ZTczY2EiLCJ1c2VySWQiOiI0MzAyNjYyMjEifQ==</vt:lpwstr>
  </property>
</Properties>
</file>