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B12C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国家发展改革委、自然资源部、水利部联合印发《海水淡化产业发展行动方案》</w:t>
      </w:r>
    </w:p>
    <w:bookmarkEnd w:id="0"/>
    <w:p w14:paraId="3BE439FF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发布时间：2026/07/17</w:t>
      </w: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default"/>
          <w:lang w:val="en-US" w:eastAsia="zh-CN"/>
        </w:rPr>
        <w:t>来源：环资司</w:t>
      </w:r>
    </w:p>
    <w:p w14:paraId="1D6698B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《中华人民共和国国民经济和社会发展第十五个五年规划纲要》关于壮大海水淡化等海洋新兴产业相关部署，加快推进海水淡化产业高质量发展，近日，国家发展改革委、自然资源部、水利部联合印发《海水淡化产业发展行动方案》（以下简称《行动方案》）。</w:t>
      </w:r>
    </w:p>
    <w:p w14:paraId="7368510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行动方案》聚焦水资源节约保护与海洋强国建设战略目标，坚持市场化推进原则，以拓展应用场景为主线，以强化科技创新为动力，以健全政策标准为保障，部署实施城市水安全强韧性、海岛及船舶供水提能级、工业利用扩规模、科技创新补短板、产业链协同增效能、绿色低碳促转型、国际合作助共赢等7大行动，促进海水淡化科技与产业创新深度融合，推动海水淡化产业链全面提质升级，不断提升海水淡化水规模化利用水平。到2030年，全国海水淡化工程总规模达到450万吨/日以上，新增海水淡化工程规模150万吨/日以上。</w:t>
      </w:r>
    </w:p>
    <w:p w14:paraId="5AB48EB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步，国家发展改革委、自然资源部、水利部将会同有关部门全力推动《行动方案》各项任务举措落实落地，加强统筹协调，督促指导沿海地区结合实际，强化责任落实，细化工作安排，做强做优做大海水淡化产业，提升水资源安全保障能力，助力海洋经济高质量发展和海洋强国建设。</w:t>
      </w:r>
    </w:p>
    <w:p w14:paraId="56F3481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https://www.ndrc.gov.cn/xxgk/jd/jd/202607/t20260717_1406556.html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476B0E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2026-07-17T09:55:27Z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25E4F5D3487847E6A19D7E75356F5FA4_13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