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8F20C">
      <w:pPr>
        <w:spacing w:after="0" w:afterLines="-2147483648" w:line="560" w:lineRule="exact"/>
        <w:jc w:val="left"/>
        <w:outlineLvl w:val="0"/>
        <w:rPr>
          <w:rFonts w:hint="eastAsia" w:ascii="方正小标宋简体" w:hAnsi="方正小标宋简体" w:eastAsia="黑体" w:cs="方正小标宋简体"/>
          <w:sz w:val="32"/>
          <w:szCs w:val="32"/>
        </w:rPr>
      </w:pPr>
      <w:r>
        <w:rPr>
          <w:rFonts w:hint="eastAsia" w:ascii="黑体" w:hAnsi="黑体" w:eastAsia="黑体" w:cs="黑体"/>
          <w:color w:val="333333"/>
          <w:sz w:val="32"/>
          <w:szCs w:val="32"/>
          <w:shd w:val="clear" w:color="auto" w:fill="FFFFFF"/>
        </w:rPr>
        <w:t>附件2</w:t>
      </w:r>
    </w:p>
    <w:p w14:paraId="59AA840F">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2026年智能网联汽车数据应用与流通交易</w:t>
      </w:r>
    </w:p>
    <w:p w14:paraId="7D991B26">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奖励办事指南</w:t>
      </w:r>
    </w:p>
    <w:p w14:paraId="75B369A0">
      <w:pPr>
        <w:pStyle w:val="2"/>
        <w:spacing w:after="0" w:line="560" w:lineRule="exact"/>
        <w:rPr>
          <w:rFonts w:hint="eastAsia" w:ascii="楷体_GB2312" w:hAnsi="楷体_GB2312" w:eastAsia="楷体_GB2312" w:cs="楷体_GB2312"/>
        </w:rPr>
      </w:pPr>
    </w:p>
    <w:p w14:paraId="7EE823D2">
      <w:pPr>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sz w:val="32"/>
          <w:szCs w:val="32"/>
        </w:rPr>
        <w:t>一、政策依据</w:t>
      </w:r>
    </w:p>
    <w:p w14:paraId="2AB32381">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《北京经济技术开发区关于促进智能网联汽车产业高质量发展若干政策》</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京技管发〔2024〕26号</w:t>
      </w:r>
      <w:r>
        <w:rPr>
          <w:rFonts w:hint="eastAsia" w:ascii="仿宋_GB2312" w:hAnsi="仿宋_GB2312" w:eastAsia="仿宋_GB2312" w:cs="仿宋_GB2312"/>
          <w:sz w:val="32"/>
          <w:szCs w:val="32"/>
        </w:rPr>
        <w:t>）</w:t>
      </w:r>
      <w:r>
        <w:rPr>
          <w:rFonts w:hint="eastAsia" w:ascii="仿宋_GB2312" w:hAnsi="仿宋_GB2312" w:eastAsia="仿宋_GB2312" w:cs="仿宋_GB2312"/>
          <w:bCs/>
          <w:color w:val="000000"/>
          <w:sz w:val="32"/>
          <w:szCs w:val="32"/>
        </w:rPr>
        <w:t>中第三条“鼓励数据应用及要素流通交易。依托北京数据基础制度先行区，打造智能网联汽车数据安全监管沙盒，促进数据资源价值挖掘及流通交易。围绕自动驾驶感知规控算法训练、设计运行场景验证、安全运行能力测试等应用方向，支持特色数据产品开发。对于通过合规渠道获取并有效利用流通数据、促进数据商业化应用的主体，按其实际支付的数据交易额的30%予以支持，每个企业每年支持金额最高150万元。”</w:t>
      </w:r>
    </w:p>
    <w:p w14:paraId="3565DB37">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二、申报事项</w:t>
      </w:r>
    </w:p>
    <w:p w14:paraId="1F978E2C">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2026年智能网联汽车数据应用与流通交易奖励</w:t>
      </w:r>
    </w:p>
    <w:p w14:paraId="1435E283">
      <w:pPr>
        <w:spacing w:line="560"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三、申报条件</w:t>
      </w:r>
    </w:p>
    <w:p w14:paraId="723F7BB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（一）申报主体在亦庄新城225平方公里范围内</w:t>
      </w:r>
      <w:r>
        <w:rPr>
          <w:rFonts w:hint="eastAsia" w:ascii="仿宋_GB2312" w:hAnsi="仿宋_GB2312" w:eastAsia="仿宋_GB2312" w:cs="仿宋_GB2312"/>
          <w:color w:val="000000"/>
          <w:sz w:val="32"/>
          <w:szCs w:val="32"/>
        </w:rPr>
        <w:t>依法实际经营并对亦庄新城发展产生实际贡献，</w:t>
      </w:r>
      <w:r>
        <w:rPr>
          <w:rFonts w:hint="eastAsia" w:ascii="仿宋_GB2312" w:hAnsi="仿宋_GB2312" w:eastAsia="仿宋_GB2312" w:cs="仿宋_GB2312"/>
          <w:sz w:val="32"/>
          <w:szCs w:val="32"/>
        </w:rPr>
        <w:t>近三年无重大行政处罚记录和刑事犯罪记录，未列入严重违法失信主体名单。</w:t>
      </w:r>
    </w:p>
    <w:p w14:paraId="087A7AFF">
      <w:pPr>
        <w:spacing w:line="560" w:lineRule="exact"/>
        <w:ind w:firstLine="640" w:firstLineChars="200"/>
      </w:pPr>
      <w:r>
        <w:rPr>
          <w:rFonts w:hint="eastAsia" w:ascii="仿宋_GB2312" w:hAnsi="仿宋_GB2312" w:eastAsia="仿宋_GB2312" w:cs="仿宋_GB2312"/>
          <w:sz w:val="32"/>
          <w:szCs w:val="32"/>
        </w:rPr>
        <w:t>（二）申报主体需为</w:t>
      </w:r>
      <w:r>
        <w:rPr>
          <w:rFonts w:hint="eastAsia" w:ascii="仿宋_GB2312" w:hAnsi="仿宋_GB2312" w:eastAsia="仿宋_GB2312" w:cs="仿宋_GB2312"/>
          <w:sz w:val="32"/>
          <w:szCs w:val="32"/>
          <w:lang w:bidi="ar"/>
        </w:rPr>
        <w:t>实质支付购买数据产品或服务的企业。</w:t>
      </w:r>
      <w:r>
        <w:rPr>
          <w:rFonts w:hint="eastAsia" w:ascii="仿宋_GB2312" w:hAnsi="仿宋_GB2312" w:eastAsia="仿宋_GB2312" w:cs="仿宋_GB2312"/>
          <w:bCs/>
          <w:color w:val="000000"/>
          <w:sz w:val="32"/>
          <w:szCs w:val="32"/>
        </w:rPr>
        <w:t>数据交易须</w:t>
      </w:r>
      <w:r>
        <w:rPr>
          <w:rFonts w:hint="eastAsia" w:ascii="仿宋_GB2312" w:hAnsi="仿宋_GB2312" w:eastAsia="仿宋_GB2312" w:cs="仿宋_GB2312"/>
          <w:sz w:val="32"/>
          <w:szCs w:val="32"/>
        </w:rPr>
        <w:t>围绕智能网联汽车发展方向，包括</w:t>
      </w:r>
      <w:r>
        <w:rPr>
          <w:rFonts w:hint="eastAsia" w:ascii="仿宋_GB2312" w:hAnsi="仿宋_GB2312" w:eastAsia="仿宋_GB2312" w:cs="仿宋_GB2312"/>
          <w:bCs/>
          <w:color w:val="000000"/>
          <w:sz w:val="32"/>
          <w:szCs w:val="32"/>
        </w:rPr>
        <w:t>自动驾驶感知规控算法训练、设计运行场景验证、安全运行能力测试等</w:t>
      </w:r>
      <w:r>
        <w:rPr>
          <w:rFonts w:hint="eastAsia" w:ascii="仿宋_GB2312" w:hAnsi="仿宋_GB2312" w:eastAsia="仿宋_GB2312" w:cs="仿宋_GB2312"/>
          <w:sz w:val="32"/>
          <w:szCs w:val="32"/>
        </w:rPr>
        <w:t>应用</w:t>
      </w:r>
      <w:r>
        <w:rPr>
          <w:rFonts w:hint="eastAsia" w:ascii="仿宋_GB2312" w:hAnsi="仿宋_GB2312" w:eastAsia="仿宋_GB2312" w:cs="仿宋_GB2312"/>
          <w:bCs/>
          <w:color w:val="000000"/>
          <w:sz w:val="32"/>
          <w:szCs w:val="32"/>
        </w:rPr>
        <w:t>方向</w:t>
      </w:r>
      <w:r>
        <w:rPr>
          <w:rFonts w:hint="eastAsia" w:ascii="仿宋_GB2312" w:hAnsi="仿宋_GB2312" w:eastAsia="仿宋_GB2312" w:cs="仿宋_GB2312"/>
          <w:sz w:val="32"/>
          <w:szCs w:val="32"/>
        </w:rPr>
        <w:t>。</w:t>
      </w:r>
    </w:p>
    <w:p w14:paraId="5DCD35D1">
      <w:pPr>
        <w:pStyle w:val="2"/>
        <w:spacing w:after="0" w:line="560" w:lineRule="exact"/>
        <w:ind w:firstLine="640" w:firstLineChars="200"/>
      </w:pPr>
      <w:r>
        <w:rPr>
          <w:rFonts w:hint="eastAsia"/>
        </w:rPr>
        <w:t>数据交易内容包括但不限于以下数据类型的数据采集、存储、清洗、标注、融合、模型训练、场景库开发、安全测试等数据产品或服务：</w:t>
      </w:r>
    </w:p>
    <w:p w14:paraId="24968113">
      <w:pPr>
        <w:pStyle w:val="2"/>
        <w:spacing w:after="0" w:line="560" w:lineRule="exact"/>
        <w:ind w:firstLine="640" w:firstLineChars="200"/>
      </w:pPr>
      <w:r>
        <w:rPr>
          <w:rFonts w:hint="eastAsia"/>
        </w:rPr>
        <w:t>1.车辆感知数据、车辆运行状态数据、车辆决策数据、路侧感知数据、舱内安全数据等；</w:t>
      </w:r>
    </w:p>
    <w:p w14:paraId="3CE269D4">
      <w:pPr>
        <w:pStyle w:val="2"/>
        <w:spacing w:after="0" w:line="560" w:lineRule="exact"/>
        <w:ind w:firstLine="640" w:firstLineChars="200"/>
      </w:pPr>
      <w:r>
        <w:rPr>
          <w:rFonts w:hint="eastAsia"/>
        </w:rPr>
        <w:t>2.高精度标注数据、仿真场景数据、测试场景数据、驾驶自动化算法数据等；</w:t>
      </w:r>
    </w:p>
    <w:p w14:paraId="5502BF22">
      <w:pPr>
        <w:pStyle w:val="2"/>
        <w:spacing w:after="0" w:line="560" w:lineRule="exact"/>
        <w:ind w:firstLine="640" w:firstLineChars="200"/>
      </w:pPr>
      <w:r>
        <w:rPr>
          <w:rFonts w:hint="eastAsia"/>
        </w:rPr>
        <w:t>3.自动驾驶异常事件数据等。</w:t>
      </w:r>
    </w:p>
    <w:p w14:paraId="656B6260">
      <w:pPr>
        <w:pStyle w:val="16"/>
        <w:widowControl w:val="0"/>
        <w:spacing w:before="0" w:beforeAutospacing="0" w:after="0" w:afterAutospacing="0" w:line="560" w:lineRule="exact"/>
        <w:ind w:firstLine="641"/>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w:t>
      </w:r>
      <w:r>
        <w:rPr>
          <w:rFonts w:hint="eastAsia" w:ascii="仿宋_GB2312" w:hAnsi="仿宋_GB2312" w:eastAsia="仿宋_GB2312" w:cs="仿宋_GB2312"/>
          <w:bCs/>
          <w:color w:val="000000"/>
          <w:kern w:val="2"/>
          <w:sz w:val="32"/>
          <w:szCs w:val="32"/>
        </w:rPr>
        <w:t>数据交易应满足行业相关监管要求，交易数据来源及应用须安全、合法、合规。</w:t>
      </w:r>
    </w:p>
    <w:p w14:paraId="63A9F3B6">
      <w:pPr>
        <w:spacing w:line="560" w:lineRule="exact"/>
        <w:ind w:firstLine="640" w:firstLineChars="200"/>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数据交易涉及的产品/服务</w:t>
      </w:r>
      <w:r>
        <w:rPr>
          <w:rFonts w:hint="eastAsia" w:ascii="仿宋_GB2312" w:hAnsi="仿宋_GB2312" w:eastAsia="仿宋_GB2312" w:cs="仿宋_GB2312"/>
          <w:sz w:val="32"/>
          <w:szCs w:val="32"/>
        </w:rPr>
        <w:t>在自动驾驶公共数据专区或北京人工智能数据训练基地进行目录登记，或在依法设立的数据交易所进行挂牌</w:t>
      </w:r>
      <w:r>
        <w:rPr>
          <w:rFonts w:ascii="仿宋_GB2312" w:hAnsi="仿宋_GB2312" w:eastAsia="仿宋_GB2312" w:cs="仿宋_GB2312"/>
          <w:sz w:val="32"/>
          <w:szCs w:val="32"/>
        </w:rPr>
        <w:t>登记</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，对此</w:t>
      </w:r>
      <w:r>
        <w:rPr>
          <w:rFonts w:hint="eastAsia" w:ascii="仿宋_GB2312" w:hAnsi="仿宋_GB2312" w:eastAsia="仿宋_GB2312" w:cs="仿宋_GB2312"/>
          <w:sz w:val="32"/>
          <w:szCs w:val="32"/>
        </w:rPr>
        <w:t>优先奖励。利用北京人工智能数据训练基地公共算力及相关工具平台、支持产品上架和流通交易的</w:t>
      </w:r>
      <w:r>
        <w:rPr>
          <w:rFonts w:ascii="仿宋_GB2312" w:hAnsi="仿宋_GB2312" w:eastAsia="仿宋_GB2312" w:cs="仿宋_GB2312"/>
          <w:sz w:val="32"/>
          <w:szCs w:val="32"/>
        </w:rPr>
        <w:t>，对此</w:t>
      </w:r>
      <w:r>
        <w:rPr>
          <w:rFonts w:hint="eastAsia" w:ascii="仿宋_GB2312" w:hAnsi="仿宋_GB2312" w:eastAsia="仿宋_GB2312" w:cs="仿宋_GB2312"/>
          <w:sz w:val="32"/>
          <w:szCs w:val="32"/>
        </w:rPr>
        <w:t>优先奖励。</w:t>
      </w:r>
    </w:p>
    <w:p w14:paraId="09F76A1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（五）数据交易实际支付时间需在2025年1月1日至2025年12月31日内。</w:t>
      </w:r>
    </w:p>
    <w:p w14:paraId="44357B3C">
      <w:pPr>
        <w:spacing w:line="560" w:lineRule="exact"/>
        <w:ind w:firstLine="640" w:firstLineChars="200"/>
        <w:rPr>
          <w:rFonts w:hint="eastAsia"/>
        </w:rPr>
      </w:pPr>
      <w:r>
        <w:rPr>
          <w:rFonts w:hint="eastAsia" w:ascii="黑体" w:hAnsi="黑体" w:eastAsia="黑体" w:cs="黑体"/>
          <w:bCs/>
          <w:color w:val="000000"/>
          <w:sz w:val="32"/>
          <w:szCs w:val="32"/>
        </w:rPr>
        <w:t>四、支持内容及标准</w:t>
      </w:r>
      <w:bookmarkStart w:id="0" w:name="_GoBack"/>
      <w:bookmarkEnd w:id="0"/>
    </w:p>
    <w:p w14:paraId="016FA3A6">
      <w:pPr>
        <w:pStyle w:val="16"/>
        <w:widowControl w:val="0"/>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（一）支持企业2025年1月1日至2025年12月31日期间实际发生数据交易并支付交易额（发票总金额）的30%，超过执行期限的部分，不作为实际交易额的核定依据；</w:t>
      </w:r>
    </w:p>
    <w:p w14:paraId="32E5CEFA">
      <w:pPr>
        <w:pStyle w:val="16"/>
        <w:widowControl w:val="0"/>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（二）同一企业每年支持金额最高150万元。</w:t>
      </w:r>
    </w:p>
    <w:p w14:paraId="35422517">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五、申报材料及要求</w:t>
      </w:r>
    </w:p>
    <w:p w14:paraId="4595A14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1.2026年智能网联汽车数据应用与流通交易奖励申报表，在线填写；</w:t>
      </w:r>
    </w:p>
    <w:p w14:paraId="1859390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eastAsia="仿宋_GB2312"/>
          <w:sz w:val="32"/>
          <w:szCs w:val="32"/>
        </w:rPr>
        <w:t>企业营业执照</w:t>
      </w:r>
      <w:r>
        <w:rPr>
          <w:rFonts w:hint="eastAsia" w:ascii="仿宋_GB2312" w:hAnsi="仿宋_GB2312" w:eastAsia="仿宋_GB2312" w:cs="仿宋_GB2312"/>
          <w:sz w:val="32"/>
          <w:szCs w:val="32"/>
        </w:rPr>
        <w:t>，选取电子证照；</w:t>
      </w:r>
    </w:p>
    <w:p w14:paraId="31ECEED3">
      <w:pPr>
        <w:spacing w:line="560" w:lineRule="exact"/>
        <w:ind w:firstLine="640" w:firstLineChars="200"/>
        <w:rPr>
          <w:rFonts w:ascii="仿宋_GB2312" w:eastAsia="仿宋_GB2312"/>
          <w:sz w:val="32"/>
          <w:szCs w:val="32"/>
        </w:rPr>
      </w:pPr>
      <w:r>
        <w:rPr>
          <w:rFonts w:hint="eastAsia" w:ascii="仿宋_GB2312" w:eastAsia="仿宋_GB2312"/>
          <w:sz w:val="32"/>
          <w:szCs w:val="32"/>
        </w:rPr>
        <w:t>3.承诺书，下载模板填写，签字、加盖公章，彩色扫描上传；</w:t>
      </w:r>
    </w:p>
    <w:p w14:paraId="6992DA1C">
      <w:pPr>
        <w:spacing w:line="560" w:lineRule="exact"/>
        <w:ind w:firstLine="640"/>
        <w:rPr>
          <w:rFonts w:ascii="仿宋_GB2312" w:eastAsia="仿宋_GB2312"/>
          <w:sz w:val="32"/>
          <w:szCs w:val="32"/>
        </w:rPr>
      </w:pPr>
      <w:r>
        <w:rPr>
          <w:rFonts w:hint="eastAsia" w:ascii="仿宋_GB2312" w:eastAsia="仿宋_GB2312"/>
          <w:sz w:val="32"/>
          <w:szCs w:val="32"/>
        </w:rPr>
        <w:t>4.银行账户信息，下载模板填写，加盖公章，彩色扫描上传；</w:t>
      </w:r>
    </w:p>
    <w:p w14:paraId="41C64C9F">
      <w:pPr>
        <w:spacing w:line="560" w:lineRule="exact"/>
        <w:ind w:firstLine="640" w:firstLineChars="200"/>
        <w:outlineLvl w:val="2"/>
        <w:rPr>
          <w:rFonts w:ascii="仿宋_GB2312" w:eastAsia="仿宋_GB2312"/>
          <w:sz w:val="32"/>
          <w:szCs w:val="32"/>
        </w:rPr>
      </w:pPr>
      <w:r>
        <w:rPr>
          <w:rFonts w:hint="eastAsia" w:ascii="仿宋_GB2312" w:hAnsi="仿宋_GB2312" w:eastAsia="仿宋_GB2312" w:cs="仿宋_GB2312"/>
          <w:sz w:val="32"/>
          <w:szCs w:val="32"/>
        </w:rPr>
        <w:t>5.数据交易合同、相对应的发票、</w:t>
      </w:r>
      <w:r>
        <w:rPr>
          <w:rFonts w:hint="eastAsia" w:ascii="仿宋_GB2312" w:eastAsia="仿宋_GB2312"/>
          <w:sz w:val="32"/>
          <w:szCs w:val="32"/>
        </w:rPr>
        <w:t>交易</w:t>
      </w:r>
      <w:r>
        <w:rPr>
          <w:rFonts w:hint="eastAsia" w:ascii="仿宋_GB2312" w:hAnsi="仿宋_GB2312" w:eastAsia="仿宋_GB2312" w:cs="仿宋_GB2312"/>
          <w:bCs/>
          <w:color w:val="000000"/>
          <w:sz w:val="32"/>
          <w:szCs w:val="32"/>
        </w:rPr>
        <w:t>数据应用方向说明；发票</w:t>
      </w:r>
      <w:r>
        <w:rPr>
          <w:rFonts w:hint="eastAsia" w:ascii="仿宋_GB2312" w:hAnsi="仿宋_GB2312" w:eastAsia="仿宋_GB2312" w:cs="仿宋_GB2312"/>
          <w:sz w:val="32"/>
          <w:szCs w:val="32"/>
        </w:rPr>
        <w:t>开票日期须在2025年1月1日至2025年12月31日内，原件彩色扫描上传（若无法扫描原件，需复印件加盖公章，彩色扫描上传）；</w:t>
      </w:r>
    </w:p>
    <w:p w14:paraId="6F76518A">
      <w:pPr>
        <w:spacing w:line="560" w:lineRule="exact"/>
        <w:ind w:firstLine="640"/>
        <w:rPr>
          <w:rFonts w:ascii="仿宋_GB2312" w:eastAsia="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bCs/>
          <w:color w:val="000000"/>
          <w:sz w:val="32"/>
          <w:szCs w:val="32"/>
        </w:rPr>
        <w:t>交易数据来源及应用的合法合规、数据应用安全承诺，</w:t>
      </w:r>
      <w:r>
        <w:rPr>
          <w:rFonts w:hint="eastAsia" w:ascii="仿宋_GB2312" w:eastAsia="仿宋_GB2312"/>
          <w:sz w:val="32"/>
          <w:szCs w:val="32"/>
        </w:rPr>
        <w:t>加盖公章，彩色扫描上传；</w:t>
      </w:r>
    </w:p>
    <w:p w14:paraId="29231CE9">
      <w:pPr>
        <w:spacing w:line="560" w:lineRule="exact"/>
        <w:ind w:firstLine="640"/>
        <w:rPr>
          <w:rStyle w:val="14"/>
        </w:rPr>
      </w:pPr>
      <w:r>
        <w:rPr>
          <w:rFonts w:hint="eastAsia" w:ascii="仿宋_GB2312" w:eastAsia="仿宋_GB2312"/>
          <w:sz w:val="32"/>
          <w:szCs w:val="32"/>
        </w:rPr>
        <w:t>7.</w:t>
      </w:r>
      <w:r>
        <w:rPr>
          <w:rFonts w:ascii="仿宋_GB2312" w:eastAsia="仿宋_GB2312"/>
          <w:sz w:val="32"/>
          <w:szCs w:val="32"/>
        </w:rPr>
        <w:t>数据交易涉及的产品/服务</w:t>
      </w:r>
      <w:r>
        <w:rPr>
          <w:rFonts w:hint="eastAsia" w:ascii="仿宋_GB2312" w:hAnsi="仿宋_GB2312" w:eastAsia="仿宋_GB2312" w:cs="仿宋_GB2312"/>
          <w:sz w:val="32"/>
          <w:szCs w:val="32"/>
        </w:rPr>
        <w:t>在北京人工智能数据训练基地</w:t>
      </w:r>
      <w:r>
        <w:rPr>
          <w:rFonts w:hint="eastAsia" w:ascii="仿宋_GB2312" w:eastAsia="仿宋_GB2312"/>
          <w:sz w:val="32"/>
          <w:szCs w:val="32"/>
        </w:rPr>
        <w:t>目录登记、使用相关平台或基础设施的情况说明，或服务合同协议（如有），或在相关平台的交易记录（如有）</w:t>
      </w:r>
      <w:r>
        <w:rPr>
          <w:rFonts w:ascii="仿宋_GB2312" w:eastAsia="仿宋_GB2312"/>
          <w:sz w:val="32"/>
          <w:szCs w:val="32"/>
        </w:rPr>
        <w:t>，</w:t>
      </w:r>
      <w:r>
        <w:rPr>
          <w:rFonts w:hint="eastAsia" w:ascii="仿宋_GB2312" w:eastAsia="仿宋_GB2312"/>
          <w:sz w:val="32"/>
          <w:szCs w:val="32"/>
        </w:rPr>
        <w:t>加盖公章，彩色扫描上传。</w:t>
      </w:r>
    </w:p>
    <w:p w14:paraId="4318E133">
      <w:pPr>
        <w:pStyle w:val="2"/>
        <w:spacing w:after="0" w:line="560" w:lineRule="exact"/>
        <w:ind w:firstLine="640" w:firstLineChars="200"/>
      </w:pPr>
      <w:r>
        <w:rPr>
          <w:rFonts w:hint="eastAsia"/>
        </w:rPr>
        <w:t>在数据交易所进行交易的，还需提供数据交易场所颁发的数据产品登记证书或挂牌公告截图，或提供由交易场所出具的交易成交确认书、交易结算单或交易合同备案证明（如有），加盖公章，彩色扫描上传。</w:t>
      </w:r>
    </w:p>
    <w:p w14:paraId="2C84311A">
      <w:pPr>
        <w:pStyle w:val="2"/>
        <w:spacing w:after="0" w:line="560" w:lineRule="exact"/>
        <w:ind w:firstLine="640" w:firstLineChars="200"/>
      </w:pPr>
      <w:r>
        <w:rPr>
          <w:rFonts w:hint="eastAsia"/>
        </w:rPr>
        <w:t>8.涉及母公司统一采购服务的，需提供集团内部成本分摊协议或授权使用协议，以及子公司支付给母公司的银行转账凭证或账务分录，原件彩色扫描上传</w:t>
      </w:r>
      <w:r>
        <w:rPr>
          <w:rFonts w:hint="eastAsia" w:hAnsi="仿宋_GB2312"/>
        </w:rPr>
        <w:t>（若无法扫描原件，需复印件加盖公章，彩色扫描上传）</w:t>
      </w:r>
      <w:r>
        <w:rPr>
          <w:rFonts w:hint="eastAsia"/>
        </w:rPr>
        <w:t>。</w:t>
      </w:r>
    </w:p>
    <w:p w14:paraId="665C8889">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六、办理程序</w:t>
      </w:r>
    </w:p>
    <w:p w14:paraId="06EEE4A9">
      <w:pPr>
        <w:pStyle w:val="9"/>
        <w:widowControl w:val="0"/>
        <w:numPr>
          <w:ilvl w:val="255"/>
          <w:numId w:val="0"/>
        </w:numPr>
        <w:shd w:val="clear" w:color="auto" w:fill="FFFFFF"/>
        <w:spacing w:beforeAutospacing="0" w:afterAutospacing="0" w:line="560" w:lineRule="exact"/>
        <w:ind w:firstLine="643"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（一）网上申报</w:t>
      </w:r>
      <w:r>
        <w:rPr>
          <w:rFonts w:hint="eastAsia" w:ascii="仿宋_GB2312" w:hAnsi="仿宋_GB2312" w:eastAsia="仿宋_GB2312" w:cs="仿宋_GB2312"/>
          <w:color w:val="000000"/>
          <w:kern w:val="2"/>
          <w:sz w:val="32"/>
          <w:szCs w:val="32"/>
        </w:rPr>
        <w:t>：通过</w:t>
      </w:r>
      <w:r>
        <w:rPr>
          <w:rFonts w:hint="eastAsia" w:ascii="仿宋_GB2312" w:hAnsi="仿宋_GB2312" w:eastAsia="仿宋_GB2312" w:cs="仿宋_GB2312"/>
          <w:kern w:val="2"/>
          <w:sz w:val="32"/>
          <w:szCs w:val="32"/>
        </w:rPr>
        <w:t>北京市人民政府门户网站“政策兑现专区”（https://zhengce.beijing.gov.cn）或经开区官网“政策兑现”栏目（zcdx.kfqgw.beijing.gov.cn）进入政策兑现综合服务平台，注册登录后进行项目申报。</w:t>
      </w:r>
      <w:r>
        <w:rPr>
          <w:rFonts w:hint="eastAsia" w:ascii="仿宋_GB2312" w:hAnsi="仿宋_GB2312" w:eastAsia="仿宋_GB2312" w:cs="仿宋_GB2312"/>
          <w:color w:val="000000"/>
          <w:kern w:val="2"/>
          <w:sz w:val="32"/>
          <w:szCs w:val="32"/>
        </w:rPr>
        <w:t>如未在规定时间内提交申请的，视为自动放弃。</w:t>
      </w:r>
    </w:p>
    <w:p w14:paraId="15C6E8A9">
      <w:pPr>
        <w:pStyle w:val="9"/>
        <w:widowControl w:val="0"/>
        <w:numPr>
          <w:ilvl w:val="255"/>
          <w:numId w:val="0"/>
        </w:numPr>
        <w:shd w:val="clear" w:color="auto" w:fill="FFFFFF"/>
        <w:spacing w:beforeAutospacing="0" w:afterAutospacing="0" w:line="560" w:lineRule="exact"/>
        <w:ind w:firstLine="643"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（二）初审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14:paraId="0AD856E4">
      <w:pPr>
        <w:pStyle w:val="9"/>
        <w:widowControl w:val="0"/>
        <w:shd w:val="clear" w:color="auto" w:fill="FFFFFF"/>
        <w:spacing w:beforeAutospacing="0" w:afterAutospacing="0" w:line="560" w:lineRule="exact"/>
        <w:ind w:firstLine="643"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（三）审核</w:t>
      </w:r>
      <w:r>
        <w:rPr>
          <w:rFonts w:hint="eastAsia" w:ascii="仿宋_GB2312" w:hAnsi="仿宋_GB2312" w:eastAsia="仿宋_GB2312" w:cs="仿宋_GB2312"/>
          <w:color w:val="000000"/>
          <w:kern w:val="2"/>
          <w:sz w:val="32"/>
          <w:szCs w:val="32"/>
        </w:rPr>
        <w:t>：北京市智慧城市基础设施与智能网联汽车协同发展工作办公室对申报材料进行实质审核。</w:t>
      </w:r>
    </w:p>
    <w:p w14:paraId="56B45F43">
      <w:pPr>
        <w:pStyle w:val="9"/>
        <w:widowControl w:val="0"/>
        <w:shd w:val="clear" w:color="auto" w:fill="FFFFFF"/>
        <w:spacing w:beforeAutospacing="0" w:afterAutospacing="0" w:line="560" w:lineRule="exact"/>
        <w:ind w:firstLine="643"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（四）确定扶持结果</w:t>
      </w:r>
      <w:r>
        <w:rPr>
          <w:rFonts w:hint="eastAsia" w:ascii="仿宋_GB2312" w:hAnsi="仿宋_GB2312" w:eastAsia="仿宋_GB2312" w:cs="仿宋_GB2312"/>
          <w:color w:val="000000"/>
          <w:kern w:val="2"/>
          <w:sz w:val="32"/>
          <w:szCs w:val="32"/>
        </w:rPr>
        <w:t>：北京市智慧城市基础设施与智能网联汽车协同发展工作办公室对审核通过的申报主体拟定兑现支持奖励金额。</w:t>
      </w:r>
    </w:p>
    <w:p w14:paraId="60B783A6">
      <w:pPr>
        <w:pStyle w:val="2"/>
        <w:widowControl w:val="0"/>
        <w:shd w:val="clear" w:color="auto" w:fill="FFFFFF"/>
        <w:spacing w:after="0" w:line="560" w:lineRule="exact"/>
        <w:ind w:firstLine="643" w:firstLineChars="200"/>
        <w:rPr>
          <w:rFonts w:hint="eastAsia" w:hAnsi="仿宋_GB2312"/>
          <w:color w:val="000000"/>
        </w:rPr>
      </w:pPr>
      <w:r>
        <w:rPr>
          <w:rFonts w:hint="eastAsia" w:hAnsi="仿宋_GB2312"/>
          <w:b/>
          <w:bCs/>
          <w:color w:val="000000"/>
        </w:rPr>
        <w:t>（</w:t>
      </w:r>
      <w:r>
        <w:rPr>
          <w:rFonts w:hint="eastAsia" w:hAnsi="仿宋_GB2312"/>
          <w:b/>
          <w:bCs/>
          <w:color w:val="000000"/>
          <w:lang w:eastAsia="zh-CN"/>
        </w:rPr>
        <w:t>五</w:t>
      </w:r>
      <w:r>
        <w:rPr>
          <w:rFonts w:hint="eastAsia" w:hAnsi="仿宋_GB2312"/>
          <w:b/>
          <w:bCs/>
          <w:color w:val="000000"/>
        </w:rPr>
        <w:t>）公示</w:t>
      </w:r>
      <w:r>
        <w:rPr>
          <w:rFonts w:hint="eastAsia" w:hAnsi="仿宋_GB2312"/>
          <w:color w:val="000000"/>
        </w:rPr>
        <w:t>：北京市智慧城市基础设施与智能网联汽车协同发展工作办公室通过政策兑现综合服务平台对审核通过的申报主体进行公示。</w:t>
      </w:r>
    </w:p>
    <w:p w14:paraId="7B42703C">
      <w:pPr>
        <w:pStyle w:val="9"/>
        <w:widowControl w:val="0"/>
        <w:shd w:val="clear" w:color="auto" w:fill="FFFFFF"/>
        <w:spacing w:beforeAutospacing="0" w:afterAutospacing="0" w:line="560" w:lineRule="exact"/>
        <w:ind w:firstLine="643"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w:t>
      </w:r>
      <w:r>
        <w:rPr>
          <w:rFonts w:hint="eastAsia" w:ascii="仿宋_GB2312" w:hAnsi="仿宋_GB2312" w:eastAsia="仿宋_GB2312" w:cs="仿宋_GB2312"/>
          <w:b/>
          <w:bCs/>
          <w:color w:val="000000"/>
          <w:kern w:val="2"/>
          <w:sz w:val="32"/>
          <w:szCs w:val="32"/>
          <w:lang w:eastAsia="zh-CN"/>
        </w:rPr>
        <w:t>六</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3ED8B472">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七、主责部门</w:t>
      </w:r>
    </w:p>
    <w:p w14:paraId="1A8F3CA1">
      <w:pPr>
        <w:spacing w:line="560" w:lineRule="exact"/>
        <w:ind w:firstLine="640" w:firstLineChars="200"/>
        <w:rPr>
          <w:rFonts w:hint="eastAsia" w:ascii="黑体" w:hAnsi="黑体" w:eastAsia="黑体" w:cs="黑体"/>
          <w:sz w:val="32"/>
          <w:szCs w:val="32"/>
        </w:rPr>
      </w:pPr>
      <w:r>
        <w:rPr>
          <w:rFonts w:hint="eastAsia" w:ascii="仿宋_GB2312" w:hAnsi="仿宋_GB2312" w:eastAsia="仿宋_GB2312" w:cs="仿宋_GB2312"/>
          <w:color w:val="000000"/>
          <w:sz w:val="32"/>
          <w:szCs w:val="32"/>
        </w:rPr>
        <w:t>北京市智慧城市基础设施与智能网联汽车协同发展工作办公室</w:t>
      </w:r>
    </w:p>
    <w:p w14:paraId="04159D58">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八、受理窗口</w:t>
      </w:r>
    </w:p>
    <w:p w14:paraId="4C41FCEE">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14:paraId="1A9106A3">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九、申报时间</w:t>
      </w:r>
    </w:p>
    <w:p w14:paraId="48B85C5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日至2026年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p>
    <w:p w14:paraId="63BAD66F">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十、联系方式</w:t>
      </w:r>
    </w:p>
    <w:p w14:paraId="11C14AF3">
      <w:pPr>
        <w:spacing w:line="560" w:lineRule="exact"/>
        <w:ind w:firstLine="640" w:firstLineChars="200"/>
        <w:rPr>
          <w:rFonts w:eastAsia="仿宋_GB2312"/>
          <w:sz w:val="32"/>
          <w:szCs w:val="32"/>
        </w:rPr>
      </w:pPr>
      <w:r>
        <w:rPr>
          <w:rFonts w:hint="eastAsia" w:eastAsia="仿宋_GB2312"/>
          <w:sz w:val="32"/>
          <w:szCs w:val="32"/>
        </w:rPr>
        <w:t>政策咨询：</w:t>
      </w:r>
    </w:p>
    <w:p w14:paraId="3F6511F6">
      <w:pPr>
        <w:spacing w:line="560" w:lineRule="exact"/>
        <w:ind w:firstLine="640" w:firstLineChars="200"/>
        <w:rPr>
          <w:rFonts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010-67857878转4、010-67857687，工作日上午9:00—12:00，下午1:30—5:00。</w:t>
      </w:r>
    </w:p>
    <w:p w14:paraId="236EE15C">
      <w:pPr>
        <w:spacing w:line="560" w:lineRule="exact"/>
        <w:ind w:firstLine="640" w:firstLineChars="200"/>
        <w:rPr>
          <w:rFonts w:eastAsia="仿宋_GB2312"/>
          <w:sz w:val="32"/>
          <w:szCs w:val="32"/>
        </w:rPr>
      </w:pPr>
      <w:r>
        <w:rPr>
          <w:rFonts w:hint="eastAsia" w:ascii="仿宋_GB2312" w:hAnsi="仿宋_GB2312" w:eastAsia="仿宋_GB2312" w:cs="仿宋_GB2312"/>
          <w:color w:val="000000"/>
          <w:sz w:val="32"/>
          <w:szCs w:val="32"/>
        </w:rPr>
        <w:t>北京市智慧城市基础设施与智能网联汽车协同发展工作办公室</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highlight w:val="none"/>
        </w:rPr>
        <w:t>010-67803290</w:t>
      </w:r>
      <w:r>
        <w:rPr>
          <w:rFonts w:hint="eastAsia" w:ascii="仿宋_GB2312" w:hAnsi="仿宋_GB2312" w:eastAsia="仿宋_GB2312" w:cs="仿宋_GB2312"/>
          <w:sz w:val="32"/>
          <w:szCs w:val="32"/>
        </w:rPr>
        <w:t>，工作日上午9:00—12:00，下午2:00—6:00。</w:t>
      </w:r>
    </w:p>
    <w:p w14:paraId="6FC85BD6">
      <w:pPr>
        <w:spacing w:line="560" w:lineRule="exact"/>
        <w:ind w:firstLine="640" w:firstLineChars="200"/>
        <w:rPr>
          <w:rFonts w:eastAsia="仿宋_GB2312"/>
          <w:sz w:val="32"/>
          <w:szCs w:val="32"/>
        </w:rPr>
      </w:pPr>
      <w:r>
        <w:rPr>
          <w:rFonts w:hint="eastAsia" w:eastAsia="仿宋_GB2312"/>
          <w:sz w:val="32"/>
          <w:szCs w:val="32"/>
        </w:rPr>
        <w:t>技术支持：</w:t>
      </w:r>
    </w:p>
    <w:p w14:paraId="747823A4">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：010-83509638，工作日上午9:00—12:00，下午2:00—6:00。</w:t>
      </w:r>
    </w:p>
    <w:p w14:paraId="3FFC3101">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14:paraId="48F0D8E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5ABD8163">
      <w:pPr>
        <w:spacing w:line="55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十二、特别说明</w:t>
      </w:r>
    </w:p>
    <w:p w14:paraId="7BE9151C">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C0507">
    <w:pPr>
      <w:pStyle w:val="6"/>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FA35FCB">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naaT/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GdppP8kBAACSAwAADgAAAAAAAAABACAAAAAfAQAAZHJzL2Uyb0Rv&#10;Yy54bWxQSwUGAAAAAAYABgBZAQAAWgUAAAAA&#10;">
              <v:fill on="f" focussize="0,0"/>
              <v:stroke on="f"/>
              <v:imagedata o:title=""/>
              <o:lock v:ext="edit" aspectratio="f"/>
              <v:textbox inset="0mm,0mm,0mm,0mm" style="mso-fit-shape-to-text:t;">
                <w:txbxContent>
                  <w:p w14:paraId="0FA35FCB">
                    <w:pPr>
                      <w:pStyle w:val="6"/>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AF"/>
    <w:rsid w:val="001138A8"/>
    <w:rsid w:val="002232FB"/>
    <w:rsid w:val="004B053F"/>
    <w:rsid w:val="005D1043"/>
    <w:rsid w:val="006E4B3C"/>
    <w:rsid w:val="0081502D"/>
    <w:rsid w:val="008C22AF"/>
    <w:rsid w:val="00926C99"/>
    <w:rsid w:val="00F64C09"/>
    <w:rsid w:val="00F81496"/>
    <w:rsid w:val="05CE1632"/>
    <w:rsid w:val="0BC65752"/>
    <w:rsid w:val="0F187DD0"/>
    <w:rsid w:val="10F47D90"/>
    <w:rsid w:val="11845CBB"/>
    <w:rsid w:val="13F217DA"/>
    <w:rsid w:val="164E4CC1"/>
    <w:rsid w:val="1A8213DE"/>
    <w:rsid w:val="1AD81DB3"/>
    <w:rsid w:val="1B740D26"/>
    <w:rsid w:val="22596EC8"/>
    <w:rsid w:val="23A15C31"/>
    <w:rsid w:val="25CE3A38"/>
    <w:rsid w:val="27FA4C08"/>
    <w:rsid w:val="31C21F0F"/>
    <w:rsid w:val="359A3628"/>
    <w:rsid w:val="392F5EB3"/>
    <w:rsid w:val="39E14D9F"/>
    <w:rsid w:val="3A3B5ADD"/>
    <w:rsid w:val="3BA163A5"/>
    <w:rsid w:val="3CBE5E4E"/>
    <w:rsid w:val="45CC15DB"/>
    <w:rsid w:val="48D80297"/>
    <w:rsid w:val="4BC43F13"/>
    <w:rsid w:val="4C082C41"/>
    <w:rsid w:val="532C190B"/>
    <w:rsid w:val="54B8530B"/>
    <w:rsid w:val="55C4518B"/>
    <w:rsid w:val="571A3290"/>
    <w:rsid w:val="609D64F4"/>
    <w:rsid w:val="65DF249F"/>
    <w:rsid w:val="66E35106"/>
    <w:rsid w:val="675540DC"/>
    <w:rsid w:val="6771500C"/>
    <w:rsid w:val="6E8574EF"/>
    <w:rsid w:val="77457AF3"/>
    <w:rsid w:val="77791F91"/>
    <w:rsid w:val="7875412E"/>
    <w:rsid w:val="F7FE59AA"/>
    <w:rsid w:val="FBF7F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4">
    <w:name w:val="heading 3"/>
    <w:basedOn w:val="1"/>
    <w:next w:val="1"/>
    <w:qFormat/>
    <w:uiPriority w:val="0"/>
    <w:pPr>
      <w:spacing w:beforeAutospacing="1" w:afterAutospacing="1"/>
      <w:jc w:val="left"/>
      <w:outlineLvl w:val="2"/>
    </w:pPr>
    <w:rPr>
      <w:rFonts w:hint="eastAsia" w:ascii="宋体" w:hAnsi="宋体" w:cs="Times New Roman"/>
      <w:b/>
      <w:bCs/>
      <w:kern w:val="0"/>
      <w:sz w:val="27"/>
      <w:szCs w:val="27"/>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left="0" w:leftChars="0" w:firstLine="420"/>
    </w:pPr>
    <w:rPr>
      <w:rFonts w:ascii="仿宋_GB2312" w:eastAsia="仿宋_GB2312" w:cs="仿宋_GB2312"/>
      <w:sz w:val="32"/>
      <w:szCs w:val="32"/>
    </w:rPr>
  </w:style>
  <w:style w:type="paragraph" w:styleId="3">
    <w:name w:val="Body Text Indent"/>
    <w:basedOn w:val="1"/>
    <w:next w:val="2"/>
    <w:qFormat/>
    <w:uiPriority w:val="99"/>
    <w:pPr>
      <w:spacing w:after="120"/>
      <w:ind w:left="420" w:leftChars="200"/>
    </w:pPr>
  </w:style>
  <w:style w:type="paragraph" w:styleId="5">
    <w:name w:val="annotation text"/>
    <w:basedOn w:val="1"/>
    <w:link w:val="18"/>
    <w:qFormat/>
    <w:uiPriority w:val="0"/>
    <w:pPr>
      <w:jc w:val="left"/>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note text"/>
    <w:basedOn w:val="1"/>
    <w:qFormat/>
    <w:uiPriority w:val="0"/>
    <w:pPr>
      <w:snapToGrid w:val="0"/>
      <w:jc w:val="left"/>
    </w:pPr>
    <w:rPr>
      <w:sz w:val="18"/>
    </w:rPr>
  </w:style>
  <w:style w:type="paragraph" w:styleId="9">
    <w:name w:val="Normal (Web)"/>
    <w:basedOn w:val="1"/>
    <w:qFormat/>
    <w:uiPriority w:val="0"/>
    <w:pPr>
      <w:spacing w:beforeAutospacing="1" w:afterAutospacing="1"/>
      <w:jc w:val="left"/>
    </w:pPr>
    <w:rPr>
      <w:kern w:val="0"/>
      <w:sz w:val="24"/>
    </w:rPr>
  </w:style>
  <w:style w:type="paragraph" w:styleId="10">
    <w:name w:val="annotation subject"/>
    <w:basedOn w:val="5"/>
    <w:next w:val="5"/>
    <w:link w:val="19"/>
    <w:qFormat/>
    <w:uiPriority w:val="0"/>
    <w:rPr>
      <w:b/>
      <w:bCs/>
    </w:r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character" w:styleId="15">
    <w:name w:val="footnote reference"/>
    <w:basedOn w:val="12"/>
    <w:qFormat/>
    <w:uiPriority w:val="0"/>
    <w:rPr>
      <w:vertAlign w:val="superscript"/>
    </w:rPr>
  </w:style>
  <w:style w:type="paragraph" w:customStyle="1" w:styleId="16">
    <w:name w:val="p1"/>
    <w:basedOn w:val="1"/>
    <w:qFormat/>
    <w:uiPriority w:val="0"/>
    <w:pPr>
      <w:widowControl/>
      <w:spacing w:before="100" w:beforeAutospacing="1" w:after="100" w:afterAutospacing="1"/>
      <w:jc w:val="left"/>
    </w:pPr>
    <w:rPr>
      <w:rFonts w:eastAsia="Times New Roman"/>
      <w:kern w:val="0"/>
      <w:sz w:val="24"/>
    </w:rPr>
  </w:style>
  <w:style w:type="paragraph" w:customStyle="1" w:styleId="17">
    <w:name w:val="修订1"/>
    <w:qFormat/>
    <w:uiPriority w:val="99"/>
    <w:rPr>
      <w:rFonts w:ascii="Calibri" w:hAnsi="Calibri" w:eastAsia="宋体" w:cs="宋体"/>
      <w:kern w:val="2"/>
      <w:sz w:val="21"/>
      <w:szCs w:val="24"/>
      <w:lang w:val="en-US" w:eastAsia="zh-CN" w:bidi="ar-SA"/>
    </w:rPr>
  </w:style>
  <w:style w:type="character" w:customStyle="1" w:styleId="18">
    <w:name w:val="批注文字 字符"/>
    <w:basedOn w:val="12"/>
    <w:link w:val="5"/>
    <w:qFormat/>
    <w:uiPriority w:val="0"/>
    <w:rPr>
      <w:rFonts w:ascii="Calibri" w:hAnsi="Calibri" w:eastAsia="宋体" w:cs="宋体"/>
      <w:kern w:val="2"/>
      <w:sz w:val="21"/>
      <w:szCs w:val="24"/>
    </w:rPr>
  </w:style>
  <w:style w:type="character" w:customStyle="1" w:styleId="19">
    <w:name w:val="批注主题 字符"/>
    <w:basedOn w:val="18"/>
    <w:link w:val="10"/>
    <w:qFormat/>
    <w:uiPriority w:val="0"/>
    <w:rPr>
      <w:rFonts w:ascii="Calibri" w:hAnsi="Calibri" w:eastAsia="宋体" w:cs="宋体"/>
      <w:b/>
      <w:bCs/>
      <w:kern w:val="2"/>
      <w:sz w:val="21"/>
      <w:szCs w:val="24"/>
    </w:rPr>
  </w:style>
  <w:style w:type="paragraph" w:customStyle="1" w:styleId="20">
    <w:name w:val="修订2"/>
    <w:qFormat/>
    <w:uiPriority w:val="99"/>
    <w:rPr>
      <w:rFonts w:ascii="Calibri" w:hAnsi="Calibri" w:eastAsia="宋体" w:cs="宋体"/>
      <w:kern w:val="2"/>
      <w:sz w:val="21"/>
      <w:szCs w:val="24"/>
      <w:lang w:val="en-US" w:eastAsia="zh-CN" w:bidi="ar-SA"/>
    </w:rPr>
  </w:style>
  <w:style w:type="paragraph" w:customStyle="1" w:styleId="21">
    <w:name w:val="Revision_87f6203c-2e93-4572-aa01-823e56d53b82"/>
    <w:qFormat/>
    <w:uiPriority w:val="99"/>
    <w:rPr>
      <w:rFonts w:ascii="Calibri" w:hAnsi="Calibri" w:eastAsia="宋体" w:cs="宋体"/>
      <w:kern w:val="2"/>
      <w:sz w:val="21"/>
      <w:szCs w:val="24"/>
      <w:lang w:val="en-US" w:eastAsia="zh-CN" w:bidi="ar-SA"/>
    </w:rPr>
  </w:style>
  <w:style w:type="paragraph" w:customStyle="1" w:styleId="22">
    <w:name w:val="修订3"/>
    <w:hidden/>
    <w:unhideWhenUsed/>
    <w:qFormat/>
    <w:uiPriority w:val="99"/>
    <w:rPr>
      <w:rFonts w:ascii="Calibri" w:hAnsi="Calibri" w:eastAsia="宋体" w:cs="宋体"/>
      <w:kern w:val="2"/>
      <w:sz w:val="21"/>
      <w:szCs w:val="24"/>
      <w:lang w:val="en-US" w:eastAsia="zh-CN" w:bidi="ar-SA"/>
    </w:rPr>
  </w:style>
  <w:style w:type="paragraph" w:customStyle="1" w:styleId="23">
    <w:name w:val="Revision"/>
    <w:hidden/>
    <w:unhideWhenUsed/>
    <w:qFormat/>
    <w:uiPriority w:val="99"/>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cd:customData xmlns:mcd="http://www.wps.cn/android/officeDocument/2013/mofficeCustomData" xmlns="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EEB58C-EC59-44CF-850B-5CA465A8604A}">
  <ds:schemaRefs/>
</ds:datastoreItem>
</file>

<file path=customXml/itemProps3.xml><?xml version="1.0" encoding="utf-8"?>
<ds:datastoreItem xmlns:ds="http://schemas.openxmlformats.org/officeDocument/2006/customXml" ds:itemID="{2BF73A27-D9BD-40B4-BDF5-0AC5E81F9CE2}">
  <ds:schemaRefs/>
</ds:datastoreItem>
</file>

<file path=docProps/app.xml><?xml version="1.0" encoding="utf-8"?>
<Properties xmlns="http://schemas.openxmlformats.org/officeDocument/2006/extended-properties" xmlns:vt="http://schemas.openxmlformats.org/officeDocument/2006/docPropsVTypes">
  <Template>Normal</Template>
  <Pages>5</Pages>
  <Words>1957</Words>
  <Characters>2160</Characters>
  <Lines>17</Lines>
  <Paragraphs>4</Paragraphs>
  <TotalTime>29</TotalTime>
  <ScaleCrop>false</ScaleCrop>
  <LinksUpToDate>false</LinksUpToDate>
  <CharactersWithSpaces>2160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2025-05-02T19:15:00Z</dcterms:created>
  <dc:creator>吴金泉</dc:creator>
  <cp:lastModifiedBy>张九峰</cp:lastModifiedBy>
  <cp:lastPrinted>2026-07-14T07:40:03Z</cp:lastPrinted>
  <dcterms:modified xsi:type="dcterms:W3CDTF">2026-07-14T08:00:26Z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eyJoZGlkIjoiMmMwYmNjZmFlYmZkNDhhN2I5MzI1MmE3Nzk4ZGZiMDMiLCJ1c2VySWQiOiIzNTgxMjQ0NTQifQ==</vt:lpwstr>
  </property>
  <property fmtid="{D5CDD505-2E9C-101B-9397-08002B2CF9AE}" pid="4" name="ICV">
    <vt:lpwstr>E24E36AC328744DC97631D77B53D2CFD_13</vt:lpwstr>
  </property>
</Properties>
</file>