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E0049">
      <w:pPr>
        <w:pStyle w:val="15"/>
        <w:bidi w:val="0"/>
        <w:rPr>
          <w:rFonts w:hint="default"/>
          <w:lang w:val="en-US" w:eastAsia="zh-CN"/>
        </w:rPr>
      </w:pPr>
      <w:bookmarkStart w:id="0" w:name="_GoBack"/>
      <w:r>
        <w:rPr>
          <w:rFonts w:hint="default"/>
          <w:lang w:val="en-US" w:eastAsia="zh-CN"/>
        </w:rPr>
        <w:t>解读：《北京市科技行政处罚裁量权适用规定》</w:t>
      </w:r>
    </w:p>
    <w:bookmarkEnd w:id="0"/>
    <w:p w14:paraId="0C239B73">
      <w:pPr>
        <w:pStyle w:val="8"/>
        <w:bidi w:val="0"/>
        <w:rPr>
          <w:rFonts w:hint="default"/>
          <w:lang w:val="en-US" w:eastAsia="zh-CN"/>
        </w:rPr>
      </w:pPr>
      <w:r>
        <w:rPr>
          <w:rFonts w:hint="default"/>
          <w:lang w:val="en-US" w:eastAsia="zh-CN"/>
        </w:rPr>
        <w:t>日期：2026-07-14</w:t>
      </w:r>
      <w:r>
        <w:rPr>
          <w:rFonts w:hint="eastAsia"/>
          <w:lang w:val="en-US" w:eastAsia="zh-CN"/>
        </w:rPr>
        <w:t xml:space="preserve">     </w:t>
      </w:r>
      <w:r>
        <w:rPr>
          <w:rFonts w:hint="default"/>
          <w:lang w:val="en-US" w:eastAsia="zh-CN"/>
        </w:rPr>
        <w:t>来源：北京市科学技术委员会、中关村科技园区管理委员会</w:t>
      </w:r>
    </w:p>
    <w:p w14:paraId="165F477C">
      <w:pPr>
        <w:ind w:firstLine="560" w:firstLineChars="200"/>
        <w:rPr>
          <w:rFonts w:hint="default"/>
          <w:lang w:val="en-US" w:eastAsia="zh-CN"/>
        </w:rPr>
      </w:pPr>
      <w:r>
        <w:rPr>
          <w:rFonts w:hint="default"/>
          <w:lang w:val="en-US" w:eastAsia="zh-CN"/>
        </w:rPr>
        <w:t>裁量基准是指行政机关在法定授权范围内，结合违法行为的性质、情节、后果等因素，按照“过罚相当”的原则事先设定的一种具体化的判断选择标准，有效杜绝行政处罚“同案不同罚”。《北京市科技行政处罚裁量权适用规定》（京科发〔2021〕78号，以下简称“《2021版裁量规定》”）实施5年来取得了良好的法律效果和社会效果。为贯彻落实新修改的《行政处罚法》等上位法律法规，以及国家和本市关于规范行政裁量权工作的相关要求，对《2021版裁量规定》进行了修订，形成《北京市科技行政处罚裁量权适用规定》。</w:t>
      </w:r>
    </w:p>
    <w:p w14:paraId="4CC5AD2B">
      <w:pPr>
        <w:pStyle w:val="2"/>
        <w:bidi w:val="0"/>
        <w:rPr>
          <w:rFonts w:hint="default"/>
          <w:lang w:val="en-US" w:eastAsia="zh-CN"/>
        </w:rPr>
      </w:pPr>
      <w:r>
        <w:rPr>
          <w:rFonts w:hint="default"/>
          <w:lang w:val="en-US" w:eastAsia="zh-CN"/>
        </w:rPr>
        <w:t>一、修订原则</w:t>
      </w:r>
    </w:p>
    <w:p w14:paraId="66C79B70">
      <w:pPr>
        <w:ind w:firstLine="560" w:firstLineChars="200"/>
        <w:rPr>
          <w:rFonts w:hint="default"/>
          <w:lang w:val="en-US" w:eastAsia="zh-CN"/>
        </w:rPr>
      </w:pPr>
      <w:r>
        <w:rPr>
          <w:rFonts w:hint="default"/>
          <w:lang w:val="en-US" w:eastAsia="zh-CN"/>
        </w:rPr>
        <w:t>此次修订坚持：一是依法合规，严格遵循上位法规定，不突破法定权限与幅度；二是过罚相当，对法定罚款幅度超过10万元以上的，进一步细化裁量阶次，确保与违法情节、危害程度相匹配；三是处罚与教育相结合，进一步规范健全轻微违法免罚和初次违法慎罚制度。四是便于执法监督，贴合科技行政执法实际，兼顾可操作性与规范化。</w:t>
      </w:r>
    </w:p>
    <w:p w14:paraId="23541C31">
      <w:pPr>
        <w:pStyle w:val="2"/>
        <w:bidi w:val="0"/>
        <w:rPr>
          <w:rFonts w:hint="default"/>
          <w:lang w:val="en-US" w:eastAsia="zh-CN"/>
        </w:rPr>
      </w:pPr>
      <w:r>
        <w:rPr>
          <w:rFonts w:hint="default"/>
          <w:lang w:val="en-US" w:eastAsia="zh-CN"/>
        </w:rPr>
        <w:t>二、修订的主要内容</w:t>
      </w:r>
    </w:p>
    <w:p w14:paraId="56189539">
      <w:pPr>
        <w:pStyle w:val="3"/>
        <w:bidi w:val="0"/>
        <w:rPr>
          <w:rFonts w:hint="default"/>
          <w:lang w:val="en-US" w:eastAsia="zh-CN"/>
        </w:rPr>
      </w:pPr>
      <w:r>
        <w:rPr>
          <w:rFonts w:hint="default"/>
          <w:lang w:val="en-US" w:eastAsia="zh-CN"/>
        </w:rPr>
        <w:t>（一）关于正文适用规则部分</w:t>
      </w:r>
    </w:p>
    <w:p w14:paraId="6E0B5EF3">
      <w:pPr>
        <w:ind w:firstLine="560" w:firstLineChars="200"/>
        <w:rPr>
          <w:rFonts w:hint="default"/>
          <w:lang w:val="en-US" w:eastAsia="zh-CN"/>
        </w:rPr>
      </w:pPr>
      <w:r>
        <w:rPr>
          <w:rFonts w:hint="default"/>
          <w:lang w:val="en-US" w:eastAsia="zh-CN"/>
        </w:rPr>
        <w:t>一是增加轻微违法免罚和初次违法慎罚相关内容。对原第二条、第六条、第十三条、第十四条进行了补充修改，明确轻微违法免罚和初次违法慎罚实行清单化管理，明确“初次违法”“及时改正”的认定标准，以及不适用不予处罚的情形，增强清单的可操作性和统一性。</w:t>
      </w:r>
    </w:p>
    <w:p w14:paraId="7DBA78F3">
      <w:pPr>
        <w:ind w:firstLine="560" w:firstLineChars="200"/>
        <w:rPr>
          <w:rFonts w:hint="default"/>
          <w:lang w:val="en-US" w:eastAsia="zh-CN"/>
        </w:rPr>
      </w:pPr>
      <w:r>
        <w:rPr>
          <w:rFonts w:hint="default"/>
          <w:lang w:val="en-US" w:eastAsia="zh-CN"/>
        </w:rPr>
        <w:t>二是进一步明确《基准表》行使层级。第二条增加一款，执法主体除“提供虚假技术或技术信息”违法行为的执法主体为市、区两级科技行政部门外，其余均为市级科技行政部门。</w:t>
      </w:r>
    </w:p>
    <w:p w14:paraId="6FBB9B4B">
      <w:pPr>
        <w:ind w:firstLine="560" w:firstLineChars="200"/>
        <w:rPr>
          <w:rFonts w:hint="default"/>
          <w:lang w:val="en-US" w:eastAsia="zh-CN"/>
        </w:rPr>
      </w:pPr>
      <w:r>
        <w:rPr>
          <w:rFonts w:hint="default"/>
          <w:lang w:val="en-US" w:eastAsia="zh-CN"/>
        </w:rPr>
        <w:t>三是按照新修改的《行政处罚法》，对第十六条“从重处罚”进行修改。</w:t>
      </w:r>
    </w:p>
    <w:p w14:paraId="414CF452">
      <w:pPr>
        <w:ind w:firstLine="560" w:firstLineChars="200"/>
        <w:rPr>
          <w:rFonts w:hint="default"/>
          <w:lang w:val="en-US" w:eastAsia="zh-CN"/>
        </w:rPr>
      </w:pPr>
      <w:r>
        <w:rPr>
          <w:rFonts w:hint="default"/>
          <w:lang w:val="en-US" w:eastAsia="zh-CN"/>
        </w:rPr>
        <w:t>四是部分文字表述完善。</w:t>
      </w:r>
    </w:p>
    <w:p w14:paraId="7177DE3F">
      <w:pPr>
        <w:pStyle w:val="3"/>
        <w:bidi w:val="0"/>
        <w:rPr>
          <w:rFonts w:hint="default"/>
          <w:lang w:val="en-US" w:eastAsia="zh-CN"/>
        </w:rPr>
      </w:pPr>
      <w:r>
        <w:rPr>
          <w:rFonts w:hint="default"/>
          <w:lang w:val="en-US" w:eastAsia="zh-CN"/>
        </w:rPr>
        <w:t>（二）关于附件1裁量基准表部分</w:t>
      </w:r>
    </w:p>
    <w:p w14:paraId="0B4A1BB4">
      <w:pPr>
        <w:ind w:firstLine="560" w:firstLineChars="200"/>
        <w:rPr>
          <w:rFonts w:hint="default"/>
          <w:lang w:val="en-US" w:eastAsia="zh-CN"/>
        </w:rPr>
      </w:pPr>
      <w:r>
        <w:rPr>
          <w:rFonts w:hint="default"/>
          <w:lang w:val="en-US" w:eastAsia="zh-CN"/>
        </w:rPr>
        <w:t>一是对“病原微生物实验室将使用后的实验动物流入市场”的这一违法行为，补充违法情节并细化裁量阶次。</w:t>
      </w:r>
    </w:p>
    <w:p w14:paraId="24B461AB">
      <w:pPr>
        <w:ind w:firstLine="560" w:firstLineChars="200"/>
        <w:rPr>
          <w:rFonts w:hint="default"/>
          <w:lang w:val="en-US" w:eastAsia="zh-CN"/>
        </w:rPr>
      </w:pPr>
      <w:r>
        <w:rPr>
          <w:rFonts w:hint="default"/>
          <w:lang w:val="en-US" w:eastAsia="zh-CN"/>
        </w:rPr>
        <w:t>补充“流入市场实验动物价值”作为裁量因素。在原“违法所得金额”基础上，增加“流入市场实验动物价值”作为裁量依据，解决实践中违法所得难以认定或将实验动物直接赠与等未产生违法所得的问题，更全面反映违法行为的具体情形。</w:t>
      </w:r>
    </w:p>
    <w:p w14:paraId="3A8BF39E">
      <w:pPr>
        <w:ind w:firstLine="560" w:firstLineChars="200"/>
        <w:rPr>
          <w:rFonts w:hint="default"/>
          <w:lang w:val="en-US" w:eastAsia="zh-CN"/>
        </w:rPr>
      </w:pPr>
      <w:r>
        <w:rPr>
          <w:rFonts w:hint="default"/>
          <w:lang w:val="en-US" w:eastAsia="zh-CN"/>
        </w:rPr>
        <w:t>按照相关要求，将原来“低于10万元”“10万元以上20万元以下”两档的划分方式，调整为“初始档6万元，之后每档以2万元为阶差”，将原来的2个裁量阶次细化为8个罚款裁量阶次，梯度合理、界限清晰。</w:t>
      </w:r>
    </w:p>
    <w:p w14:paraId="2725362E">
      <w:pPr>
        <w:ind w:firstLine="560" w:firstLineChars="200"/>
        <w:rPr>
          <w:rFonts w:hint="default"/>
          <w:lang w:val="en-US" w:eastAsia="zh-CN"/>
        </w:rPr>
      </w:pPr>
      <w:r>
        <w:rPr>
          <w:rFonts w:hint="default"/>
          <w:lang w:val="en-US" w:eastAsia="zh-CN"/>
        </w:rPr>
        <w:t>二是对“实验动物运输不符合要求”这一违法行为的违法情节中“动物密度过大”“笼具固定不牢”，修改为“不符合运输标准；运输车内未对实验动物笼具进行固定”。</w:t>
      </w:r>
    </w:p>
    <w:p w14:paraId="6804AAB4">
      <w:pPr>
        <w:ind w:firstLine="560" w:firstLineChars="200"/>
        <w:rPr>
          <w:rFonts w:hint="default"/>
          <w:lang w:val="en-US" w:eastAsia="zh-CN"/>
        </w:rPr>
      </w:pPr>
      <w:r>
        <w:rPr>
          <w:rFonts w:hint="default"/>
          <w:lang w:val="en-US" w:eastAsia="zh-CN"/>
        </w:rPr>
        <w:t>三是将“非病原微生物实验室将使用后的实验动物流入市场”这一违法行为的“裁量档”由B档调整为A档。</w:t>
      </w:r>
    </w:p>
    <w:p w14:paraId="34583F14">
      <w:pPr>
        <w:ind w:firstLine="560" w:firstLineChars="200"/>
        <w:rPr>
          <w:rFonts w:hint="default"/>
          <w:lang w:val="en-US" w:eastAsia="zh-CN"/>
        </w:rPr>
      </w:pPr>
      <w:r>
        <w:rPr>
          <w:rFonts w:hint="default"/>
          <w:lang w:val="en-US" w:eastAsia="zh-CN"/>
        </w:rPr>
        <w:t>四是部分文字表述完善。</w:t>
      </w:r>
    </w:p>
    <w:p w14:paraId="24909873">
      <w:pPr>
        <w:pStyle w:val="3"/>
        <w:bidi w:val="0"/>
        <w:rPr>
          <w:rFonts w:hint="default"/>
          <w:lang w:val="en-US" w:eastAsia="zh-CN"/>
        </w:rPr>
      </w:pPr>
      <w:r>
        <w:rPr>
          <w:rFonts w:hint="default"/>
          <w:lang w:val="en-US" w:eastAsia="zh-CN"/>
        </w:rPr>
        <w:t>（三）关于附件2、附件3两个清单部分</w:t>
      </w:r>
    </w:p>
    <w:p w14:paraId="42179ED7">
      <w:pPr>
        <w:ind w:firstLine="560" w:firstLineChars="200"/>
        <w:rPr>
          <w:rFonts w:hint="default"/>
          <w:lang w:val="en-US" w:eastAsia="zh-CN"/>
        </w:rPr>
      </w:pPr>
      <w:r>
        <w:rPr>
          <w:rFonts w:hint="default"/>
          <w:lang w:val="en-US" w:eastAsia="zh-CN"/>
        </w:rPr>
        <w:t>该部分整体为新增内容。附件2、附件3分别为《北京市科技行政处罚初次违法不予处罚清单》（以下简称“《首违不罚清单》”）、《北京市科技行政处罚轻微违法不予处罚清单》（以下简称“《轻微免罚清单》”）。</w:t>
      </w:r>
    </w:p>
    <w:p w14:paraId="598826AF">
      <w:pPr>
        <w:ind w:firstLine="560" w:firstLineChars="200"/>
        <w:rPr>
          <w:rFonts w:hint="default"/>
          <w:lang w:val="en-US" w:eastAsia="zh-CN"/>
        </w:rPr>
      </w:pPr>
      <w:r>
        <w:rPr>
          <w:rFonts w:hint="default"/>
          <w:lang w:val="en-US" w:eastAsia="zh-CN"/>
        </w:rPr>
        <w:t>一是清单事项筛选：从实验动物领域和技术市场领域选取社会危害性轻微违法行为纳入清单。《首违不罚清单》共9项；《轻微免罚清单》共4项。</w:t>
      </w:r>
    </w:p>
    <w:p w14:paraId="1B7B4CEA">
      <w:pPr>
        <w:ind w:firstLine="560" w:firstLineChars="200"/>
        <w:rPr>
          <w:rFonts w:hint="default"/>
          <w:lang w:val="en-US" w:eastAsia="zh-CN"/>
        </w:rPr>
      </w:pPr>
      <w:r>
        <w:rPr>
          <w:rFonts w:hint="default"/>
          <w:lang w:val="en-US" w:eastAsia="zh-CN"/>
        </w:rPr>
        <w:t>二是逐条明确不予处罚适用条件：结合执法实践，逐条明确《首违不罚清单》中“危害后果轻微”和《轻微免罚清单》中“违法行为轻微”的具体情形。</w:t>
      </w:r>
    </w:p>
    <w:p w14:paraId="0C052D7B">
      <w:pPr>
        <w:ind w:firstLine="560" w:firstLineChars="200"/>
        <w:rPr>
          <w:rFonts w:hint="default"/>
          <w:lang w:val="en-US" w:eastAsia="zh-CN"/>
        </w:rPr>
      </w:pPr>
      <w:r>
        <w:rPr>
          <w:rFonts w:hint="default"/>
          <w:lang w:val="en-US" w:eastAsia="zh-CN"/>
        </w:rPr>
        <w:t>三是按照统一要求，明确相应的管理措施和行政层级。管理措施统一为指导、劝诫、警示、约谈。</w:t>
      </w:r>
    </w:p>
    <w:p w14:paraId="6781F43E">
      <w:pPr>
        <w:ind w:firstLine="560" w:firstLineChars="200"/>
        <w:rPr>
          <w:rFonts w:hint="default"/>
          <w:lang w:val="en-US" w:eastAsia="zh-CN"/>
        </w:rPr>
      </w:pPr>
      <w:r>
        <w:rPr>
          <w:rFonts w:hint="default"/>
          <w:lang w:val="en-US" w:eastAsia="zh-CN"/>
        </w:rPr>
        <w:t>https://kw.beijing.gov.cn/zwgk/zcjd/202607/t20260713_4760392.html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C52596"/>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5313E4A"/>
    <w:rsid w:val="16E465E6"/>
    <w:rsid w:val="17B571BE"/>
    <w:rsid w:val="183B3D17"/>
    <w:rsid w:val="187A04AD"/>
    <w:rsid w:val="188602CE"/>
    <w:rsid w:val="191F6B75"/>
    <w:rsid w:val="19470B19"/>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BD17CE5"/>
    <w:rsid w:val="2C1B2534"/>
    <w:rsid w:val="2C5661E7"/>
    <w:rsid w:val="2CC90378"/>
    <w:rsid w:val="2DDA75F8"/>
    <w:rsid w:val="2E451107"/>
    <w:rsid w:val="2E561F32"/>
    <w:rsid w:val="2F167534"/>
    <w:rsid w:val="30D427EB"/>
    <w:rsid w:val="31604062"/>
    <w:rsid w:val="31AC3498"/>
    <w:rsid w:val="31BA36E4"/>
    <w:rsid w:val="34163C6F"/>
    <w:rsid w:val="34E21617"/>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7A516B2"/>
    <w:rsid w:val="480F418D"/>
    <w:rsid w:val="483F5039"/>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00445"/>
    <w:rsid w:val="587662C1"/>
    <w:rsid w:val="58E45E5C"/>
    <w:rsid w:val="5966249A"/>
    <w:rsid w:val="599D54F4"/>
    <w:rsid w:val="59C57696"/>
    <w:rsid w:val="5ABE63C0"/>
    <w:rsid w:val="5B5F3C17"/>
    <w:rsid w:val="5C0F18E6"/>
    <w:rsid w:val="5D942074"/>
    <w:rsid w:val="5F110691"/>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DC836A7"/>
    <w:rsid w:val="6E1F25FD"/>
    <w:rsid w:val="6E413E28"/>
    <w:rsid w:val="6F370898"/>
    <w:rsid w:val="6F4638FD"/>
    <w:rsid w:val="70956FE4"/>
    <w:rsid w:val="71020CE1"/>
    <w:rsid w:val="73EA5843"/>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MLee</cp:lastModifiedBy>
  <dcterms:modified xsi:type="dcterms:W3CDTF">2026-07-14T09:48:42Z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E3F394B121314602BC695E80C1E38410_13</vt:lpwstr>
  </property>
  <property fmtid="{D5CDD505-2E9C-101B-9397-08002B2CF9AE}" pid="4" name="KSOTemplateDocerSaveRecord">
    <vt:lpwstr>eyJoZGlkIjoiMjIxMjI5YjhlNTAxYzUyOTYyYWZlMGFjYmE4ZTczY2EiLCJ1c2VySWQiOiI0MzAyNjYyMjEifQ==</vt:lpwstr>
  </property>
</Properties>
</file>