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360" w:lineRule="atLeast"/>
        <w:rPr>
          <w:rFonts w:ascii="黑体" w:hAnsi="黑体" w:eastAsia="黑体" w:cs="黑体"/>
          <w:b w:val="0"/>
          <w:bCs w:val="0"/>
          <w:color w:val="000000"/>
          <w:kern w:val="0"/>
          <w:sz w:val="32"/>
          <w:szCs w:val="32"/>
        </w:rPr>
      </w:pPr>
      <w:bookmarkStart w:id="0" w:name="_GoBack"/>
      <w:bookmarkEnd w:id="0"/>
      <w:r>
        <w:rPr>
          <w:rFonts w:ascii="黑体" w:hAnsi="黑体" w:eastAsia="黑体" w:cs="黑体"/>
          <w:b w:val="0"/>
          <w:bCs w:val="0"/>
          <w:color w:val="000000"/>
          <w:kern w:val="0"/>
          <w:sz w:val="32"/>
          <w:szCs w:val="32"/>
        </w:rPr>
        <w:t>附件3</w:t>
      </w:r>
    </w:p>
    <w:p>
      <w:pPr>
        <w:pStyle w:val="2"/>
        <w:widowControl/>
        <w:spacing w:before="0" w:beforeAutospacing="0" w:after="0" w:afterAutospacing="0" w:line="360" w:lineRule="atLeast"/>
        <w:jc w:val="center"/>
        <w:rPr>
          <w:rFonts w:hint="default" w:ascii="方正小标宋_GBK" w:hAnsi="Calibri" w:eastAsia="方正小标宋_GBK"/>
          <w:b w:val="0"/>
          <w:color w:val="000000"/>
          <w:kern w:val="2"/>
          <w:sz w:val="44"/>
          <w:szCs w:val="44"/>
        </w:rPr>
      </w:pPr>
      <w:r>
        <w:rPr>
          <w:rFonts w:ascii="方正小标宋_GBK" w:hAnsi="Calibri" w:eastAsia="方正小标宋_GBK"/>
          <w:b w:val="0"/>
          <w:color w:val="000000"/>
          <w:kern w:val="2"/>
          <w:sz w:val="44"/>
          <w:szCs w:val="44"/>
        </w:rPr>
        <w:t>北京市科技行政处罚轻微违法不予处罚清单</w:t>
      </w:r>
    </w:p>
    <w:p>
      <w:pPr>
        <w:widowControl/>
        <w:spacing w:after="0" w:line="360" w:lineRule="atLeast"/>
        <w:jc w:val="left"/>
        <w:rPr>
          <w:rFonts w:hint="eastAsia" w:ascii="宋体" w:hAnsi="宋体" w:cs="宋体"/>
          <w:color w:val="000000"/>
          <w:kern w:val="0"/>
          <w:sz w:val="24"/>
          <w:lang w:bidi="ar"/>
        </w:rPr>
      </w:pPr>
    </w:p>
    <w:tbl>
      <w:tblPr>
        <w:tblStyle w:val="6"/>
        <w:tblW w:w="14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36"/>
        <w:gridCol w:w="967"/>
        <w:gridCol w:w="1433"/>
        <w:gridCol w:w="733"/>
        <w:gridCol w:w="2067"/>
        <w:gridCol w:w="1033"/>
        <w:gridCol w:w="3167"/>
        <w:gridCol w:w="1877"/>
        <w:gridCol w:w="75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43"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序号</w:t>
            </w:r>
          </w:p>
        </w:tc>
        <w:tc>
          <w:tcPr>
            <w:tcW w:w="1036"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裁量基准编码</w:t>
            </w:r>
          </w:p>
        </w:tc>
        <w:tc>
          <w:tcPr>
            <w:tcW w:w="967"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被处罚主体</w:t>
            </w:r>
          </w:p>
        </w:tc>
        <w:tc>
          <w:tcPr>
            <w:tcW w:w="1433"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违法行为</w:t>
            </w:r>
          </w:p>
        </w:tc>
        <w:tc>
          <w:tcPr>
            <w:tcW w:w="733"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法</w:t>
            </w:r>
            <w:r>
              <w:rPr>
                <w:rFonts w:hint="eastAsia" w:ascii="黑体" w:hAnsi="黑体" w:eastAsia="黑体" w:cs="黑体"/>
                <w:b w:val="0"/>
                <w:bCs w:val="0"/>
                <w:color w:val="000000"/>
                <w:kern w:val="0"/>
                <w:sz w:val="24"/>
                <w:szCs w:val="24"/>
                <w:lang w:eastAsia="zh-CN" w:bidi="ar"/>
              </w:rPr>
              <w:t>规</w:t>
            </w:r>
            <w:r>
              <w:rPr>
                <w:rFonts w:hint="eastAsia" w:ascii="黑体" w:hAnsi="黑体" w:eastAsia="黑体" w:cs="黑体"/>
                <w:b w:val="0"/>
                <w:bCs w:val="0"/>
                <w:color w:val="000000"/>
                <w:kern w:val="0"/>
                <w:sz w:val="24"/>
                <w:szCs w:val="24"/>
                <w:lang w:bidi="ar"/>
              </w:rPr>
              <w:t>依据</w:t>
            </w:r>
          </w:p>
        </w:tc>
        <w:tc>
          <w:tcPr>
            <w:tcW w:w="2067"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违反条款</w:t>
            </w:r>
          </w:p>
        </w:tc>
        <w:tc>
          <w:tcPr>
            <w:tcW w:w="1033"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处罚条款</w:t>
            </w:r>
          </w:p>
        </w:tc>
        <w:tc>
          <w:tcPr>
            <w:tcW w:w="3167"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具体规定内容</w:t>
            </w:r>
          </w:p>
        </w:tc>
        <w:tc>
          <w:tcPr>
            <w:tcW w:w="1877"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适用条件</w:t>
            </w:r>
          </w:p>
        </w:tc>
        <w:tc>
          <w:tcPr>
            <w:tcW w:w="750"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管理措施</w:t>
            </w:r>
          </w:p>
        </w:tc>
        <w:tc>
          <w:tcPr>
            <w:tcW w:w="733"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43"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036"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C0202600C010</w:t>
            </w:r>
          </w:p>
        </w:tc>
        <w:tc>
          <w:tcPr>
            <w:tcW w:w="967"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sz w:val="24"/>
                <w:highlight w:val="none"/>
              </w:rPr>
              <w:t>从事实验动物工作的单位和个人</w:t>
            </w:r>
          </w:p>
        </w:tc>
        <w:tc>
          <w:tcPr>
            <w:tcW w:w="1433"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涉及实验动物的项目未通过实验动物福利伦理委员会的审查或未接受其监督</w:t>
            </w:r>
          </w:p>
        </w:tc>
        <w:tc>
          <w:tcPr>
            <w:tcW w:w="733"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2067"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第九条第二款：涉及实验动物的项目应当通过实验动物福利伦理委员会的审查，并接受其监督。</w:t>
            </w:r>
          </w:p>
        </w:tc>
        <w:tc>
          <w:tcPr>
            <w:tcW w:w="1033"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167" w:type="dxa"/>
            <w:noWrap w:val="0"/>
            <w:vAlign w:val="center"/>
          </w:tcPr>
          <w:p>
            <w:pPr>
              <w:widowControl/>
              <w:spacing w:after="0" w:line="360" w:lineRule="atLeast"/>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77" w:type="dxa"/>
            <w:noWrap w:val="0"/>
            <w:vAlign w:val="center"/>
          </w:tcPr>
          <w:p>
            <w:pPr>
              <w:widowControl/>
              <w:spacing w:after="0" w:line="240" w:lineRule="auto"/>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1.违法行为轻微，即</w:t>
            </w:r>
            <w:r>
              <w:rPr>
                <w:rFonts w:hint="eastAsia" w:ascii="仿宋_GB2312" w:hAnsi="仿宋_GB2312" w:eastAsia="仿宋_GB2312" w:cs="仿宋_GB2312"/>
                <w:color w:val="000000"/>
                <w:sz w:val="24"/>
                <w:szCs w:val="24"/>
              </w:rPr>
              <w:t>涉及实验动物的项目通过实验动物福利伦理委员会的审查但未接受监督项目</w:t>
            </w:r>
            <w:r>
              <w:rPr>
                <w:rFonts w:hint="eastAsia" w:ascii="仿宋_GB2312" w:hAnsi="仿宋_GB2312" w:eastAsia="仿宋_GB2312" w:cs="仿宋_GB2312"/>
                <w:color w:val="000000"/>
                <w:kern w:val="0"/>
                <w:sz w:val="24"/>
                <w:szCs w:val="24"/>
                <w:lang w:bidi="ar"/>
              </w:rPr>
              <w:t>不超过抽查的10%。2.及时改正。3.没有造成危害后果。</w:t>
            </w:r>
          </w:p>
        </w:tc>
        <w:tc>
          <w:tcPr>
            <w:tcW w:w="750"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指导劝诫警示约谈</w:t>
            </w:r>
          </w:p>
        </w:tc>
        <w:tc>
          <w:tcPr>
            <w:tcW w:w="733"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3" w:hRule="atLeast"/>
          <w:jc w:val="center"/>
        </w:trPr>
        <w:tc>
          <w:tcPr>
            <w:tcW w:w="64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036"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C0203000C010</w:t>
            </w:r>
          </w:p>
        </w:tc>
        <w:tc>
          <w:tcPr>
            <w:tcW w:w="96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highlight w:val="none"/>
              </w:rPr>
              <w:t>从事实验动物工作的单位</w:t>
            </w:r>
          </w:p>
        </w:tc>
        <w:tc>
          <w:tcPr>
            <w:tcW w:w="1433"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未组织实验动物从业人员参加岗前专业培训或未组织实验动物专业技术人员参加相关继续教育</w:t>
            </w:r>
          </w:p>
        </w:tc>
        <w:tc>
          <w:tcPr>
            <w:tcW w:w="733"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2067"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第十条：从事实验动物工作的单位，应当组织从业人员进行专业培训。未经培训的，不得上岗。从事实验动物工作的单位，应当组织实验动物专业技术人员参加实验动物学及相关专业的继续教育。</w:t>
            </w:r>
          </w:p>
        </w:tc>
        <w:tc>
          <w:tcPr>
            <w:tcW w:w="1033"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167" w:type="dxa"/>
            <w:noWrap w:val="0"/>
            <w:vAlign w:val="center"/>
          </w:tcPr>
          <w:p>
            <w:pPr>
              <w:widowControl/>
              <w:spacing w:after="0" w:line="360" w:lineRule="atLeast"/>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77" w:type="dxa"/>
            <w:noWrap w:val="0"/>
            <w:vAlign w:val="center"/>
          </w:tcPr>
          <w:p>
            <w:pPr>
              <w:widowControl/>
              <w:spacing w:after="0"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1.违法行为轻微，即</w:t>
            </w:r>
            <w:r>
              <w:rPr>
                <w:rFonts w:hint="eastAsia" w:ascii="仿宋_GB2312" w:hAnsi="仿宋_GB2312" w:eastAsia="仿宋_GB2312" w:cs="仿宋_GB2312"/>
                <w:color w:val="000000"/>
                <w:sz w:val="24"/>
                <w:szCs w:val="24"/>
              </w:rPr>
              <w:t>实验动物设施中未经培训考核上岗的人数占从业人员总数的比例不超过10%或不超过3人；未参加实验动物学及相关专业继续教育的人数占实验动物专业技术人员总数的比例不超过10%或不超过3人。</w:t>
            </w:r>
            <w:r>
              <w:rPr>
                <w:rFonts w:hint="eastAsia" w:ascii="仿宋_GB2312" w:hAnsi="仿宋_GB2312" w:eastAsia="仿宋_GB2312" w:cs="仿宋_GB2312"/>
                <w:color w:val="000000"/>
                <w:kern w:val="0"/>
                <w:sz w:val="24"/>
                <w:szCs w:val="24"/>
                <w:lang w:bidi="ar"/>
              </w:rPr>
              <w:t>2.及时改正。3.没有造成危害后果。</w:t>
            </w:r>
          </w:p>
        </w:tc>
        <w:tc>
          <w:tcPr>
            <w:tcW w:w="750"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指导劝诫警示约谈</w:t>
            </w:r>
          </w:p>
        </w:tc>
        <w:tc>
          <w:tcPr>
            <w:tcW w:w="733"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036"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C0201000C010</w:t>
            </w:r>
          </w:p>
        </w:tc>
        <w:tc>
          <w:tcPr>
            <w:tcW w:w="96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highlight w:val="none"/>
              </w:rPr>
              <w:t>从事实验动物工作的单位和个人</w:t>
            </w:r>
          </w:p>
        </w:tc>
        <w:tc>
          <w:tcPr>
            <w:tcW w:w="1433"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不同品种、不同等级和互有干扰的动物实验，在同一试验间进行</w:t>
            </w:r>
          </w:p>
        </w:tc>
        <w:tc>
          <w:tcPr>
            <w:tcW w:w="733"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2067"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第二十三条第二款：不同品种、不同等级和互有干扰的动物实验，不得在同一试验间进行。</w:t>
            </w:r>
          </w:p>
        </w:tc>
        <w:tc>
          <w:tcPr>
            <w:tcW w:w="1033"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167" w:type="dxa"/>
            <w:noWrap w:val="0"/>
            <w:vAlign w:val="center"/>
          </w:tcPr>
          <w:p>
            <w:pPr>
              <w:widowControl/>
              <w:spacing w:after="0" w:line="360" w:lineRule="atLeast"/>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77" w:type="dxa"/>
            <w:noWrap w:val="0"/>
            <w:vAlign w:val="center"/>
          </w:tcPr>
          <w:p>
            <w:pPr>
              <w:widowControl/>
              <w:spacing w:after="0" w:line="240" w:lineRule="auto"/>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1.违法行为轻微，即</w:t>
            </w:r>
            <w:r>
              <w:rPr>
                <w:rFonts w:hint="eastAsia" w:ascii="仿宋_GB2312" w:hAnsi="仿宋_GB2312" w:eastAsia="仿宋_GB2312" w:cs="仿宋_GB2312"/>
                <w:color w:val="000000"/>
                <w:sz w:val="24"/>
                <w:szCs w:val="24"/>
              </w:rPr>
              <w:t>在同一试验间内的同一实验环境，使用不同品种、相同等级的实验动物开展实验不超过3次。</w:t>
            </w:r>
            <w:r>
              <w:rPr>
                <w:rFonts w:hint="eastAsia" w:ascii="仿宋_GB2312" w:hAnsi="仿宋_GB2312" w:eastAsia="仿宋_GB2312" w:cs="仿宋_GB2312"/>
                <w:color w:val="000000"/>
                <w:kern w:val="0"/>
                <w:sz w:val="24"/>
                <w:szCs w:val="24"/>
                <w:lang w:bidi="ar"/>
              </w:rPr>
              <w:t>2.及时改正。3.没有造成危害后果。</w:t>
            </w:r>
          </w:p>
        </w:tc>
        <w:tc>
          <w:tcPr>
            <w:tcW w:w="750"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指导劝诫警示约谈</w:t>
            </w:r>
          </w:p>
        </w:tc>
        <w:tc>
          <w:tcPr>
            <w:tcW w:w="73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64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1036"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C0202100C0</w:t>
            </w:r>
            <w:r>
              <w:rPr>
                <w:rFonts w:hint="eastAsia" w:ascii="仿宋_GB2312" w:hAnsi="仿宋_GB2312" w:eastAsia="仿宋_GB2312" w:cs="仿宋_GB2312"/>
                <w:color w:val="000000"/>
                <w:sz w:val="24"/>
                <w:szCs w:val="24"/>
                <w:lang w:val="en-US" w:eastAsia="zh-CN"/>
              </w:rPr>
              <w:t>10</w:t>
            </w:r>
          </w:p>
        </w:tc>
        <w:tc>
          <w:tcPr>
            <w:tcW w:w="967"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技术合同登记机构</w:t>
            </w:r>
          </w:p>
        </w:tc>
        <w:tc>
          <w:tcPr>
            <w:tcW w:w="1433"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技术合同登记机构具有迟报、拒报或者提供不真实统计材料三种情形之一</w:t>
            </w:r>
          </w:p>
        </w:tc>
        <w:tc>
          <w:tcPr>
            <w:tcW w:w="733"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《北京市技术市场条例》</w:t>
            </w:r>
          </w:p>
          <w:p>
            <w:pPr>
              <w:widowControl/>
              <w:spacing w:after="0" w:line="360" w:lineRule="atLeast"/>
              <w:jc w:val="left"/>
              <w:rPr>
                <w:rFonts w:hint="eastAsia" w:ascii="仿宋_GB2312" w:hAnsi="仿宋_GB2312" w:eastAsia="仿宋_GB2312" w:cs="仿宋_GB2312"/>
                <w:color w:val="000000"/>
                <w:sz w:val="24"/>
                <w:szCs w:val="24"/>
              </w:rPr>
            </w:pPr>
          </w:p>
        </w:tc>
        <w:tc>
          <w:tcPr>
            <w:tcW w:w="2067"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第二十九条第三款：技术合同登记机构应当按照规定上报有关统计数据。</w:t>
            </w:r>
          </w:p>
          <w:p>
            <w:pPr>
              <w:widowControl/>
              <w:spacing w:after="0" w:line="360" w:lineRule="atLeast"/>
              <w:jc w:val="left"/>
              <w:rPr>
                <w:rFonts w:hint="eastAsia" w:ascii="仿宋_GB2312" w:hAnsi="仿宋_GB2312" w:eastAsia="仿宋_GB2312" w:cs="仿宋_GB2312"/>
                <w:color w:val="000000"/>
                <w:sz w:val="24"/>
                <w:szCs w:val="24"/>
              </w:rPr>
            </w:pPr>
          </w:p>
        </w:tc>
        <w:tc>
          <w:tcPr>
            <w:tcW w:w="103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第三十六条第三项</w:t>
            </w:r>
          </w:p>
        </w:tc>
        <w:tc>
          <w:tcPr>
            <w:tcW w:w="3167" w:type="dxa"/>
            <w:noWrap w:val="0"/>
            <w:vAlign w:val="center"/>
          </w:tcPr>
          <w:p>
            <w:pPr>
              <w:widowControl/>
              <w:spacing w:after="0" w:line="360" w:lineRule="atLeas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违反本条例规定，技术合同登记机构有下列行为之一的，市科学技术部门应当予以警告并责令其限期改正；情节严重的，予以撤销并公告：……（三）迟报、拒报或者提供不真实统计材料的；……</w:t>
            </w:r>
          </w:p>
        </w:tc>
        <w:tc>
          <w:tcPr>
            <w:tcW w:w="1877" w:type="dxa"/>
            <w:noWrap w:val="0"/>
            <w:vAlign w:val="center"/>
          </w:tcPr>
          <w:p>
            <w:pPr>
              <w:pStyle w:val="3"/>
              <w:widowControl/>
              <w:spacing w:after="0"/>
              <w:ind w:firstLine="0" w:firstLineChars="0"/>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lang w:bidi="ar"/>
              </w:rPr>
              <w:t>1.违法行为轻微，</w:t>
            </w:r>
            <w:r>
              <w:rPr>
                <w:rFonts w:hint="eastAsia" w:ascii="仿宋_GB2312" w:hAnsi="仿宋_GB2312" w:eastAsia="仿宋_GB2312" w:cs="仿宋_GB2312"/>
                <w:color w:val="000000"/>
                <w:sz w:val="24"/>
                <w:szCs w:val="24"/>
              </w:rPr>
              <w:t>技术合同登记机构具有</w:t>
            </w:r>
            <w:r>
              <w:rPr>
                <w:rFonts w:hint="eastAsia" w:ascii="仿宋_GB2312" w:hAnsi="仿宋_GB2312" w:eastAsia="仿宋_GB2312" w:cs="仿宋_GB2312"/>
                <w:color w:val="000000"/>
                <w:kern w:val="0"/>
                <w:sz w:val="24"/>
                <w:szCs w:val="24"/>
                <w:lang w:bidi="ar"/>
              </w:rPr>
              <w:t>迟报不超过30个自然日的情形。</w:t>
            </w:r>
            <w:r>
              <w:rPr>
                <w:rFonts w:hint="eastAsia" w:ascii="仿宋_GB2312" w:hAnsi="仿宋_GB2312" w:eastAsia="仿宋_GB2312" w:cs="仿宋_GB2312"/>
                <w:color w:val="000000"/>
                <w:sz w:val="24"/>
                <w:szCs w:val="24"/>
                <w:lang w:bidi="ar"/>
              </w:rPr>
              <w:t>2.及时改正。3.没有造成危害后果。</w:t>
            </w:r>
          </w:p>
        </w:tc>
        <w:tc>
          <w:tcPr>
            <w:tcW w:w="750"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指导劝诫警示约谈</w:t>
            </w:r>
          </w:p>
        </w:tc>
        <w:tc>
          <w:tcPr>
            <w:tcW w:w="73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市级</w:t>
            </w:r>
          </w:p>
        </w:tc>
      </w:tr>
    </w:tbl>
    <w:p>
      <w:pPr>
        <w:pStyle w:val="3"/>
        <w:ind w:left="0" w:leftChars="0" w:firstLine="0" w:firstLineChars="0"/>
        <w:sectPr>
          <w:footerReference r:id="rId5" w:type="default"/>
          <w:pgSz w:w="16838" w:h="11906" w:orient="landscape"/>
          <w:pgMar w:top="1800" w:right="1440" w:bottom="1800" w:left="1440" w:header="851" w:footer="992" w:gutter="0"/>
          <w:pgNumType w:fmt="decimal"/>
          <w:cols w:space="720" w:num="1"/>
          <w:docGrid w:type="lines" w:linePitch="312" w:charSpace="0"/>
        </w:sectPr>
      </w:pPr>
    </w:p>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ind w:left="210" w:leftChars="100" w:right="210" w:rightChars="100"/>
                            <w:rPr>
                              <w:rFonts w:hint="eastAsia" w:eastAsia="宋体"/>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hint="eastAsia" w:ascii="宋体" w:hAnsi="宋体" w:cs="宋体"/>
                              <w:sz w:val="28"/>
                              <w:szCs w:val="28"/>
                              <w:lang w:eastAsia="zh"/>
                            </w:rPr>
                            <w:t>1</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4"/>
                      <w:ind w:left="210" w:leftChars="100" w:right="210" w:rightChars="100"/>
                      <w:rPr>
                        <w:rFonts w:hint="eastAsia" w:eastAsia="宋体"/>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hint="eastAsia" w:ascii="宋体" w:hAnsi="宋体" w:cs="宋体"/>
                        <w:sz w:val="28"/>
                        <w:szCs w:val="28"/>
                        <w:lang w:eastAsia="zh"/>
                      </w:rPr>
                      <w:t>1</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F2AC0"/>
    <w:rsid w:val="2FFF2AC0"/>
    <w:rsid w:val="D589C0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2026-07-14T17:15:00Z</dcterms:created>
  <dc:creator>uos</dc:creator>
  <cp:lastModifiedBy>uos</cp:lastModifiedBy>
  <dcterms:modified xsi:type="dcterms:W3CDTF">2026-07-14T09:26:45Z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