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FF66">
      <w:pPr>
        <w:pStyle w:val="15"/>
        <w:bidi w:val="0"/>
        <w:rPr>
          <w:rFonts w:hint="default"/>
          <w:lang w:val="en-US" w:eastAsia="zh-CN"/>
        </w:rPr>
      </w:pPr>
      <w:bookmarkStart w:id="0" w:name="_GoBack"/>
      <w:r>
        <w:rPr>
          <w:rFonts w:hint="default"/>
          <w:lang w:val="en-US" w:eastAsia="zh-CN"/>
        </w:rPr>
        <w:t>文字解读：中关村科技园区石景山园管理委员会北京市石景山区科学技术委员会关于印发《石景山区关于支持OPC创业生态发展的若干措施（试行）》的通知</w:t>
      </w:r>
    </w:p>
    <w:bookmarkEnd w:id="0"/>
    <w:p w14:paraId="20401950">
      <w:pPr>
        <w:pStyle w:val="8"/>
        <w:bidi w:val="0"/>
        <w:rPr>
          <w:rFonts w:hint="default"/>
          <w:lang w:val="en-US" w:eastAsia="zh-CN"/>
        </w:rPr>
      </w:pPr>
      <w:r>
        <w:rPr>
          <w:rFonts w:hint="default"/>
          <w:lang w:val="en-US" w:eastAsia="zh-CN"/>
        </w:rPr>
        <w:t>日期:2026-07-10 10:16</w:t>
      </w:r>
      <w:r>
        <w:rPr>
          <w:rFonts w:hint="eastAsia"/>
          <w:lang w:val="en-US" w:eastAsia="zh-CN"/>
        </w:rPr>
        <w:t xml:space="preserve"> </w:t>
      </w:r>
      <w:r>
        <w:rPr>
          <w:rFonts w:hint="default"/>
          <w:lang w:val="en-US" w:eastAsia="zh-CN"/>
        </w:rPr>
        <w:t>来源:中关村科技园区石景山园管理委员会北京市石景山区科学技术委员会</w:t>
      </w:r>
    </w:p>
    <w:p w14:paraId="087D18FA">
      <w:pPr>
        <w:pStyle w:val="2"/>
        <w:bidi w:val="0"/>
        <w:rPr>
          <w:rFonts w:hint="default"/>
          <w:lang w:val="en-US" w:eastAsia="zh-CN"/>
        </w:rPr>
      </w:pPr>
      <w:r>
        <w:rPr>
          <w:rFonts w:hint="default"/>
          <w:lang w:val="en-US" w:eastAsia="zh-CN"/>
        </w:rPr>
        <w:t>一、制定背景</w:t>
      </w:r>
    </w:p>
    <w:p w14:paraId="3F9959EC">
      <w:pPr>
        <w:ind w:firstLine="560" w:firstLineChars="200"/>
        <w:rPr>
          <w:rFonts w:hint="default"/>
          <w:lang w:val="en-US" w:eastAsia="zh-CN"/>
        </w:rPr>
      </w:pPr>
      <w:r>
        <w:rPr>
          <w:rFonts w:hint="default"/>
          <w:lang w:val="en-US" w:eastAsia="zh-CN"/>
        </w:rPr>
        <w:t>当前，人工智能技术加速演进，正深刻驱动生产力范式变革和创业组织形态重塑。国家高度重视人工智能与经济社会各领域深度融合，国务院《关于深入实施“人工智能+”行动的意见》提出“培育智能原生新模式新业态”，工信部等七部门《促进平台经济大中小企业协同发展行动方案（2026—2028年）》明确“加快培育人工智能一人公司（AI OPC）”，人社部等七部门《关于健全创业支持体系提升创业质量的意见》提出构建“四创联动”支持体系。北京市经济和信息化局印发《支持人工智能OPC创新发展行动方案（试行）》，在开办便利、低成本办公空间、算力补贴、金融服务等方面提出支持举措。</w:t>
      </w:r>
    </w:p>
    <w:p w14:paraId="4025E7A1">
      <w:pPr>
        <w:ind w:firstLine="560" w:firstLineChars="200"/>
        <w:rPr>
          <w:rFonts w:hint="default"/>
          <w:lang w:val="en-US" w:eastAsia="zh-CN"/>
        </w:rPr>
      </w:pPr>
      <w:r>
        <w:rPr>
          <w:rFonts w:hint="default"/>
          <w:lang w:val="en-US" w:eastAsia="zh-CN"/>
        </w:rPr>
        <w:t>现结合石景山区产业发展实际，制定《石景山区关于支持OPC创业生态发展的若干措施（试行）》（下简称《措施》）。</w:t>
      </w:r>
    </w:p>
    <w:p w14:paraId="16F48D1A">
      <w:pPr>
        <w:pStyle w:val="2"/>
        <w:bidi w:val="0"/>
        <w:rPr>
          <w:rFonts w:hint="default"/>
          <w:lang w:val="en-US" w:eastAsia="zh-CN"/>
        </w:rPr>
      </w:pPr>
      <w:r>
        <w:rPr>
          <w:rFonts w:hint="default"/>
          <w:lang w:val="en-US" w:eastAsia="zh-CN"/>
        </w:rPr>
        <w:t>二、目的意义</w:t>
      </w:r>
    </w:p>
    <w:p w14:paraId="68C4B9D3">
      <w:pPr>
        <w:ind w:firstLine="560" w:firstLineChars="200"/>
        <w:rPr>
          <w:rFonts w:hint="default"/>
          <w:lang w:val="en-US" w:eastAsia="zh-CN"/>
        </w:rPr>
      </w:pPr>
      <w:r>
        <w:rPr>
          <w:rFonts w:hint="default"/>
          <w:lang w:val="en-US" w:eastAsia="zh-CN"/>
        </w:rPr>
        <w:t>加快构建以“轻量化创业、全链条精准赋能、高质量成果转化”为核心的OPC创新创业生态，充分发挥政策赋能作用，营造良好的创新创业生态环境，支持青年人才创新创业，培育一批AI驱动、小而精、专而强的创新主体，助力其快速成长，壮大科技创新力量。</w:t>
      </w:r>
    </w:p>
    <w:p w14:paraId="4973AE2D">
      <w:pPr>
        <w:pStyle w:val="2"/>
        <w:bidi w:val="0"/>
        <w:rPr>
          <w:rFonts w:hint="default"/>
          <w:lang w:val="en-US" w:eastAsia="zh-CN"/>
        </w:rPr>
      </w:pPr>
      <w:r>
        <w:rPr>
          <w:rFonts w:hint="default"/>
          <w:lang w:val="en-US" w:eastAsia="zh-CN"/>
        </w:rPr>
        <w:t>三、适用范围时间</w:t>
      </w:r>
    </w:p>
    <w:p w14:paraId="5D85618B">
      <w:pPr>
        <w:ind w:firstLine="560" w:firstLineChars="200"/>
        <w:rPr>
          <w:rFonts w:hint="default"/>
          <w:lang w:val="en-US" w:eastAsia="zh-CN"/>
        </w:rPr>
      </w:pPr>
      <w:r>
        <w:rPr>
          <w:rFonts w:hint="default"/>
          <w:lang w:val="en-US" w:eastAsia="zh-CN"/>
        </w:rPr>
        <w:t>《措施》适用于在石景山区依法合规开展OPC创业活动的企业、组织或机构。</w:t>
      </w:r>
    </w:p>
    <w:p w14:paraId="5949E424">
      <w:pPr>
        <w:ind w:firstLine="560" w:firstLineChars="200"/>
        <w:rPr>
          <w:rFonts w:hint="default"/>
          <w:lang w:val="en-US" w:eastAsia="zh-CN"/>
        </w:rPr>
      </w:pPr>
      <w:r>
        <w:rPr>
          <w:rFonts w:hint="default"/>
          <w:lang w:val="en-US" w:eastAsia="zh-CN"/>
        </w:rPr>
        <w:t>《措施》自公布之日30日后施行，有效期为一年。</w:t>
      </w:r>
    </w:p>
    <w:p w14:paraId="682682D2">
      <w:pPr>
        <w:pStyle w:val="2"/>
        <w:bidi w:val="0"/>
        <w:rPr>
          <w:rFonts w:hint="default"/>
          <w:lang w:val="en-US" w:eastAsia="zh-CN"/>
        </w:rPr>
      </w:pPr>
      <w:r>
        <w:rPr>
          <w:rFonts w:hint="default"/>
          <w:lang w:val="en-US" w:eastAsia="zh-CN"/>
        </w:rPr>
        <w:t>四、主要内容</w:t>
      </w:r>
    </w:p>
    <w:p w14:paraId="71CDC373">
      <w:pPr>
        <w:ind w:firstLine="560" w:firstLineChars="200"/>
        <w:rPr>
          <w:rFonts w:hint="default"/>
          <w:lang w:val="en-US" w:eastAsia="zh-CN"/>
        </w:rPr>
      </w:pPr>
      <w:r>
        <w:rPr>
          <w:rFonts w:hint="default"/>
          <w:lang w:val="en-US" w:eastAsia="zh-CN"/>
        </w:rPr>
        <w:t>《措施》全文共八条，具体包括：</w:t>
      </w:r>
    </w:p>
    <w:p w14:paraId="2F2EC52C">
      <w:pPr>
        <w:ind w:firstLine="560" w:firstLineChars="200"/>
        <w:rPr>
          <w:rFonts w:hint="default"/>
          <w:lang w:val="en-US" w:eastAsia="zh-CN"/>
        </w:rPr>
      </w:pPr>
      <w:r>
        <w:rPr>
          <w:rFonts w:hint="default"/>
          <w:lang w:val="en-US" w:eastAsia="zh-CN"/>
        </w:rPr>
        <w:t>（一）创业启动与人才住房支持方面（第一条、第二条）。第一条支持人才创业启动，重点支持毕业五年内的高校毕业生和在校师生团队、科研院所团队、各类科技人才创办OPC企业，经认定给予10万元创业启动资金扶持；支持OPC人才申报“景贤人才”。第二条提供人才安居保障，为入驻OPC社区创业的人才提供最长3个月的免费周转住房，免费期满后经审核评估可享受租金优惠，优惠期最长3年。</w:t>
      </w:r>
    </w:p>
    <w:p w14:paraId="4E32591F">
      <w:pPr>
        <w:ind w:firstLine="560" w:firstLineChars="200"/>
        <w:rPr>
          <w:rFonts w:hint="default"/>
          <w:lang w:val="en-US" w:eastAsia="zh-CN"/>
        </w:rPr>
      </w:pPr>
      <w:r>
        <w:rPr>
          <w:rFonts w:hint="default"/>
          <w:lang w:val="en-US" w:eastAsia="zh-CN"/>
        </w:rPr>
        <w:t>（二）技术工具与市场化支持方面（第三条、第四条）。第三条给予模型工具支持，鼓励OPC企业使用智能体技术工具进行技术研发与生产创新，对符合要求的企业给予词元或算力券支持，每年最高支持200万元。第四条激励首次商业化突破，对形成自主核心成果并实现首次市场转化的OPC企业，经评审给予一次性最高100万元资金支持。</w:t>
      </w:r>
    </w:p>
    <w:p w14:paraId="3DF378B4">
      <w:pPr>
        <w:ind w:firstLine="560" w:firstLineChars="200"/>
        <w:rPr>
          <w:rFonts w:hint="default"/>
          <w:lang w:val="en-US" w:eastAsia="zh-CN"/>
        </w:rPr>
      </w:pPr>
      <w:r>
        <w:rPr>
          <w:rFonts w:hint="default"/>
          <w:lang w:val="en-US" w:eastAsia="zh-CN"/>
        </w:rPr>
        <w:t>（三）服务和生态支持方面（第五条、第六条、第七条、第八条）。第五条促进赛事项目转化，对在高水平创新创业赛事中获奖并实现成果转化的OPC项目，给予最高不超过50万元资金支持。第六条培育特色社区生态，鼓励优质特色园区、高质量孵化器、专业服务平台等主体打造OPC社区，对成效突出的OPC生态友好社区，经认定给予运营主体每年最高200万元资金支持。第七条强化金融服务供给，用好石景山早小成长创新创业子基金为OPC企业提供股权融资支持，对获得普惠贷款或北京市创业担保贷款的OPC企业给予贴息支持，单一企业每年最高不超过50万元。第八条优化政务服务保障，设立OPC登记专窗，组建服务专员团队提供全生命周期“管家式”陪伴服务。</w:t>
      </w:r>
    </w:p>
    <w:p w14:paraId="0CA585A2">
      <w:pPr>
        <w:pStyle w:val="2"/>
        <w:bidi w:val="0"/>
        <w:rPr>
          <w:rFonts w:hint="default"/>
          <w:lang w:val="en-US" w:eastAsia="zh-CN"/>
        </w:rPr>
      </w:pPr>
      <w:r>
        <w:rPr>
          <w:rFonts w:hint="default"/>
          <w:lang w:val="en-US" w:eastAsia="zh-CN"/>
        </w:rPr>
        <w:t>五、支持原则和解释说明</w:t>
      </w:r>
    </w:p>
    <w:p w14:paraId="2E6CC5F7">
      <w:pPr>
        <w:ind w:firstLine="560" w:firstLineChars="200"/>
        <w:rPr>
          <w:rFonts w:hint="default"/>
          <w:lang w:val="en-US" w:eastAsia="zh-CN"/>
        </w:rPr>
      </w:pPr>
      <w:r>
        <w:rPr>
          <w:rFonts w:hint="default"/>
          <w:lang w:val="en-US" w:eastAsia="zh-CN"/>
        </w:rPr>
        <w:t>享受《措施》政策支持的申报单位，不再同时享受本区其他同一类型的政策。同一项目符合《措施》多个条款规定的，按照“从优不重复”的原则予以支持。</w:t>
      </w:r>
    </w:p>
    <w:p w14:paraId="40B1E59D">
      <w:pPr>
        <w:ind w:firstLine="560" w:firstLineChars="200"/>
        <w:rPr>
          <w:rFonts w:hint="default"/>
          <w:lang w:val="en-US" w:eastAsia="zh-CN"/>
        </w:rPr>
      </w:pPr>
      <w:r>
        <w:rPr>
          <w:rFonts w:hint="default"/>
          <w:lang w:val="en-US" w:eastAsia="zh-CN"/>
        </w:rPr>
        <w:t>《措施》自公布之日30日后施行，有效期一年，由中关村科技园区石景山园管理委员会北京市石景山区科学技术委员会负责解释和组织实施。施行期间如遇国家或北京市相关政策调整，按照国家或北京市相关规定执行。</w:t>
      </w:r>
    </w:p>
    <w:p w14:paraId="0FFA4EE9">
      <w:pPr>
        <w:ind w:firstLine="560" w:firstLineChars="200"/>
        <w:rPr>
          <w:rFonts w:hint="default"/>
          <w:lang w:val="en-US" w:eastAsia="zh-CN"/>
        </w:rPr>
      </w:pPr>
      <w:r>
        <w:rPr>
          <w:rFonts w:hint="default"/>
          <w:lang w:val="en-US" w:eastAsia="zh-CN"/>
        </w:rPr>
        <w:t>https://www.bjsjs.gov.cn/gongkai/zcjd/202607/t20260710_763144.shtml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9D11AC9"/>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政策易点通</cp:lastModifiedBy>
  <dcterms:modified xsi:type="dcterms:W3CDTF">2026-07-10T05:37:44Z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124C2FDF4B154477880B5FB1E3F83DCD_13</vt:lpwstr>
  </property>
  <property fmtid="{D5CDD505-2E9C-101B-9397-08002B2CF9AE}" pid="4" name="KSOTemplateDocerSaveRecord">
    <vt:lpwstr>eyJoZGlkIjoiMjIxMjI5YjhlNTAxYzUyOTYyYWZlMGFjYmE4ZTczY2EiLCJ1c2VySWQiOiI5ODU1NjY4OTQifQ==</vt:lpwstr>
  </property>
</Properties>
</file>