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A02DD7">
      <w:pPr>
        <w:pStyle w:val="14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一图读懂|关于北京城市副中心支持“专精特新”企业高质量发展的若干措施</w:t>
      </w:r>
    </w:p>
    <w:p w14:paraId="59C6EFD4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日期：2026-06-22 16:48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default"/>
          <w:lang w:val="en-US" w:eastAsia="zh-CN"/>
        </w:rPr>
        <w:t xml:space="preserve">  来源：北京市通州区经济和信息化局</w:t>
      </w:r>
      <w:bookmarkStart w:id="0" w:name="_GoBack"/>
      <w:bookmarkEnd w:id="0"/>
    </w:p>
    <w:p w14:paraId="68290E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739005" cy="706755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991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382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6238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8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https://www.bjtzh.gov.cn/bjtz/jdhy/202606/1792604.shtml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B30093"/>
    <w:rsid w:val="02054F52"/>
    <w:rsid w:val="03E5615F"/>
    <w:rsid w:val="04BE52E0"/>
    <w:rsid w:val="04E5597F"/>
    <w:rsid w:val="05C9270C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1EED2DCA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0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0">
    <w:name w:val="标题 5 Char"/>
    <w:link w:val="6"/>
    <w:qFormat/>
    <w:uiPriority w:val="9"/>
  </w:style>
  <w:style w:type="character" w:customStyle="1" w:styleId="51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2026-06-23T09:26:24Z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4D284497CB2C4B7CB15723DA27E7B057_13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