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B32F7">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highlight w:val="none"/>
          <w:shd w:val="clear" w:color="auto" w:fill="FFFFFF"/>
        </w:rPr>
      </w:pPr>
      <w:bookmarkStart w:id="2" w:name="_GoBack"/>
      <w:r>
        <w:rPr>
          <w:rFonts w:hint="eastAsia" w:ascii="黑体" w:hAnsi="黑体" w:eastAsia="黑体" w:cs="黑体"/>
          <w:sz w:val="32"/>
          <w:szCs w:val="40"/>
          <w:highlight w:val="none"/>
          <w:lang w:val="en-US" w:eastAsia="zh-CN"/>
        </w:rPr>
        <w:t>附件</w:t>
      </w:r>
      <w:r>
        <w:rPr>
          <w:rFonts w:hint="eastAsia" w:ascii="黑体" w:hAnsi="黑体" w:eastAsia="黑体" w:cs="黑体"/>
          <w:color w:val="333333"/>
          <w:spacing w:val="15"/>
          <w:kern w:val="0"/>
          <w:sz w:val="32"/>
          <w:szCs w:val="32"/>
          <w:highlight w:val="none"/>
          <w:shd w:val="clear" w:color="auto" w:fill="FFFFFF"/>
          <w:lang w:val="en-US" w:eastAsia="zh-CN"/>
        </w:rPr>
        <w:t>2</w:t>
      </w:r>
    </w:p>
    <w:p w14:paraId="665BB400">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2026年公共阅读空间延时奖励</w:t>
      </w:r>
      <w:r>
        <w:rPr>
          <w:rFonts w:hint="eastAsia" w:ascii="方正小标宋简体" w:hAnsi="方正小标宋简体" w:eastAsia="方正小标宋简体" w:cs="方正小标宋简体"/>
          <w:sz w:val="44"/>
          <w:szCs w:val="44"/>
          <w:highlight w:val="none"/>
        </w:rPr>
        <w:t>办事指南</w:t>
      </w:r>
    </w:p>
    <w:p w14:paraId="41D64B7D">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highlight w:val="none"/>
        </w:rPr>
      </w:pPr>
    </w:p>
    <w:p w14:paraId="76EDE08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2280BFC9">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highlight w:val="none"/>
        </w:rPr>
      </w:pPr>
      <w:r>
        <w:rPr>
          <w:rFonts w:hint="eastAsia"/>
          <w:kern w:val="0"/>
          <w:highlight w:val="none"/>
        </w:rPr>
        <w:t>《北京经济技术开发区推进</w:t>
      </w:r>
      <w:bookmarkStart w:id="0" w:name="_Hlk109046794"/>
      <w:r>
        <w:rPr>
          <w:rFonts w:hint="eastAsia"/>
          <w:kern w:val="0"/>
          <w:highlight w:val="none"/>
        </w:rPr>
        <w:t>公共阅读空间</w:t>
      </w:r>
      <w:bookmarkEnd w:id="0"/>
      <w:r>
        <w:rPr>
          <w:rFonts w:hint="eastAsia"/>
          <w:kern w:val="0"/>
          <w:highlight w:val="none"/>
        </w:rPr>
        <w:t>发展的管理办法》</w:t>
      </w:r>
      <w:r>
        <w:rPr>
          <w:rFonts w:hint="eastAsia"/>
          <w:highlight w:val="none"/>
        </w:rPr>
        <w:t>（京技管</w:t>
      </w:r>
      <w:r>
        <w:rPr>
          <w:rFonts w:hint="eastAsia"/>
          <w:highlight w:val="none"/>
          <w:lang w:eastAsia="zh-CN"/>
        </w:rPr>
        <w:t>发</w:t>
      </w:r>
      <w:r>
        <w:rPr>
          <w:rFonts w:hint="eastAsia"/>
          <w:highlight w:val="none"/>
        </w:rPr>
        <w:t>〔202</w:t>
      </w:r>
      <w:r>
        <w:rPr>
          <w:rFonts w:hint="eastAsia"/>
          <w:highlight w:val="none"/>
          <w:lang w:val="en-US" w:eastAsia="zh-CN"/>
        </w:rPr>
        <w:t>5</w:t>
      </w:r>
      <w:r>
        <w:rPr>
          <w:rFonts w:hint="eastAsia"/>
          <w:highlight w:val="none"/>
        </w:rPr>
        <w:t>〕</w:t>
      </w:r>
      <w:r>
        <w:rPr>
          <w:rFonts w:hint="eastAsia"/>
          <w:highlight w:val="none"/>
          <w:lang w:val="en-US" w:eastAsia="zh-CN"/>
        </w:rPr>
        <w:t>22</w:t>
      </w:r>
      <w:r>
        <w:rPr>
          <w:rFonts w:hint="eastAsia"/>
          <w:highlight w:val="none"/>
        </w:rPr>
        <w:t>号）</w:t>
      </w:r>
    </w:p>
    <w:p w14:paraId="52CF4ED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2ED18BF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lang w:val="en-US" w:eastAsia="zh-CN"/>
        </w:rPr>
        <w:t>公共阅读空间延时奖励</w:t>
      </w:r>
    </w:p>
    <w:p w14:paraId="0CF6492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148FB60F">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highlight w:val="none"/>
          <w:lang w:val="en-US" w:bidi="ar-SA"/>
        </w:rPr>
      </w:pPr>
      <w:bookmarkStart w:id="1" w:name="OLE_LINK101"/>
      <w:r>
        <w:rPr>
          <w:rFonts w:ascii="Times New Roman" w:hAnsi="Times New Roman" w:cs="Times New Roman"/>
          <w:highlight w:val="none"/>
          <w:lang w:val="en-US" w:bidi="ar-SA"/>
        </w:rPr>
        <w:t>（一）</w:t>
      </w:r>
      <w:bookmarkEnd w:id="1"/>
      <w:r>
        <w:rPr>
          <w:rFonts w:hint="eastAsia" w:ascii="Times New Roman" w:hAnsi="Times New Roman" w:cs="Times New Roman"/>
          <w:highlight w:val="none"/>
          <w:lang w:val="en-US" w:eastAsia="zh-CN" w:bidi="ar-SA"/>
        </w:rPr>
        <w:t>申报主体</w:t>
      </w:r>
      <w:r>
        <w:rPr>
          <w:rFonts w:hint="eastAsia" w:ascii="仿宋_GB2312" w:eastAsia="仿宋_GB2312" w:cs="仿宋_GB2312"/>
          <w:sz w:val="32"/>
          <w:szCs w:val="32"/>
          <w:highlight w:val="none"/>
        </w:rPr>
        <w:t>依法取得“营业执照”或“民办非企业单位登记证书”或“社会团体法人登记证书”等合法运营资质，在经开区</w:t>
      </w:r>
      <w:r>
        <w:rPr>
          <w:rFonts w:hint="eastAsia" w:ascii="仿宋_GB2312" w:eastAsia="仿宋_GB2312" w:cs="仿宋_GB2312"/>
          <w:sz w:val="32"/>
          <w:szCs w:val="32"/>
          <w:highlight w:val="none"/>
          <w:lang w:val="en-US" w:eastAsia="zh-CN"/>
        </w:rPr>
        <w:t>60平方公里范围内</w:t>
      </w:r>
      <w:r>
        <w:rPr>
          <w:rFonts w:hint="eastAsia" w:ascii="仿宋_GB2312" w:eastAsia="仿宋_GB2312" w:cs="仿宋_GB2312"/>
          <w:sz w:val="32"/>
          <w:szCs w:val="32"/>
          <w:highlight w:val="none"/>
        </w:rPr>
        <w:t>运营并实际投入使用，并通过经开区公共阅读空间考评</w:t>
      </w:r>
      <w:r>
        <w:rPr>
          <w:rFonts w:hint="eastAsia" w:cs="仿宋_GB2312"/>
          <w:sz w:val="32"/>
          <w:szCs w:val="32"/>
          <w:highlight w:val="none"/>
          <w:lang w:eastAsia="zh-CN"/>
        </w:rPr>
        <w:t>；</w:t>
      </w:r>
    </w:p>
    <w:p w14:paraId="37FAF62A">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二</w:t>
      </w: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运</w:t>
      </w:r>
      <w:r>
        <w:rPr>
          <w:rFonts w:hint="eastAsia" w:ascii="仿宋_GB2312" w:eastAsia="仿宋_GB2312" w:cs="仿宋_GB2312"/>
          <w:sz w:val="32"/>
          <w:szCs w:val="32"/>
          <w:highlight w:val="none"/>
          <w:lang w:val="en-US"/>
        </w:rPr>
        <w:t>营满1年（含）</w:t>
      </w:r>
      <w:r>
        <w:rPr>
          <w:rFonts w:hint="eastAsia" w:ascii="仿宋_GB2312" w:eastAsia="仿宋_GB2312" w:cs="仿宋_GB2312"/>
          <w:sz w:val="32"/>
          <w:szCs w:val="32"/>
          <w:highlight w:val="none"/>
          <w:lang w:val="en-US" w:eastAsia="zh-CN"/>
        </w:rPr>
        <w:t>以上；</w:t>
      </w:r>
    </w:p>
    <w:p w14:paraId="1B29C192">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（三）有相对独立的阅读区域，区域面积不小于30平方米；</w:t>
      </w:r>
    </w:p>
    <w:p w14:paraId="30FFA4EB">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（四）每天连续开放8小时（含）以上，每周运营时间40小时（含）以上；</w:t>
      </w:r>
    </w:p>
    <w:p w14:paraId="3CC11DCA">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（五）出版物数量不少于1000册，品种不少于500种；</w:t>
      </w:r>
      <w:r>
        <w:rPr>
          <w:rFonts w:hint="eastAsia" w:ascii="仿宋_GB2312" w:eastAsia="仿宋_GB2312" w:cs="仿宋_GB2312"/>
          <w:sz w:val="32"/>
          <w:szCs w:val="32"/>
          <w:highlight w:val="none"/>
          <w:lang w:val="en-US" w:eastAsia="zh-CN"/>
        </w:rPr>
        <w:br w:type="textWrapping"/>
      </w:r>
      <w:r>
        <w:rPr>
          <w:rFonts w:hint="eastAsia" w:ascii="仿宋_GB2312" w:eastAsia="仿宋_GB2312" w:cs="仿宋_GB2312"/>
          <w:sz w:val="32"/>
          <w:szCs w:val="32"/>
          <w:highlight w:val="none"/>
          <w:lang w:val="en-US" w:eastAsia="zh-CN"/>
        </w:rPr>
        <w:t>（六）配备的阅读桌椅最低满足10人以上同时阅读的需求；</w:t>
      </w:r>
    </w:p>
    <w:p w14:paraId="0F77103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48CD3EED">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lang w:val="en-US" w:eastAsia="zh-CN"/>
        </w:rPr>
        <w:t>八</w:t>
      </w: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rPr>
        <w:t>近三年</w:t>
      </w:r>
      <w:r>
        <w:rPr>
          <w:rFonts w:hint="eastAsia" w:cs="仿宋_GB2312"/>
          <w:sz w:val="32"/>
          <w:szCs w:val="32"/>
          <w:highlight w:val="none"/>
          <w:lang w:val="en-US" w:eastAsia="zh-CN"/>
        </w:rPr>
        <w:t>无</w:t>
      </w:r>
      <w:r>
        <w:rPr>
          <w:rFonts w:hint="eastAsia" w:ascii="仿宋_GB2312" w:eastAsia="仿宋_GB2312" w:cs="仿宋_GB2312"/>
          <w:sz w:val="32"/>
          <w:szCs w:val="32"/>
          <w:highlight w:val="none"/>
        </w:rPr>
        <w:t>重大行政处罚公示信息和刑事犯罪记录，</w:t>
      </w:r>
      <w:r>
        <w:rPr>
          <w:rFonts w:hint="eastAsia" w:ascii="仿宋_GB2312" w:eastAsia="仿宋_GB2312" w:cs="仿宋_GB2312"/>
          <w:sz w:val="32"/>
          <w:szCs w:val="32"/>
          <w:highlight w:val="none"/>
          <w:lang w:eastAsia="zh-CN"/>
        </w:rPr>
        <w:t>未</w:t>
      </w:r>
      <w:r>
        <w:rPr>
          <w:rFonts w:hint="eastAsia" w:ascii="仿宋_GB2312" w:eastAsia="仿宋_GB2312" w:cs="仿宋_GB2312"/>
          <w:sz w:val="32"/>
          <w:szCs w:val="32"/>
          <w:highlight w:val="none"/>
        </w:rPr>
        <w:t>列入严重违法失信主体名单</w:t>
      </w:r>
      <w:r>
        <w:rPr>
          <w:rFonts w:hint="eastAsia" w:ascii="仿宋_GB2312" w:eastAsia="仿宋_GB2312" w:cs="仿宋_GB2312"/>
          <w:sz w:val="32"/>
          <w:szCs w:val="32"/>
          <w:highlight w:val="none"/>
          <w:lang w:val="en-US" w:eastAsia="zh-CN"/>
        </w:rPr>
        <w:t>；</w:t>
      </w:r>
    </w:p>
    <w:p w14:paraId="459EF13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2D36EFBB">
      <w:pPr>
        <w:keepNext w:val="0"/>
        <w:keepLines w:val="0"/>
        <w:pageBreakBefore w:val="0"/>
        <w:kinsoku/>
        <w:wordWrap/>
        <w:overflowPunct/>
        <w:topLinePunct w:val="0"/>
        <w:bidi w:val="0"/>
        <w:spacing w:line="560" w:lineRule="exact"/>
        <w:ind w:firstLine="640" w:firstLineChars="200"/>
        <w:textAlignment w:val="auto"/>
        <w:outlineLvl w:val="0"/>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对于申报年度内工作日每天连续开放时间9小时（含）以上，每周经营时间80小时（含）以上的申报对象予以5万元的延时奖励。</w:t>
      </w:r>
    </w:p>
    <w:p w14:paraId="26AF6736">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77E2EFB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.公共阅读空间</w:t>
      </w:r>
      <w:r>
        <w:rPr>
          <w:rFonts w:hint="eastAsia" w:ascii="仿宋_GB2312" w:hAnsi="仿宋_GB2312" w:eastAsia="仿宋_GB2312" w:cs="仿宋_GB2312"/>
          <w:kern w:val="0"/>
          <w:sz w:val="32"/>
          <w:szCs w:val="32"/>
          <w:highlight w:val="none"/>
          <w:lang w:val="en-US" w:eastAsia="zh-CN"/>
        </w:rPr>
        <w:t>延时</w:t>
      </w:r>
      <w:r>
        <w:rPr>
          <w:rFonts w:hint="eastAsia" w:ascii="仿宋_GB2312" w:hAnsi="仿宋_GB2312" w:eastAsia="仿宋_GB2312" w:cs="仿宋_GB2312"/>
          <w:kern w:val="0"/>
          <w:sz w:val="32"/>
          <w:szCs w:val="32"/>
          <w:highlight w:val="none"/>
          <w:lang w:val="en-US" w:eastAsia="zh-CN"/>
        </w:rPr>
        <w:t>奖励</w:t>
      </w:r>
      <w:r>
        <w:rPr>
          <w:rFonts w:hint="eastAsia" w:ascii="仿宋_GB2312" w:hAnsi="仿宋_GB2312" w:eastAsia="仿宋_GB2312" w:cs="仿宋_GB2312"/>
          <w:kern w:val="0"/>
          <w:sz w:val="32"/>
          <w:szCs w:val="32"/>
          <w:highlight w:val="none"/>
        </w:rPr>
        <w:t>申报表，在线填写；</w:t>
      </w:r>
    </w:p>
    <w:p w14:paraId="798A8A2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企业</w:t>
      </w:r>
      <w:r>
        <w:rPr>
          <w:rFonts w:hint="eastAsia" w:ascii="仿宋_GB2312" w:hAnsi="仿宋_GB2312" w:eastAsia="仿宋_GB2312" w:cs="仿宋_GB2312"/>
          <w:kern w:val="0"/>
          <w:sz w:val="32"/>
          <w:szCs w:val="32"/>
          <w:highlight w:val="none"/>
        </w:rPr>
        <w:t>营业执照</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选取电子证照；若为</w:t>
      </w:r>
      <w:r>
        <w:rPr>
          <w:rFonts w:hint="eastAsia" w:ascii="仿宋_GB2312" w:hAnsi="仿宋_GB2312" w:eastAsia="仿宋_GB2312" w:cs="仿宋_GB2312"/>
          <w:kern w:val="0"/>
          <w:sz w:val="32"/>
          <w:szCs w:val="32"/>
          <w:highlight w:val="none"/>
        </w:rPr>
        <w:t>《民办非企业单位登记证书》《社会团体法人登记证书》</w:t>
      </w:r>
      <w:r>
        <w:rPr>
          <w:rFonts w:hint="eastAsia" w:ascii="仿宋_GB2312" w:hAnsi="仿宋_GB2312" w:eastAsia="仿宋_GB2312" w:cs="仿宋_GB2312"/>
          <w:kern w:val="0"/>
          <w:sz w:val="32"/>
          <w:szCs w:val="32"/>
          <w:highlight w:val="none"/>
          <w:lang w:eastAsia="zh-CN"/>
        </w:rPr>
        <w:t>等，</w:t>
      </w:r>
      <w:r>
        <w:rPr>
          <w:rFonts w:hint="eastAsia" w:ascii="仿宋_GB2312" w:hAnsi="仿宋_GB2312" w:eastAsia="仿宋_GB2312" w:cs="仿宋_GB2312"/>
          <w:kern w:val="0"/>
          <w:sz w:val="32"/>
          <w:szCs w:val="32"/>
          <w:highlight w:val="none"/>
          <w:lang w:val="en-US" w:eastAsia="zh-CN"/>
        </w:rPr>
        <w:t>原件</w:t>
      </w:r>
      <w:r>
        <w:rPr>
          <w:rFonts w:hint="eastAsia" w:ascii="仿宋_GB2312" w:hAnsi="仿宋_GB2312" w:eastAsia="仿宋_GB2312" w:cs="仿宋_GB2312"/>
          <w:kern w:val="0"/>
          <w:sz w:val="32"/>
          <w:szCs w:val="32"/>
          <w:highlight w:val="none"/>
        </w:rPr>
        <w:t>彩色扫描上传；</w:t>
      </w:r>
    </w:p>
    <w:p w14:paraId="79DBD08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3.承诺书，下载模板填写，签字、加盖公章，彩色扫描上传；</w:t>
      </w:r>
    </w:p>
    <w:p w14:paraId="2B514BDD">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4.银行账户信息，下载模板填写，加盖公章，彩色扫描上传；</w:t>
      </w:r>
    </w:p>
    <w:p w14:paraId="0E436CD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lang w:val="en-US"/>
        </w:rPr>
        <w:t>公共阅读空间场地</w:t>
      </w:r>
      <w:r>
        <w:rPr>
          <w:rFonts w:hint="eastAsia" w:ascii="仿宋_GB2312" w:hAnsi="仿宋_GB2312" w:eastAsia="仿宋_GB2312" w:cs="仿宋_GB2312"/>
          <w:kern w:val="0"/>
          <w:sz w:val="32"/>
          <w:szCs w:val="32"/>
          <w:highlight w:val="none"/>
        </w:rPr>
        <w:t>(含出版物的公共阅读空间面积)证明文件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自有房屋提供不动产产权证明，租赁房屋需提供租赁协议和</w:t>
      </w:r>
      <w:r>
        <w:rPr>
          <w:rFonts w:hint="eastAsia" w:ascii="仿宋_GB2312" w:hAnsi="仿宋_GB2312" w:eastAsia="仿宋_GB2312" w:cs="仿宋_GB2312"/>
          <w:kern w:val="0"/>
          <w:sz w:val="32"/>
          <w:szCs w:val="32"/>
          <w:highlight w:val="none"/>
          <w:lang w:eastAsia="zh-CN"/>
        </w:rPr>
        <w:t>2025年</w:t>
      </w:r>
      <w:r>
        <w:rPr>
          <w:rFonts w:hint="eastAsia" w:ascii="仿宋_GB2312" w:hAnsi="仿宋_GB2312" w:eastAsia="仿宋_GB2312" w:cs="仿宋_GB2312"/>
          <w:kern w:val="0"/>
          <w:sz w:val="32"/>
          <w:szCs w:val="32"/>
          <w:highlight w:val="none"/>
        </w:rPr>
        <w:t>房租发票，彩色扫描上传；</w:t>
      </w:r>
    </w:p>
    <w:p w14:paraId="66C8693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6.出版物</w:t>
      </w:r>
      <w:r>
        <w:rPr>
          <w:rFonts w:hint="eastAsia" w:ascii="仿宋_GB2312" w:hAnsi="仿宋_GB2312" w:eastAsia="仿宋_GB2312" w:cs="仿宋_GB2312"/>
          <w:kern w:val="0"/>
          <w:sz w:val="32"/>
          <w:szCs w:val="32"/>
          <w:highlight w:val="none"/>
          <w:lang w:val="en-US" w:eastAsia="zh-CN"/>
        </w:rPr>
        <w:t>总数量和</w:t>
      </w:r>
      <w:r>
        <w:rPr>
          <w:rFonts w:hint="eastAsia" w:ascii="仿宋_GB2312" w:hAnsi="仿宋_GB2312" w:eastAsia="仿宋_GB2312" w:cs="仿宋_GB2312"/>
          <w:kern w:val="0"/>
          <w:sz w:val="32"/>
          <w:szCs w:val="32"/>
          <w:highlight w:val="none"/>
        </w:rPr>
        <w:t>总品种数</w:t>
      </w:r>
      <w:r>
        <w:rPr>
          <w:rFonts w:hint="eastAsia" w:ascii="仿宋_GB2312" w:hAnsi="仿宋_GB2312" w:eastAsia="仿宋_GB2312" w:cs="仿宋_GB2312"/>
          <w:kern w:val="0"/>
          <w:sz w:val="32"/>
          <w:szCs w:val="32"/>
          <w:highlight w:val="none"/>
          <w:lang w:eastAsia="zh-CN"/>
        </w:rPr>
        <w:t>证明材料，</w:t>
      </w:r>
      <w:r>
        <w:rPr>
          <w:rFonts w:hint="eastAsia" w:ascii="仿宋_GB2312" w:hAnsi="仿宋_GB2312" w:eastAsia="仿宋_GB2312" w:cs="仿宋_GB2312"/>
          <w:kern w:val="0"/>
          <w:sz w:val="32"/>
          <w:szCs w:val="32"/>
          <w:highlight w:val="none"/>
          <w:lang w:val="en-US" w:eastAsia="zh-CN"/>
        </w:rPr>
        <w:t>加盖公章，</w:t>
      </w:r>
      <w:r>
        <w:rPr>
          <w:rFonts w:hint="eastAsia" w:ascii="仿宋_GB2312" w:hAnsi="仿宋_GB2312" w:eastAsia="仿宋_GB2312" w:cs="仿宋_GB2312"/>
          <w:kern w:val="0"/>
          <w:sz w:val="32"/>
          <w:szCs w:val="32"/>
          <w:highlight w:val="none"/>
          <w:lang w:eastAsia="zh-CN"/>
        </w:rPr>
        <w:t>彩色扫描上传；</w:t>
      </w:r>
    </w:p>
    <w:p w14:paraId="06CF37A3">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8" w:leftChars="304"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lang w:val="en-US"/>
        </w:rPr>
        <w:t>公共阅读空间</w:t>
      </w:r>
      <w:r>
        <w:rPr>
          <w:rFonts w:hint="eastAsia" w:ascii="仿宋_GB2312" w:hAnsi="仿宋_GB2312" w:eastAsia="仿宋_GB2312" w:cs="仿宋_GB2312"/>
          <w:kern w:val="0"/>
          <w:sz w:val="32"/>
          <w:szCs w:val="32"/>
          <w:highlight w:val="none"/>
        </w:rPr>
        <w:t>外观与店堂内部照片，原件彩色扫描上传；</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.公共阅读空间经营费用明细表，下载模板填写，加盖公章，</w:t>
      </w:r>
    </w:p>
    <w:p w14:paraId="351C919E">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16" w:leftChars="0" w:hanging="16" w:hangingChars="5"/>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彩色扫描上传；</w:t>
      </w:r>
    </w:p>
    <w:p w14:paraId="53625BF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.管理制度清单及内容，加盖公章，彩色扫描上传；</w:t>
      </w:r>
    </w:p>
    <w:p w14:paraId="586F59C8">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.公共阅读空间运营情况介绍</w:t>
      </w:r>
      <w:r>
        <w:rPr>
          <w:rFonts w:hint="eastAsia" w:ascii="仿宋_GB2312" w:hAnsi="仿宋_GB2312" w:eastAsia="仿宋_GB2312" w:cs="仿宋_GB2312"/>
          <w:kern w:val="0"/>
          <w:sz w:val="32"/>
          <w:szCs w:val="32"/>
          <w:highlight w:val="none"/>
          <w:lang w:eastAsia="zh-CN"/>
        </w:rPr>
        <w:t>，经营时间、经营主题、经营特色、对社会面开放等材料，加盖公章，彩色扫描上传；</w:t>
      </w:r>
    </w:p>
    <w:p w14:paraId="0C4B355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举办全民阅读推广活动材料</w:t>
      </w:r>
      <w:r>
        <w:rPr>
          <w:rFonts w:hint="eastAsia" w:ascii="仿宋_GB2312" w:hAnsi="仿宋_GB2312" w:eastAsia="仿宋_GB2312" w:cs="仿宋_GB2312"/>
          <w:kern w:val="0"/>
          <w:sz w:val="32"/>
          <w:szCs w:val="32"/>
          <w:highlight w:val="none"/>
          <w:lang w:val="en-US" w:eastAsia="zh-CN"/>
        </w:rPr>
        <w:t>上传照片或视频，照片需原件彩色扫描上传，视频需mp4格式上传</w:t>
      </w:r>
      <w:r>
        <w:rPr>
          <w:rFonts w:hint="eastAsia" w:ascii="仿宋_GB2312" w:hAnsi="仿宋_GB2312" w:eastAsia="仿宋_GB2312" w:cs="仿宋_GB2312"/>
          <w:kern w:val="0"/>
          <w:sz w:val="32"/>
          <w:szCs w:val="32"/>
          <w:highlight w:val="none"/>
        </w:rPr>
        <w:t>；</w:t>
      </w:r>
    </w:p>
    <w:p w14:paraId="26655DE4">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社会形象与影响力情况材料（荣誉证书等），原件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44E180CD">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13.其他相关材料，原件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r>
        <w:rPr>
          <w:rFonts w:hint="eastAsia" w:ascii="仿宋_GB2312" w:hAnsi="仿宋_GB2312" w:eastAsia="仿宋_GB2312" w:cs="仿宋_GB2312"/>
          <w:color w:val="000000"/>
          <w:kern w:val="2"/>
          <w:sz w:val="32"/>
          <w:szCs w:val="32"/>
          <w:highlight w:val="none"/>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highlight w:val="none"/>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highlight w:val="none"/>
        </w:rPr>
      </w:pPr>
      <w:r>
        <w:rPr>
          <w:rFonts w:hint="eastAsia" w:ascii="仿宋_GB2312" w:eastAsia="仿宋_GB2312"/>
          <w:sz w:val="32"/>
          <w:szCs w:val="32"/>
          <w:highlight w:val="none"/>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68C2A2AE">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2026年6月24日至2026年</w:t>
      </w:r>
      <w:r>
        <w:rPr>
          <w:rFonts w:hint="eastAsia" w:ascii="仿宋_GB2312" w:hAnsi="仿宋_GB2312" w:eastAsia="仿宋_GB2312" w:cs="仿宋_GB2312"/>
          <w:color w:val="000000" w:themeColor="text1"/>
          <w:sz w:val="32"/>
          <w:szCs w:val="32"/>
          <w:highlight w:val="none"/>
          <w:lang w:val="en-US" w:eastAsia="zh-CN"/>
        </w:rPr>
        <w:t>8</w:t>
      </w:r>
      <w:r>
        <w:rPr>
          <w:rFonts w:hint="eastAsia" w:ascii="仿宋_GB2312" w:hAnsi="仿宋_GB2312" w:eastAsia="仿宋_GB2312" w:cs="仿宋_GB2312"/>
          <w:color w:val="000000" w:themeColor="text1"/>
          <w:sz w:val="32"/>
          <w:szCs w:val="32"/>
          <w:highlight w:val="none"/>
          <w:lang w:eastAsia="zh-CN"/>
        </w:rPr>
        <w:t>月</w:t>
      </w:r>
      <w:r>
        <w:rPr>
          <w:rFonts w:hint="eastAsia" w:ascii="仿宋_GB2312" w:hAnsi="仿宋_GB2312" w:eastAsia="仿宋_GB2312" w:cs="仿宋_GB2312"/>
          <w:color w:val="000000" w:themeColor="text1"/>
          <w:sz w:val="32"/>
          <w:szCs w:val="32"/>
          <w:highlight w:val="none"/>
          <w:lang w:val="en-US" w:eastAsia="zh-CN"/>
        </w:rPr>
        <w:t>4</w:t>
      </w:r>
      <w:r>
        <w:rPr>
          <w:rFonts w:hint="eastAsia" w:ascii="仿宋_GB2312" w:hAnsi="仿宋_GB2312" w:eastAsia="仿宋_GB2312" w:cs="仿宋_GB2312"/>
          <w:color w:val="000000" w:themeColor="text1"/>
          <w:sz w:val="32"/>
          <w:szCs w:val="32"/>
          <w:highlight w:val="none"/>
          <w:lang w:eastAsia="zh-CN"/>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同一年度每</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lang w:val="en-US"/>
        </w:rPr>
        <w:t>公共阅读空间最多只能申报两个</w:t>
      </w:r>
      <w:r>
        <w:rPr>
          <w:rFonts w:hint="eastAsia" w:ascii="仿宋_GB2312" w:hAnsi="仿宋_GB2312" w:eastAsia="仿宋_GB2312" w:cs="仿宋_GB2312"/>
          <w:sz w:val="32"/>
          <w:szCs w:val="32"/>
          <w:highlight w:val="none"/>
          <w:lang w:val="en-US" w:eastAsia="zh-CN"/>
        </w:rPr>
        <w:t>类别</w:t>
      </w:r>
      <w:r>
        <w:rPr>
          <w:rFonts w:hint="eastAsia" w:ascii="仿宋_GB2312" w:hAnsi="仿宋_GB2312" w:eastAsia="仿宋_GB2312" w:cs="仿宋_GB2312"/>
          <w:sz w:val="32"/>
          <w:szCs w:val="32"/>
          <w:highlight w:val="none"/>
          <w:lang w:val="en-US"/>
        </w:rPr>
        <w:t>奖励</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已通过其他渠道获取同类财政资金支持或财政资金使用用途相同的公共阅读空间，不再重复支持。</w:t>
      </w:r>
    </w:p>
    <w:p w14:paraId="71D46A95">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bookmarkEnd w:id="2"/>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41884D-8C0A-4945-97F0-EE2D058CC0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8E65154-F132-4BAD-9EBD-557BFF83F648}"/>
  </w:font>
  <w:font w:name="方正小标宋简体">
    <w:panose1 w:val="02010600010101010101"/>
    <w:charset w:val="86"/>
    <w:family w:val="auto"/>
    <w:pitch w:val="default"/>
    <w:sig w:usb0="00000001" w:usb1="080E0000" w:usb2="00000000" w:usb3="00000000" w:csb0="00040000" w:csb1="00000000"/>
    <w:embedRegular r:id="rId3" w:fontKey="{B0F852A1-E992-48EE-A516-C998E5A54A38}"/>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452D67"/>
    <w:rsid w:val="106018C4"/>
    <w:rsid w:val="10653491"/>
    <w:rsid w:val="10706EEF"/>
    <w:rsid w:val="1092296C"/>
    <w:rsid w:val="10A01313"/>
    <w:rsid w:val="10C13CF3"/>
    <w:rsid w:val="117D2BA9"/>
    <w:rsid w:val="118F3527"/>
    <w:rsid w:val="11CA43B8"/>
    <w:rsid w:val="11D62CBE"/>
    <w:rsid w:val="121B617A"/>
    <w:rsid w:val="1252310C"/>
    <w:rsid w:val="125B5F02"/>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BD1F0E"/>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E8A1D3"/>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133DDA"/>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D40AF8"/>
    <w:rsid w:val="44F72146"/>
    <w:rsid w:val="45276590"/>
    <w:rsid w:val="452B2CE7"/>
    <w:rsid w:val="459F5DC5"/>
    <w:rsid w:val="45C327BF"/>
    <w:rsid w:val="45D50BA4"/>
    <w:rsid w:val="45DB5022"/>
    <w:rsid w:val="45DE6545"/>
    <w:rsid w:val="4634401A"/>
    <w:rsid w:val="46352992"/>
    <w:rsid w:val="467D75D6"/>
    <w:rsid w:val="467F7F60"/>
    <w:rsid w:val="469D497C"/>
    <w:rsid w:val="46C07C6D"/>
    <w:rsid w:val="46D46FCB"/>
    <w:rsid w:val="46F44A2C"/>
    <w:rsid w:val="473F0C29"/>
    <w:rsid w:val="474159DD"/>
    <w:rsid w:val="48045B63"/>
    <w:rsid w:val="484F2842"/>
    <w:rsid w:val="49006A23"/>
    <w:rsid w:val="492A682B"/>
    <w:rsid w:val="49596A53"/>
    <w:rsid w:val="49A16382"/>
    <w:rsid w:val="49AE2D68"/>
    <w:rsid w:val="49C3065B"/>
    <w:rsid w:val="49FE7196"/>
    <w:rsid w:val="4A1C262C"/>
    <w:rsid w:val="4A3148B7"/>
    <w:rsid w:val="4A3C2091"/>
    <w:rsid w:val="4A41431D"/>
    <w:rsid w:val="4A8A325C"/>
    <w:rsid w:val="4AB84ECB"/>
    <w:rsid w:val="4ACF4B48"/>
    <w:rsid w:val="4AEB69AD"/>
    <w:rsid w:val="4B6D7706"/>
    <w:rsid w:val="4BA51F05"/>
    <w:rsid w:val="4BF5224A"/>
    <w:rsid w:val="4BFB127C"/>
    <w:rsid w:val="4C0963DD"/>
    <w:rsid w:val="4C1623CC"/>
    <w:rsid w:val="4C240DC6"/>
    <w:rsid w:val="4C373125"/>
    <w:rsid w:val="4C7125C4"/>
    <w:rsid w:val="4C990DFC"/>
    <w:rsid w:val="4CBC3A42"/>
    <w:rsid w:val="4CDC02F4"/>
    <w:rsid w:val="4CF91E5B"/>
    <w:rsid w:val="4D181700"/>
    <w:rsid w:val="4D1F046E"/>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0A21C0"/>
    <w:rsid w:val="601B4866"/>
    <w:rsid w:val="60303D05"/>
    <w:rsid w:val="60310B97"/>
    <w:rsid w:val="60386110"/>
    <w:rsid w:val="606977B6"/>
    <w:rsid w:val="60B75222"/>
    <w:rsid w:val="610966E3"/>
    <w:rsid w:val="61A06ED8"/>
    <w:rsid w:val="61CC6283"/>
    <w:rsid w:val="61EB1FBB"/>
    <w:rsid w:val="620458E9"/>
    <w:rsid w:val="624422CE"/>
    <w:rsid w:val="62812C52"/>
    <w:rsid w:val="6298596F"/>
    <w:rsid w:val="62F225E8"/>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51CA5"/>
    <w:rsid w:val="68E479A1"/>
    <w:rsid w:val="6A7C3B1B"/>
    <w:rsid w:val="6A9153AF"/>
    <w:rsid w:val="6A9A5399"/>
    <w:rsid w:val="6B3F3AAD"/>
    <w:rsid w:val="6B891093"/>
    <w:rsid w:val="6BA00FE9"/>
    <w:rsid w:val="6BA55CDC"/>
    <w:rsid w:val="6BC177C6"/>
    <w:rsid w:val="6BC37DD4"/>
    <w:rsid w:val="6BE40A7C"/>
    <w:rsid w:val="6C021C08"/>
    <w:rsid w:val="6C0A466E"/>
    <w:rsid w:val="6C1948F8"/>
    <w:rsid w:val="6C4D6808"/>
    <w:rsid w:val="6C725360"/>
    <w:rsid w:val="6C7908D0"/>
    <w:rsid w:val="6C8A0C15"/>
    <w:rsid w:val="6C926DA7"/>
    <w:rsid w:val="6CB16FB4"/>
    <w:rsid w:val="6CE4440B"/>
    <w:rsid w:val="6CF21084"/>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AB16D6"/>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1C6ECC"/>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52DE7"/>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122CB"/>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9F6F6015"/>
    <w:rsid w:val="A7DF06EC"/>
    <w:rsid w:val="BCFBE4CF"/>
    <w:rsid w:val="C7DB93C8"/>
    <w:rsid w:val="C7FF8F4F"/>
    <w:rsid w:val="DD7E7DC7"/>
    <w:rsid w:val="DEF5E07B"/>
    <w:rsid w:val="DFDD8111"/>
    <w:rsid w:val="EFEEB9E2"/>
    <w:rsid w:val="F3E99975"/>
    <w:rsid w:val="F5DBA8FA"/>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1599</Words>
  <Characters>1804</Characters>
  <Lines>15</Lines>
  <Paragraphs>4</Paragraphs>
  <TotalTime>0</TotalTime>
  <ScaleCrop>false</ScaleCrop>
  <LinksUpToDate>false</LinksUpToDate>
  <CharactersWithSpaces>1804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2019-08-12T14:54:00Z</dcterms:created>
  <dc:creator>zkk</dc:creator>
  <cp:lastModifiedBy>Z</cp:lastModifiedBy>
  <cp:lastPrinted>2020-03-22T11:03:00Z</cp:lastPrinted>
  <dcterms:modified xsi:type="dcterms:W3CDTF">2026-06-12T10:10:06Z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