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4C34F">
      <w:pPr>
        <w:pStyle w:val="14"/>
        <w:bidi w:val="0"/>
        <w:rPr>
          <w:rFonts w:hint="default"/>
          <w:lang w:val="en-US" w:eastAsia="zh-CN"/>
        </w:rPr>
      </w:pPr>
      <w:bookmarkStart w:id="0" w:name="_GoBack"/>
      <w:r>
        <w:rPr>
          <w:rFonts w:hint="default"/>
          <w:lang w:val="en-US" w:eastAsia="zh-CN"/>
        </w:rPr>
        <w:t>关于对《北京城市副中心促进游戏电竞行业高质量发展的若干措施》的政策解读</w:t>
      </w:r>
    </w:p>
    <w:bookmarkEnd w:id="0"/>
    <w:p w14:paraId="06069342">
      <w:pPr>
        <w:pStyle w:val="8"/>
        <w:bidi w:val="0"/>
        <w:rPr>
          <w:rFonts w:hint="default"/>
          <w:lang w:val="en-US" w:eastAsia="zh-CN"/>
        </w:rPr>
      </w:pPr>
      <w:r>
        <w:rPr>
          <w:rFonts w:hint="default"/>
          <w:lang w:val="en-US" w:eastAsia="zh-CN"/>
        </w:rPr>
        <w:t>日期：2026-06-16 10:25</w:t>
      </w:r>
      <w:r>
        <w:rPr>
          <w:rFonts w:hint="eastAsia"/>
          <w:lang w:val="en-US" w:eastAsia="zh-CN"/>
        </w:rPr>
        <w:t xml:space="preserve">                               </w:t>
      </w:r>
      <w:r>
        <w:rPr>
          <w:rFonts w:hint="default"/>
          <w:lang w:val="en-US" w:eastAsia="zh-CN"/>
        </w:rPr>
        <w:t>来源：区文化和旅游局</w:t>
      </w:r>
    </w:p>
    <w:p w14:paraId="3815BF3C">
      <w:pPr>
        <w:pStyle w:val="2"/>
        <w:bidi w:val="0"/>
        <w:rPr>
          <w:rFonts w:hint="default"/>
          <w:lang w:val="en-US" w:eastAsia="zh-CN"/>
        </w:rPr>
      </w:pPr>
      <w:r>
        <w:rPr>
          <w:rFonts w:hint="default"/>
          <w:lang w:val="en-US" w:eastAsia="zh-CN"/>
        </w:rPr>
        <w:t>一、起草背景</w:t>
      </w:r>
    </w:p>
    <w:p w14:paraId="38A63CD1">
      <w:pPr>
        <w:ind w:firstLine="560" w:firstLineChars="200"/>
        <w:rPr>
          <w:rFonts w:hint="default"/>
          <w:lang w:val="en-US" w:eastAsia="zh-CN"/>
        </w:rPr>
      </w:pPr>
      <w:r>
        <w:rPr>
          <w:rFonts w:hint="default"/>
          <w:lang w:val="en-US" w:eastAsia="zh-CN"/>
        </w:rPr>
        <w:t>为贯彻落实国家“十五五”规划纲要关于“深入推进数字经济创新发展”“繁荣发展文化事业和文化产业”“积极培育新型消费”等战略部署，认真落实北京市“十五五”规划纲要关于“做强新型文化产业集群，提升游戏电竞行业影响力”“扩大高品质服务消费，积极举办电竞主题活动，激发赛事经济活力”等部署要求，依据国家新闻出版署《关于实施网络游戏精品出版工程》、北京市《关于培育新型文化业态大力发展文化新质生产力的若干措施》、北京市委宣传部《关于促进北京市游戏电竞行业高质量发展的支持办法（暂行）》等文件，起草制定《北京城市副中心促进游戏电竞行业高质量发展的若干措施》（以下简称若干措施）。</w:t>
      </w:r>
    </w:p>
    <w:p w14:paraId="741C17C8">
      <w:pPr>
        <w:pStyle w:val="2"/>
        <w:bidi w:val="0"/>
        <w:rPr>
          <w:rFonts w:hint="default"/>
          <w:lang w:val="en-US" w:eastAsia="zh-CN"/>
        </w:rPr>
      </w:pPr>
      <w:r>
        <w:rPr>
          <w:rFonts w:hint="default"/>
          <w:lang w:val="en-US" w:eastAsia="zh-CN"/>
        </w:rPr>
        <w:t>二、主要内容</w:t>
      </w:r>
    </w:p>
    <w:p w14:paraId="05D0A992">
      <w:pPr>
        <w:ind w:firstLine="560" w:firstLineChars="200"/>
        <w:rPr>
          <w:rFonts w:hint="default"/>
          <w:lang w:val="en-US" w:eastAsia="zh-CN"/>
        </w:rPr>
      </w:pPr>
      <w:r>
        <w:rPr>
          <w:rFonts w:hint="default"/>
          <w:lang w:val="en-US" w:eastAsia="zh-CN"/>
        </w:rPr>
        <w:t>《若干措施》共五条，从支持产业集聚、精品创作、电竞赛事、场馆运营、人才保障五个方面给予资金奖励和配套支持。</w:t>
      </w:r>
    </w:p>
    <w:p w14:paraId="6E29F25A">
      <w:pPr>
        <w:ind w:firstLine="560" w:firstLineChars="200"/>
        <w:rPr>
          <w:rFonts w:hint="default"/>
          <w:lang w:val="en-US" w:eastAsia="zh-CN"/>
        </w:rPr>
      </w:pPr>
      <w:r>
        <w:rPr>
          <w:rFonts w:hint="default"/>
          <w:lang w:val="en-US" w:eastAsia="zh-CN"/>
        </w:rPr>
        <w:t>一是支持产业集聚发展。鼓励国际、全国职业电竞赛事俱乐部主场落户北京城市副中心并常态化开展赛事活动，支持俱乐部在重大赛事中争创佳绩，完善产业链生态。</w:t>
      </w:r>
    </w:p>
    <w:p w14:paraId="3A448825">
      <w:pPr>
        <w:ind w:firstLine="560" w:firstLineChars="200"/>
        <w:rPr>
          <w:rFonts w:hint="default"/>
          <w:lang w:val="en-US" w:eastAsia="zh-CN"/>
        </w:rPr>
      </w:pPr>
      <w:r>
        <w:rPr>
          <w:rFonts w:hint="default"/>
          <w:lang w:val="en-US" w:eastAsia="zh-CN"/>
        </w:rPr>
        <w:t>二是支持创作精品游戏。鼓励创作弘扬主流价值、具备国际竞争力的游戏作品，对正式上线运营且市场热度较高的精品游戏项目给予支持，推动游戏产业成为中华文化“走出去”的新兴载体。</w:t>
      </w:r>
    </w:p>
    <w:p w14:paraId="4CE87CE7">
      <w:pPr>
        <w:ind w:firstLine="560" w:firstLineChars="200"/>
        <w:rPr>
          <w:rFonts w:hint="default"/>
          <w:lang w:val="en-US" w:eastAsia="zh-CN"/>
        </w:rPr>
      </w:pPr>
      <w:r>
        <w:rPr>
          <w:rFonts w:hint="default"/>
          <w:lang w:val="en-US" w:eastAsia="zh-CN"/>
        </w:rPr>
        <w:t>三是支持举办电竞赛事。引进国际顶级赛事，推动顶级赛事与本地赛事IP相互促进，发展“观赛+游览+消费”票根经济，联动景区、酒店、街区拓展消费新场景。</w:t>
      </w:r>
    </w:p>
    <w:p w14:paraId="31FC776B">
      <w:pPr>
        <w:ind w:firstLine="560" w:firstLineChars="200"/>
        <w:rPr>
          <w:rFonts w:hint="default"/>
          <w:lang w:val="en-US" w:eastAsia="zh-CN"/>
        </w:rPr>
      </w:pPr>
      <w:r>
        <w:rPr>
          <w:rFonts w:hint="default"/>
          <w:lang w:val="en-US" w:eastAsia="zh-CN"/>
        </w:rPr>
        <w:t>四是支持电竞场馆运营。鼓励场馆承接职业电竞赛事及相关活动，提升运营与服务效能，引导存量空间向电竞方向转型。</w:t>
      </w:r>
    </w:p>
    <w:p w14:paraId="2C3165CC">
      <w:pPr>
        <w:ind w:firstLine="560" w:firstLineChars="200"/>
        <w:rPr>
          <w:rFonts w:hint="default"/>
          <w:lang w:val="en-US" w:eastAsia="zh-CN"/>
        </w:rPr>
      </w:pPr>
      <w:r>
        <w:rPr>
          <w:rFonts w:hint="default"/>
          <w:lang w:val="en-US" w:eastAsia="zh-CN"/>
        </w:rPr>
        <w:t>五是加强产业人才保障。将游戏电竞重点企业纳入市级人才引进保障目录，“应办尽办、随报随办”；依托“运河英才计划”，对入选人才在资金奖励、安居保障、医疗健康、公共服务等方面提供全方位支持。</w:t>
      </w:r>
    </w:p>
    <w:p w14:paraId="78EEBBF6">
      <w:pPr>
        <w:rPr>
          <w:rFonts w:hint="default"/>
          <w:lang w:val="en-US" w:eastAsia="zh-CN"/>
        </w:rPr>
      </w:pPr>
      <w:r>
        <w:rPr>
          <w:rFonts w:hint="default"/>
          <w:lang w:val="en-US" w:eastAsia="zh-CN"/>
        </w:rPr>
        <w:t>https://www.bjtzh.gov.cn/bjtz/jdhy/202606/1791968.shtml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0"/>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1"/>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56EBE"/>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E52E0"/>
    <w:rsid w:val="04E5597F"/>
    <w:rsid w:val="05CC0449"/>
    <w:rsid w:val="05CC6BA7"/>
    <w:rsid w:val="05F56545"/>
    <w:rsid w:val="06961A26"/>
    <w:rsid w:val="072E100E"/>
    <w:rsid w:val="07D41004"/>
    <w:rsid w:val="08232C96"/>
    <w:rsid w:val="093C70F8"/>
    <w:rsid w:val="0A3D2F70"/>
    <w:rsid w:val="0B9079F1"/>
    <w:rsid w:val="0E1238D7"/>
    <w:rsid w:val="0E592DD6"/>
    <w:rsid w:val="0EBE39E4"/>
    <w:rsid w:val="0F033741"/>
    <w:rsid w:val="0F9E1127"/>
    <w:rsid w:val="0FC26D8E"/>
    <w:rsid w:val="10225A02"/>
    <w:rsid w:val="109003E2"/>
    <w:rsid w:val="10D02130"/>
    <w:rsid w:val="11284EE7"/>
    <w:rsid w:val="122C71D3"/>
    <w:rsid w:val="126555E2"/>
    <w:rsid w:val="12B6109D"/>
    <w:rsid w:val="135C6A68"/>
    <w:rsid w:val="14AC3169"/>
    <w:rsid w:val="14BA55A9"/>
    <w:rsid w:val="16E465E6"/>
    <w:rsid w:val="17B571BE"/>
    <w:rsid w:val="183B3D17"/>
    <w:rsid w:val="187A04AD"/>
    <w:rsid w:val="188602CE"/>
    <w:rsid w:val="191F6B75"/>
    <w:rsid w:val="19DB3E43"/>
    <w:rsid w:val="19E646A3"/>
    <w:rsid w:val="1A3F168A"/>
    <w:rsid w:val="1ACD4BC9"/>
    <w:rsid w:val="1AD00105"/>
    <w:rsid w:val="1C1F5C60"/>
    <w:rsid w:val="1C26202E"/>
    <w:rsid w:val="1CFA082A"/>
    <w:rsid w:val="1D75769C"/>
    <w:rsid w:val="1E486D5E"/>
    <w:rsid w:val="20E515DF"/>
    <w:rsid w:val="20EE4514"/>
    <w:rsid w:val="21490716"/>
    <w:rsid w:val="22A660F0"/>
    <w:rsid w:val="23350630"/>
    <w:rsid w:val="239C0C8D"/>
    <w:rsid w:val="2458023C"/>
    <w:rsid w:val="24891F4C"/>
    <w:rsid w:val="24DD1B30"/>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451107"/>
    <w:rsid w:val="2E561F32"/>
    <w:rsid w:val="2F167534"/>
    <w:rsid w:val="30D427EB"/>
    <w:rsid w:val="30EF4D55"/>
    <w:rsid w:val="31604062"/>
    <w:rsid w:val="31AC3498"/>
    <w:rsid w:val="31BA36E4"/>
    <w:rsid w:val="34163C6F"/>
    <w:rsid w:val="34FC0B26"/>
    <w:rsid w:val="35CC7FE4"/>
    <w:rsid w:val="360A0131"/>
    <w:rsid w:val="370B0758"/>
    <w:rsid w:val="387E58D5"/>
    <w:rsid w:val="38D5360F"/>
    <w:rsid w:val="3B005163"/>
    <w:rsid w:val="3BC5648D"/>
    <w:rsid w:val="3C131F35"/>
    <w:rsid w:val="3C8B707E"/>
    <w:rsid w:val="3D0B60DD"/>
    <w:rsid w:val="3D242F7A"/>
    <w:rsid w:val="3E9C40F3"/>
    <w:rsid w:val="40B15178"/>
    <w:rsid w:val="4139196E"/>
    <w:rsid w:val="415848E1"/>
    <w:rsid w:val="417A5F93"/>
    <w:rsid w:val="418935AC"/>
    <w:rsid w:val="4296377D"/>
    <w:rsid w:val="42F8070A"/>
    <w:rsid w:val="430E0353"/>
    <w:rsid w:val="433C38D6"/>
    <w:rsid w:val="441C68B9"/>
    <w:rsid w:val="446948F1"/>
    <w:rsid w:val="45B9632A"/>
    <w:rsid w:val="46931CE2"/>
    <w:rsid w:val="47407E1B"/>
    <w:rsid w:val="477B0D92"/>
    <w:rsid w:val="480F418D"/>
    <w:rsid w:val="485C7A85"/>
    <w:rsid w:val="486F5D2C"/>
    <w:rsid w:val="4B077B9F"/>
    <w:rsid w:val="4CF97814"/>
    <w:rsid w:val="4D797ECA"/>
    <w:rsid w:val="4E7271B8"/>
    <w:rsid w:val="4EB31BF9"/>
    <w:rsid w:val="4F216E80"/>
    <w:rsid w:val="4F6B7653"/>
    <w:rsid w:val="4FEE4718"/>
    <w:rsid w:val="505020B9"/>
    <w:rsid w:val="513841CB"/>
    <w:rsid w:val="514A0E57"/>
    <w:rsid w:val="515B6E68"/>
    <w:rsid w:val="52025F45"/>
    <w:rsid w:val="52511EB8"/>
    <w:rsid w:val="52687459"/>
    <w:rsid w:val="528945A2"/>
    <w:rsid w:val="53AA5870"/>
    <w:rsid w:val="54581D88"/>
    <w:rsid w:val="5599644C"/>
    <w:rsid w:val="56A05C5E"/>
    <w:rsid w:val="57691CAA"/>
    <w:rsid w:val="579B39F0"/>
    <w:rsid w:val="57A37E38"/>
    <w:rsid w:val="587662C1"/>
    <w:rsid w:val="58E45E5C"/>
    <w:rsid w:val="5966249A"/>
    <w:rsid w:val="599D54F4"/>
    <w:rsid w:val="5ABE63C0"/>
    <w:rsid w:val="5B5F3C17"/>
    <w:rsid w:val="5C0F18E6"/>
    <w:rsid w:val="5D942074"/>
    <w:rsid w:val="5F42540D"/>
    <w:rsid w:val="605308F0"/>
    <w:rsid w:val="60F01468"/>
    <w:rsid w:val="613B531F"/>
    <w:rsid w:val="61537BFA"/>
    <w:rsid w:val="616E77F5"/>
    <w:rsid w:val="61941FCD"/>
    <w:rsid w:val="61A372B8"/>
    <w:rsid w:val="61CC184F"/>
    <w:rsid w:val="61FB7F6E"/>
    <w:rsid w:val="626A293A"/>
    <w:rsid w:val="632C62D6"/>
    <w:rsid w:val="66801568"/>
    <w:rsid w:val="6710609A"/>
    <w:rsid w:val="67697562"/>
    <w:rsid w:val="695B7490"/>
    <w:rsid w:val="69C218FE"/>
    <w:rsid w:val="6BDB68DE"/>
    <w:rsid w:val="6C270DD3"/>
    <w:rsid w:val="6C705350"/>
    <w:rsid w:val="6D872A5A"/>
    <w:rsid w:val="6E1F25FD"/>
    <w:rsid w:val="6E413E28"/>
    <w:rsid w:val="6F370898"/>
    <w:rsid w:val="6F4638FD"/>
    <w:rsid w:val="70956FE4"/>
    <w:rsid w:val="71020CE1"/>
    <w:rsid w:val="73F7433F"/>
    <w:rsid w:val="756F626F"/>
    <w:rsid w:val="75930F1E"/>
    <w:rsid w:val="76FA56D9"/>
    <w:rsid w:val="775748F9"/>
    <w:rsid w:val="77BF12F7"/>
    <w:rsid w:val="78264085"/>
    <w:rsid w:val="79060B26"/>
    <w:rsid w:val="79665442"/>
    <w:rsid w:val="798E17BF"/>
    <w:rsid w:val="79D16624"/>
    <w:rsid w:val="79E44119"/>
    <w:rsid w:val="7A283BED"/>
    <w:rsid w:val="7A5A1A94"/>
    <w:rsid w:val="7AA0221D"/>
    <w:rsid w:val="7B705706"/>
    <w:rsid w:val="7C8440E2"/>
    <w:rsid w:val="7D324444"/>
    <w:rsid w:val="7D470D1C"/>
    <w:rsid w:val="7DCC36B1"/>
    <w:rsid w:val="7E0E1F5B"/>
    <w:rsid w:val="7E39495F"/>
    <w:rsid w:val="7F3A0F4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4"/>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7"/>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8"/>
    <w:unhideWhenUsed/>
    <w:qFormat/>
    <w:uiPriority w:val="9"/>
    <w:pPr>
      <w:keepNext/>
      <w:keepLines/>
      <w:spacing w:line="440" w:lineRule="exact"/>
      <w:outlineLvl w:val="2"/>
    </w:pPr>
    <w:rPr>
      <w:b/>
      <w:bCs/>
      <w:szCs w:val="32"/>
    </w:rPr>
  </w:style>
  <w:style w:type="paragraph" w:styleId="5">
    <w:name w:val="heading 4"/>
    <w:basedOn w:val="1"/>
    <w:next w:val="1"/>
    <w:link w:val="29"/>
    <w:unhideWhenUsed/>
    <w:qFormat/>
    <w:uiPriority w:val="9"/>
    <w:pPr>
      <w:keepNext/>
      <w:keepLines/>
      <w:spacing w:beforeLines="0" w:beforeAutospacing="0" w:afterLines="0" w:afterAutospacing="0" w:line="440" w:lineRule="exact"/>
      <w:outlineLvl w:val="3"/>
    </w:pPr>
  </w:style>
  <w:style w:type="paragraph" w:styleId="6">
    <w:name w:val="heading 5"/>
    <w:basedOn w:val="1"/>
    <w:next w:val="1"/>
    <w:link w:val="50"/>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paragraph" w:styleId="9">
    <w:name w:val="heading 8"/>
    <w:basedOn w:val="1"/>
    <w:next w:val="1"/>
    <w:link w:val="51"/>
    <w:unhideWhenUsed/>
    <w:qFormat/>
    <w:uiPriority w:val="9"/>
    <w:pPr>
      <w:keepNext/>
      <w:keepLines/>
      <w:spacing w:beforeLines="0" w:beforeAutospacing="0" w:afterLines="0" w:afterAutospacing="0" w:line="240" w:lineRule="auto"/>
      <w:ind w:firstLine="0" w:firstLineChars="0"/>
      <w:jc w:val="center"/>
      <w:outlineLvl w:val="7"/>
    </w:pPr>
    <w:rPr>
      <w:rFonts w:ascii="Arial" w:hAnsi="Arial" w:eastAsia="仿宋_GB2312" w:cs="Times New Roman"/>
      <w:sz w:val="24"/>
      <w:szCs w:val="22"/>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10">
    <w:name w:val="footer"/>
    <w:basedOn w:val="1"/>
    <w:link w:val="30"/>
    <w:unhideWhenUsed/>
    <w:qFormat/>
    <w:uiPriority w:val="99"/>
    <w:pPr>
      <w:tabs>
        <w:tab w:val="center" w:pos="4153"/>
        <w:tab w:val="right" w:pos="8306"/>
      </w:tabs>
      <w:snapToGrid w:val="0"/>
    </w:pPr>
    <w:rPr>
      <w:sz w:val="18"/>
      <w:szCs w:val="18"/>
    </w:rPr>
  </w:style>
  <w:style w:type="paragraph" w:styleId="11">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32"/>
    <w:qFormat/>
    <w:uiPriority w:val="11"/>
    <w:pPr>
      <w:outlineLvl w:val="1"/>
    </w:pPr>
    <w:rPr>
      <w:b/>
      <w:bCs/>
      <w:kern w:val="28"/>
      <w:szCs w:val="32"/>
    </w:rPr>
  </w:style>
  <w:style w:type="paragraph" w:styleId="1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4">
    <w:name w:val="Title"/>
    <w:basedOn w:val="1"/>
    <w:next w:val="1"/>
    <w:link w:val="26"/>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6">
    <w:name w:val="Table Grid"/>
    <w:basedOn w:val="1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rFonts w:eastAsia="仿宋_GB2312"/>
      <w:b/>
      <w:bCs/>
      <w:color w:val="7030A0"/>
      <w:spacing w:val="-8"/>
      <w:w w:val="96"/>
      <w:sz w:val="28"/>
    </w:rPr>
  </w:style>
  <w:style w:type="character" w:styleId="19">
    <w:name w:val="FollowedHyperlink"/>
    <w:basedOn w:val="17"/>
    <w:unhideWhenUsed/>
    <w:qFormat/>
    <w:uiPriority w:val="99"/>
    <w:rPr>
      <w:color w:val="404040"/>
      <w:u w:val="none"/>
    </w:rPr>
  </w:style>
  <w:style w:type="character" w:styleId="20">
    <w:name w:val="Emphasis"/>
    <w:basedOn w:val="17"/>
    <w:qFormat/>
    <w:uiPriority w:val="20"/>
    <w:rPr>
      <w:rFonts w:eastAsia="华文楷体"/>
      <w:iCs/>
      <w:sz w:val="28"/>
    </w:rPr>
  </w:style>
  <w:style w:type="character" w:styleId="21">
    <w:name w:val="line number"/>
    <w:basedOn w:val="17"/>
    <w:unhideWhenUsed/>
    <w:qFormat/>
    <w:uiPriority w:val="99"/>
  </w:style>
  <w:style w:type="character" w:styleId="22">
    <w:name w:val="HTML Variable"/>
    <w:basedOn w:val="17"/>
    <w:unhideWhenUsed/>
    <w:qFormat/>
    <w:uiPriority w:val="99"/>
  </w:style>
  <w:style w:type="character" w:styleId="23">
    <w:name w:val="Hyperlink"/>
    <w:basedOn w:val="17"/>
    <w:unhideWhenUsed/>
    <w:qFormat/>
    <w:uiPriority w:val="99"/>
    <w:rPr>
      <w:color w:val="404040"/>
      <w:u w:val="none"/>
    </w:rPr>
  </w:style>
  <w:style w:type="character" w:customStyle="1" w:styleId="24">
    <w:name w:val="标题 1 字符"/>
    <w:basedOn w:val="17"/>
    <w:link w:val="2"/>
    <w:qFormat/>
    <w:uiPriority w:val="9"/>
    <w:rPr>
      <w:rFonts w:ascii="黑体" w:hAnsi="黑体" w:eastAsia="黑体"/>
      <w:bCs/>
      <w:kern w:val="44"/>
      <w:sz w:val="28"/>
      <w:szCs w:val="44"/>
    </w:rPr>
  </w:style>
  <w:style w:type="character" w:customStyle="1" w:styleId="25">
    <w:name w:val="标题 3 Char1"/>
    <w:link w:val="4"/>
    <w:qFormat/>
    <w:uiPriority w:val="9"/>
    <w:rPr>
      <w:rFonts w:ascii="仿宋_GB2312" w:hAnsi="仿宋_GB2312" w:eastAsia="仿宋_GB2312"/>
      <w:b/>
    </w:rPr>
  </w:style>
  <w:style w:type="character" w:customStyle="1" w:styleId="26">
    <w:name w:val="标题 字符"/>
    <w:basedOn w:val="17"/>
    <w:link w:val="14"/>
    <w:qFormat/>
    <w:uiPriority w:val="10"/>
    <w:rPr>
      <w:rFonts w:ascii="华文中宋" w:hAnsi="华文中宋" w:eastAsia="华文中宋" w:cs="Times New Roman"/>
      <w:b/>
      <w:bCs/>
      <w:sz w:val="32"/>
      <w:szCs w:val="32"/>
    </w:rPr>
  </w:style>
  <w:style w:type="character" w:customStyle="1" w:styleId="27">
    <w:name w:val="标题 2 字符"/>
    <w:basedOn w:val="17"/>
    <w:link w:val="3"/>
    <w:qFormat/>
    <w:uiPriority w:val="9"/>
    <w:rPr>
      <w:rFonts w:ascii="楷体_GB2312" w:hAnsi="楷体_GB2312" w:eastAsia="楷体_GB2312" w:cs="Times New Roman"/>
      <w:b/>
      <w:bCs/>
      <w:sz w:val="28"/>
      <w:szCs w:val="32"/>
    </w:rPr>
  </w:style>
  <w:style w:type="character" w:customStyle="1" w:styleId="28">
    <w:name w:val="标题 3 字符"/>
    <w:basedOn w:val="17"/>
    <w:link w:val="4"/>
    <w:semiHidden/>
    <w:qFormat/>
    <w:uiPriority w:val="9"/>
    <w:rPr>
      <w:rFonts w:ascii="仿宋_GB2312" w:hAnsi="仿宋_GB2312" w:eastAsia="仿宋_GB2312"/>
      <w:b/>
      <w:bCs/>
      <w:kern w:val="2"/>
      <w:sz w:val="28"/>
      <w:szCs w:val="32"/>
    </w:rPr>
  </w:style>
  <w:style w:type="character" w:customStyle="1" w:styleId="29">
    <w:name w:val="标题 4 Char1"/>
    <w:link w:val="5"/>
    <w:qFormat/>
    <w:uiPriority w:val="9"/>
    <w:rPr>
      <w:rFonts w:ascii="仿宋_GB2312" w:hAnsi="仿宋_GB2312" w:eastAsia="仿宋_GB2312"/>
    </w:rPr>
  </w:style>
  <w:style w:type="character" w:customStyle="1" w:styleId="30">
    <w:name w:val="页脚 字符"/>
    <w:basedOn w:val="17"/>
    <w:link w:val="10"/>
    <w:qFormat/>
    <w:uiPriority w:val="99"/>
    <w:rPr>
      <w:sz w:val="18"/>
      <w:szCs w:val="18"/>
    </w:rPr>
  </w:style>
  <w:style w:type="character" w:customStyle="1" w:styleId="31">
    <w:name w:val="页眉 字符"/>
    <w:basedOn w:val="17"/>
    <w:link w:val="11"/>
    <w:qFormat/>
    <w:uiPriority w:val="99"/>
    <w:rPr>
      <w:sz w:val="18"/>
      <w:szCs w:val="18"/>
    </w:rPr>
  </w:style>
  <w:style w:type="character" w:customStyle="1" w:styleId="32">
    <w:name w:val="副标题 字符"/>
    <w:basedOn w:val="17"/>
    <w:link w:val="12"/>
    <w:qFormat/>
    <w:uiPriority w:val="11"/>
    <w:rPr>
      <w:rFonts w:ascii="仿宋_GB2312" w:eastAsia="仿宋_GB2312"/>
      <w:b/>
      <w:bCs/>
      <w:kern w:val="28"/>
      <w:sz w:val="28"/>
      <w:szCs w:val="32"/>
    </w:rPr>
  </w:style>
  <w:style w:type="paragraph" w:styleId="33">
    <w:name w:val="Quote"/>
    <w:basedOn w:val="1"/>
    <w:next w:val="1"/>
    <w:link w:val="34"/>
    <w:qFormat/>
    <w:uiPriority w:val="29"/>
    <w:pPr>
      <w:ind w:firstLine="486"/>
    </w:pPr>
    <w:rPr>
      <w:rFonts w:eastAsia="华文楷体"/>
      <w:iCs/>
      <w:spacing w:val="-16"/>
      <w:w w:val="98"/>
    </w:rPr>
  </w:style>
  <w:style w:type="character" w:customStyle="1" w:styleId="34">
    <w:name w:val="引用 字符"/>
    <w:basedOn w:val="17"/>
    <w:link w:val="33"/>
    <w:qFormat/>
    <w:uiPriority w:val="29"/>
    <w:rPr>
      <w:rFonts w:ascii="仿宋_GB2312" w:eastAsia="华文楷体"/>
      <w:iCs/>
      <w:spacing w:val="-16"/>
      <w:w w:val="98"/>
      <w:sz w:val="28"/>
    </w:rPr>
  </w:style>
  <w:style w:type="paragraph" w:styleId="35">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6">
    <w:name w:val="不明显强调1"/>
    <w:basedOn w:val="17"/>
    <w:qFormat/>
    <w:uiPriority w:val="19"/>
    <w:rPr>
      <w:i/>
      <w:iCs/>
      <w:color w:val="3F3F3F"/>
    </w:rPr>
  </w:style>
  <w:style w:type="table" w:customStyle="1" w:styleId="37">
    <w:name w:val="Table Normal"/>
    <w:unhideWhenUsed/>
    <w:qFormat/>
    <w:uiPriority w:val="0"/>
    <w:tblPr>
      <w:tblCellMar>
        <w:top w:w="0" w:type="dxa"/>
        <w:left w:w="0" w:type="dxa"/>
        <w:bottom w:w="0" w:type="dxa"/>
        <w:right w:w="0" w:type="dxa"/>
      </w:tblCellMar>
    </w:tblPr>
  </w:style>
  <w:style w:type="paragraph" w:customStyle="1" w:styleId="38">
    <w:name w:val="title_m"/>
    <w:basedOn w:val="1"/>
    <w:qFormat/>
    <w:uiPriority w:val="0"/>
    <w:pPr>
      <w:jc w:val="center"/>
    </w:pPr>
    <w:rPr>
      <w:rFonts w:ascii="宋体" w:hAnsi="宋体" w:eastAsia="宋体" w:cs="宋体"/>
      <w:b/>
      <w:bCs/>
      <w:sz w:val="32"/>
      <w:szCs w:val="32"/>
    </w:rPr>
  </w:style>
  <w:style w:type="paragraph" w:customStyle="1" w:styleId="39">
    <w:name w:val="fulltext_text"/>
    <w:basedOn w:val="1"/>
    <w:qFormat/>
    <w:uiPriority w:val="0"/>
    <w:pPr>
      <w:spacing w:line="525" w:lineRule="atLeast"/>
    </w:pPr>
    <w:rPr>
      <w:rFonts w:ascii="宋体" w:hAnsi="宋体" w:eastAsia="宋体" w:cs="宋体"/>
      <w:sz w:val="24"/>
      <w:szCs w:val="24"/>
    </w:rPr>
  </w:style>
  <w:style w:type="character" w:customStyle="1" w:styleId="40">
    <w:name w:val="c_tiao"/>
    <w:basedOn w:val="17"/>
    <w:qFormat/>
    <w:uiPriority w:val="0"/>
    <w:rPr>
      <w:rFonts w:ascii="宋体" w:hAnsi="宋体" w:eastAsia="宋体" w:cs="宋体"/>
      <w:b/>
      <w:bCs/>
      <w:sz w:val="24"/>
      <w:szCs w:val="24"/>
    </w:rPr>
  </w:style>
  <w:style w:type="paragraph" w:customStyle="1" w:styleId="41">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2">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3">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4">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5">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6">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7">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9">
    <w:name w:val="Body text|3"/>
    <w:basedOn w:val="1"/>
    <w:qFormat/>
    <w:uiPriority w:val="0"/>
    <w:pPr>
      <w:widowControl w:val="0"/>
      <w:shd w:val="clear" w:color="auto" w:fill="auto"/>
      <w:spacing w:line="363" w:lineRule="exact"/>
      <w:ind w:firstLine="140"/>
    </w:pPr>
    <w:rPr>
      <w:u w:val="none"/>
      <w:shd w:val="clear" w:color="auto" w:fill="auto"/>
    </w:rPr>
  </w:style>
  <w:style w:type="character" w:customStyle="1" w:styleId="50">
    <w:name w:val="标题 5 Char"/>
    <w:link w:val="6"/>
    <w:qFormat/>
    <w:uiPriority w:val="9"/>
  </w:style>
  <w:style w:type="character" w:customStyle="1" w:styleId="51">
    <w:name w:val="标题 8 Char"/>
    <w:link w:val="9"/>
    <w:qFormat/>
    <w:uiPriority w:val="9"/>
    <w:rPr>
      <w:rFonts w:ascii="Arial" w:hAnsi="Arial" w:eastAsia="仿宋_GB2312" w:cs="Times New Roman"/>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0</Words>
  <Characters>0</Characters>
  <Lines>1</Lines>
  <Paragraphs>1</Paragraphs>
  <TotalTime>52</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2026-06-16T07:38:02Z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DD72C54ABD9E4036BC51B512F156AE3E_13</vt:lpwstr>
  </property>
  <property fmtid="{D5CDD505-2E9C-101B-9397-08002B2CF9AE}" pid="4" name="KSOTemplateDocerSaveRecord">
    <vt:lpwstr>eyJoZGlkIjoiMjIxMjI5YjhlNTAxYzUyOTYyYWZlMGFjYmE4ZTczY2EiLCJ1c2VySWQiOiIxNDU2NzYxMDUwIn0=</vt:lpwstr>
  </property>
</Properties>
</file>