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F492F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怀柔区2026年度第五批创新型中小企业名单</w:t>
      </w:r>
    </w:p>
    <w:bookmarkEnd w:id="0"/>
    <w:tbl>
      <w:tblPr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4577"/>
        <w:gridCol w:w="3059"/>
      </w:tblGrid>
      <w:tr w14:paraId="54A3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5B1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6F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29A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统一社会信用代码</w:t>
            </w:r>
          </w:p>
        </w:tc>
      </w:tr>
      <w:tr w14:paraId="0E2D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03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CB3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北京旷亿拓元科技有限公司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3D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9111010807853546X6</w:t>
            </w:r>
          </w:p>
        </w:tc>
      </w:tr>
      <w:tr w14:paraId="798F3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80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2DF5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北京金唐七七科技有限公司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37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91110116MA00C7K17Y</w:t>
            </w:r>
          </w:p>
        </w:tc>
      </w:tr>
      <w:tr w14:paraId="297C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508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87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北京趋势云航科技有限公司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79E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91110114MACT467B8K</w:t>
            </w:r>
          </w:p>
        </w:tc>
      </w:tr>
      <w:tr w14:paraId="3847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9F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97E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康沃思（北京）生物科技有限公司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E65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91120103MACQ92QG3L</w:t>
            </w:r>
          </w:p>
        </w:tc>
      </w:tr>
      <w:tr w14:paraId="72F22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11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768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百曜（北京）科技有限公司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A3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91110116MAE6FJKF1P</w:t>
            </w:r>
          </w:p>
        </w:tc>
      </w:tr>
      <w:tr w14:paraId="5C24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D8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A9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北京爱思窗科技有限公司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C7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91110116MACD7KMJ9X</w:t>
            </w:r>
          </w:p>
        </w:tc>
      </w:tr>
      <w:tr w14:paraId="0CAE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B14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C63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达森润创（北京）科技有限公司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D6A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91110116MA01PQM13G</w:t>
            </w:r>
          </w:p>
        </w:tc>
      </w:tr>
      <w:tr w14:paraId="1AFA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497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2F9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北京芳润亦华科技有限公司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C4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91110105MAEN481DX4</w:t>
            </w:r>
          </w:p>
        </w:tc>
      </w:tr>
      <w:tr w14:paraId="1353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9B7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60A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众合博益（北京）科技有限公司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CDE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91110116055608240U</w:t>
            </w:r>
          </w:p>
        </w:tc>
      </w:tr>
      <w:tr w14:paraId="0CC0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2D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11B1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荣军创新（北京）科技有限公司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B8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911101160592449909</w:t>
            </w:r>
          </w:p>
        </w:tc>
      </w:tr>
      <w:tr w14:paraId="014B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EFF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A25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北京国科汇聚生物科技有限公司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C3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91110116MA029TDE48</w:t>
            </w:r>
          </w:p>
        </w:tc>
      </w:tr>
      <w:tr w14:paraId="71FD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CE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648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北京旌阳科技有限公司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9A9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91110108MABRCFJW0B</w:t>
            </w:r>
          </w:p>
        </w:tc>
      </w:tr>
      <w:tr w14:paraId="681C4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39C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00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北京远东顺昌科技有限公司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70D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91110113MA0042DE1A</w:t>
            </w:r>
          </w:p>
        </w:tc>
      </w:tr>
      <w:tr w14:paraId="49FF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8E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1B8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北京沂瑞科技有限公司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51F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91110116MA04CUK56T</w:t>
            </w:r>
          </w:p>
        </w:tc>
      </w:tr>
      <w:tr w14:paraId="3A096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9EC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28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耐柯森（北京）工业技术有限公司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44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91110108MACAHP1D1E</w:t>
            </w:r>
          </w:p>
        </w:tc>
      </w:tr>
      <w:tr w14:paraId="0F20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D7D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8D1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北京中测国宇科技有限公司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397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91110108MA002UA03Y</w:t>
            </w:r>
          </w:p>
        </w:tc>
      </w:tr>
      <w:tr w14:paraId="0A89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06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D9B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北京慕湖外加剂有限公司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909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91110116102590072H</w:t>
            </w:r>
          </w:p>
        </w:tc>
      </w:tr>
      <w:tr w14:paraId="5387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E52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656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北京天工标度量子科技有限公司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5F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91320505MABT9RBP0W</w:t>
            </w:r>
          </w:p>
        </w:tc>
      </w:tr>
    </w:tbl>
    <w:p w14:paraId="492A2FA0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0F21B1A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2026-06-12T08:42:15Z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BF1691DFB0E4488E965A52F1721BA530_13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