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B2FA0">
      <w:pPr>
        <w:pStyle w:val="14"/>
        <w:bidi w:val="0"/>
        <w:rPr>
          <w:rFonts w:hint="default"/>
          <w:lang w:val="en-US" w:eastAsia="zh-CN"/>
        </w:rPr>
      </w:pPr>
      <w:bookmarkStart w:id="0" w:name="_GoBack"/>
      <w:r>
        <w:rPr>
          <w:rFonts w:hint="default"/>
          <w:lang w:val="en-US" w:eastAsia="zh-CN"/>
        </w:rPr>
        <w:t>四问＋一图，读懂2026年度人形机器人与具身智能实景实训专项行动</w:t>
      </w:r>
    </w:p>
    <w:bookmarkEnd w:id="0"/>
    <w:p w14:paraId="2C4E00BB">
      <w:pPr>
        <w:pStyle w:val="8"/>
        <w:bidi w:val="0"/>
        <w:rPr>
          <w:rFonts w:hint="default"/>
          <w:lang w:val="en-US" w:eastAsia="zh-CN"/>
        </w:rPr>
      </w:pPr>
      <w:r>
        <w:rPr>
          <w:rFonts w:hint="default"/>
          <w:lang w:val="en-US" w:eastAsia="zh-CN"/>
        </w:rPr>
        <w:fldChar w:fldCharType="begin"/>
      </w:r>
      <w:r>
        <w:rPr>
          <w:rFonts w:hint="default"/>
          <w:lang w:val="en-US" w:eastAsia="zh-CN"/>
        </w:rPr>
        <w:instrText xml:space="preserve"> HYPERLINK "javascript:void(0);" </w:instrText>
      </w:r>
      <w:r>
        <w:rPr>
          <w:rFonts w:hint="default"/>
          <w:lang w:val="en-US" w:eastAsia="zh-CN"/>
        </w:rPr>
        <w:fldChar w:fldCharType="separate"/>
      </w:r>
      <w:r>
        <w:rPr>
          <w:rFonts w:hint="default"/>
          <w:lang w:val="en-US" w:eastAsia="zh-CN"/>
        </w:rPr>
        <w:t>工信微报</w:t>
      </w:r>
      <w:r>
        <w:rPr>
          <w:rFonts w:hint="default"/>
          <w:lang w:val="en-US" w:eastAsia="zh-CN"/>
        </w:rPr>
        <w:fldChar w:fldCharType="end"/>
      </w:r>
      <w:r>
        <w:rPr>
          <w:rFonts w:hint="eastAsia"/>
          <w:lang w:val="en-US" w:eastAsia="zh-CN"/>
        </w:rPr>
        <w:t xml:space="preserve">                                  </w:t>
      </w:r>
      <w:r>
        <w:rPr>
          <w:rFonts w:hint="default"/>
          <w:lang w:val="en-US" w:eastAsia="zh-CN"/>
        </w:rPr>
        <w:t> 2026年6月9日 10:12 北京 13人</w:t>
      </w:r>
    </w:p>
    <w:p w14:paraId="4EF60778">
      <w:pPr>
        <w:ind w:firstLine="560" w:firstLineChars="200"/>
        <w:rPr>
          <w:rFonts w:hint="default"/>
          <w:lang w:val="en-US" w:eastAsia="zh-CN"/>
        </w:rPr>
      </w:pPr>
      <w:r>
        <w:rPr>
          <w:rFonts w:hint="default"/>
          <w:lang w:val="en-US" w:eastAsia="zh-CN"/>
        </w:rPr>
        <w:t>近日，工业和信息化部、国务院国资委联合印发《关于联合开展2026年度人形机器人与具身智能实景实训专项行动的通知》（以下简称《行动通知》）。为更好理解和落实《行动通知》，现就有关内容解读如下。</w:t>
      </w:r>
    </w:p>
    <w:p w14:paraId="5B12C8BD">
      <w:pPr>
        <w:pStyle w:val="2"/>
        <w:bidi w:val="0"/>
        <w:rPr>
          <w:rFonts w:hint="default"/>
          <w:lang w:val="en-US" w:eastAsia="zh-CN"/>
        </w:rPr>
      </w:pPr>
      <w:r>
        <w:rPr>
          <w:rFonts w:hint="default"/>
          <w:lang w:val="en-US" w:eastAsia="zh-CN"/>
        </w:rPr>
        <w:t>一、实施2026年度人形机器人与具身智能实景实训专项行动的政策背景是什么？</w:t>
      </w:r>
    </w:p>
    <w:p w14:paraId="523F6C8D">
      <w:pPr>
        <w:ind w:firstLine="560" w:firstLineChars="200"/>
        <w:rPr>
          <w:rFonts w:hint="default"/>
          <w:lang w:val="en-US" w:eastAsia="zh-CN"/>
        </w:rPr>
      </w:pPr>
      <w:r>
        <w:rPr>
          <w:rFonts w:hint="default"/>
          <w:lang w:val="en-US" w:eastAsia="zh-CN"/>
        </w:rPr>
        <w:t>党中央、国务院高度重视人形机器人与具身智能产业创新发展，工业和信息化部立足职责、多措并举，印发《人形机器人创新发展指导意见》，明确提出加快技术突破、场景验证与规模化应用。当前我国人形机器人与具身智能正处于从实验室走向真实场景、从演示验证转向常态化作业的关键阶段，模型算法、本体性能、场景适配、真机数据积累等仍存在短板。</w:t>
      </w:r>
    </w:p>
    <w:p w14:paraId="7702AAF4">
      <w:pPr>
        <w:ind w:firstLine="560" w:firstLineChars="200"/>
        <w:rPr>
          <w:rFonts w:hint="default"/>
          <w:lang w:val="en-US" w:eastAsia="zh-CN"/>
        </w:rPr>
      </w:pPr>
      <w:r>
        <w:rPr>
          <w:rFonts w:hint="default"/>
          <w:lang w:val="en-US" w:eastAsia="zh-CN"/>
        </w:rPr>
        <w:t>实景实训是破解上述瓶颈的关键抓手。通过集约化建设、标准化管理、资源共享的实训空间，可有效避免场景重复建设和资源浪费，推动场景、数据、算力与技术成果高效复用，大幅降低企业试错成本，实现产品在真实环境中的快速迭代优化，是推动人形机器人从“能用”到“好用”跨越的重要手段。</w:t>
      </w:r>
    </w:p>
    <w:p w14:paraId="12F35747">
      <w:pPr>
        <w:ind w:firstLine="560" w:firstLineChars="200"/>
        <w:rPr>
          <w:rFonts w:hint="default"/>
          <w:lang w:val="en-US" w:eastAsia="zh-CN"/>
        </w:rPr>
      </w:pPr>
      <w:r>
        <w:rPr>
          <w:rFonts w:hint="default"/>
          <w:lang w:val="en-US" w:eastAsia="zh-CN"/>
        </w:rPr>
        <w:t>为进一步明确开展“实景实训”的实施路径，工业和信息化部、国务院国资委共同组织实施本次专项行动，推动人形机器人与具身智能在真实生产生活环境中常态化部署、工程化验证、规模化落地，加速构建“训练—迭代—应用—再优化”的产业闭环，支撑人形机器人与具身智能产业高质量发展。</w:t>
      </w:r>
    </w:p>
    <w:p w14:paraId="0A223E92">
      <w:pPr>
        <w:pStyle w:val="2"/>
        <w:bidi w:val="0"/>
        <w:rPr>
          <w:rFonts w:hint="default"/>
          <w:lang w:val="en-US" w:eastAsia="zh-CN"/>
        </w:rPr>
      </w:pPr>
      <w:r>
        <w:rPr>
          <w:rFonts w:hint="default"/>
          <w:lang w:val="en-US" w:eastAsia="zh-CN"/>
        </w:rPr>
        <w:t>二、人形机器人与具身智能实景实训专项行动推进思路是什么？</w:t>
      </w:r>
    </w:p>
    <w:p w14:paraId="100B28B5">
      <w:pPr>
        <w:ind w:firstLine="560" w:firstLineChars="200"/>
        <w:rPr>
          <w:rFonts w:hint="default"/>
          <w:lang w:val="en-US" w:eastAsia="zh-CN"/>
        </w:rPr>
      </w:pPr>
      <w:r>
        <w:rPr>
          <w:rFonts w:hint="default"/>
          <w:lang w:val="en-US" w:eastAsia="zh-CN"/>
        </w:rPr>
        <w:t>本次行动坚持应用牵引，推动“以场练机”，加快“实训迭代”，打造实景实训赋能人形机器人与具身智能产业化落地的发展格局。</w:t>
      </w:r>
    </w:p>
    <w:p w14:paraId="0212996D">
      <w:pPr>
        <w:ind w:firstLine="560" w:firstLineChars="200"/>
        <w:rPr>
          <w:rFonts w:hint="default"/>
          <w:lang w:val="en-US" w:eastAsia="zh-CN"/>
        </w:rPr>
      </w:pPr>
      <w:r>
        <w:rPr>
          <w:rFonts w:hint="default"/>
          <w:lang w:val="en-US" w:eastAsia="zh-CN"/>
        </w:rPr>
        <w:t>行动主体覆盖北京、天津、上海、江苏、浙江、山东、湖北、湖南、广东、四川，以及有关中央企业，依托国家人工智能创新应用先导区先行先试、示范引领，按照统一路径推进实训落地。同时，支持产业基础较好、应用场景丰富的地方参考报送与实施。</w:t>
      </w:r>
    </w:p>
    <w:p w14:paraId="76DF6964">
      <w:pPr>
        <w:ind w:firstLine="560" w:firstLineChars="200"/>
        <w:rPr>
          <w:rFonts w:hint="default"/>
          <w:lang w:val="en-US" w:eastAsia="zh-CN"/>
        </w:rPr>
      </w:pPr>
      <w:r>
        <w:rPr>
          <w:rFonts w:hint="default"/>
          <w:lang w:val="en-US" w:eastAsia="zh-CN"/>
        </w:rPr>
        <w:t>落地场景聚焦工业制造、民生服务、特种作业三大方向，覆盖生产制造、检测分析、维修维护、仓储物流、餐饮零售、医疗康养、安全生产、应急救援、防灾减灾等重点领域，依托真实工况开展真机实训，持续优化具身智能模型算法，积累高质量真机数据，提升本体关键部组件性能，开启人形机器人与具身智能“作业模式”。</w:t>
      </w:r>
    </w:p>
    <w:p w14:paraId="0E3837C5">
      <w:pPr>
        <w:pStyle w:val="2"/>
        <w:bidi w:val="0"/>
        <w:rPr>
          <w:rFonts w:hint="default"/>
          <w:lang w:val="en-US" w:eastAsia="zh-CN"/>
        </w:rPr>
      </w:pPr>
      <w:r>
        <w:rPr>
          <w:rFonts w:hint="default"/>
          <w:lang w:val="en-US" w:eastAsia="zh-CN"/>
        </w:rPr>
        <w:t>三、专项行动设置六大重点任务的考虑是什么？</w:t>
      </w:r>
    </w:p>
    <w:p w14:paraId="4789DA1F">
      <w:pPr>
        <w:ind w:firstLine="560" w:firstLineChars="200"/>
        <w:rPr>
          <w:rFonts w:hint="default"/>
          <w:lang w:val="en-US" w:eastAsia="zh-CN"/>
        </w:rPr>
      </w:pPr>
      <w:r>
        <w:rPr>
          <w:rFonts w:hint="default"/>
          <w:lang w:val="en-US" w:eastAsia="zh-CN"/>
        </w:rPr>
        <w:t>实景实训行动重点任务聚焦人形机器人与具身智能落地应用痛点卡点谋划布局，着力打通整机研发到规模化落地全链条。6项任务路径明确、相互协同，既能推动产出数据、算法、整机解决方案等关键技术成果，又能推动实景应用迭代与规模化部署，培育典型案例与可推广路径，夯实长期发展基础。</w:t>
      </w:r>
    </w:p>
    <w:p w14:paraId="70623ECC">
      <w:pPr>
        <w:ind w:firstLine="560" w:firstLineChars="200"/>
        <w:rPr>
          <w:rFonts w:hint="default"/>
          <w:lang w:val="en-US" w:eastAsia="zh-CN"/>
        </w:rPr>
      </w:pPr>
      <w:r>
        <w:rPr>
          <w:rFonts w:hint="default"/>
          <w:lang w:val="en-US" w:eastAsia="zh-CN"/>
        </w:rPr>
        <w:t>一是针对场景真实性、多样性不足问题，打造实景实训空间。为真机训练提供真实作业环境支撑，加快技术从实验室研发向实际应用转化。</w:t>
      </w:r>
    </w:p>
    <w:p w14:paraId="4DEC038F">
      <w:pPr>
        <w:ind w:firstLine="560" w:firstLineChars="200"/>
        <w:rPr>
          <w:rFonts w:hint="default"/>
          <w:lang w:val="en-US" w:eastAsia="zh-CN"/>
        </w:rPr>
      </w:pPr>
      <w:r>
        <w:rPr>
          <w:rFonts w:hint="default"/>
          <w:lang w:val="en-US" w:eastAsia="zh-CN"/>
        </w:rPr>
        <w:t>二是针对供需协同不畅、单点突破乏力问题，组建创新应用联合体。以场景为纽带集聚产学研用资源，提升场景适配攻关效率。</w:t>
      </w:r>
    </w:p>
    <w:p w14:paraId="77141CCD">
      <w:pPr>
        <w:ind w:firstLine="560" w:firstLineChars="200"/>
        <w:rPr>
          <w:rFonts w:hint="default"/>
          <w:lang w:val="en-US" w:eastAsia="zh-CN"/>
        </w:rPr>
      </w:pPr>
      <w:r>
        <w:rPr>
          <w:rFonts w:hint="default"/>
          <w:lang w:val="en-US" w:eastAsia="zh-CN"/>
        </w:rPr>
        <w:t>三是加快从“功夫模式”向“作业模式”转化，着力攻关实用作业技能。在真实场景中打磨技能包、优化模型算法、沉淀高质量数据，夯实技术底座。</w:t>
      </w:r>
    </w:p>
    <w:p w14:paraId="6E230E4E">
      <w:pPr>
        <w:ind w:firstLine="560" w:firstLineChars="200"/>
        <w:rPr>
          <w:rFonts w:hint="default"/>
          <w:lang w:val="en-US" w:eastAsia="zh-CN"/>
        </w:rPr>
      </w:pPr>
      <w:r>
        <w:rPr>
          <w:rFonts w:hint="default"/>
          <w:lang w:val="en-US" w:eastAsia="zh-CN"/>
        </w:rPr>
        <w:t>四是加快跨越规模化应用鸿沟，着力推动成熟方案在相关领域拓展应用，实现“验证一个、部署一批、带动一片”。</w:t>
      </w:r>
    </w:p>
    <w:p w14:paraId="17B5C52A">
      <w:pPr>
        <w:ind w:firstLine="560" w:firstLineChars="200"/>
        <w:rPr>
          <w:rFonts w:hint="default"/>
          <w:lang w:val="en-US" w:eastAsia="zh-CN"/>
        </w:rPr>
      </w:pPr>
      <w:r>
        <w:rPr>
          <w:rFonts w:hint="default"/>
          <w:lang w:val="en-US" w:eastAsia="zh-CN"/>
        </w:rPr>
        <w:t>五是聚焦提升产业配套能力，强化关键要素保障。深化标准规范落地、全生命周期管理、复合人才培养与多元化金融手段支持。</w:t>
      </w:r>
    </w:p>
    <w:p w14:paraId="4F2EBB1D">
      <w:pPr>
        <w:ind w:firstLine="560" w:firstLineChars="200"/>
        <w:rPr>
          <w:rFonts w:hint="default"/>
          <w:lang w:val="en-US" w:eastAsia="zh-CN"/>
        </w:rPr>
      </w:pPr>
      <w:r>
        <w:rPr>
          <w:rFonts w:hint="default"/>
          <w:lang w:val="en-US" w:eastAsia="zh-CN"/>
        </w:rPr>
        <w:t>六是打破“经验难以复制”的局限性，通过主动沉淀优秀实训方案，形成可推广的技术路径与管理机制，加速优秀模式跨区域、跨行业复制推广。</w:t>
      </w:r>
    </w:p>
    <w:p w14:paraId="2A3074C3">
      <w:pPr>
        <w:pStyle w:val="2"/>
        <w:bidi w:val="0"/>
        <w:rPr>
          <w:rFonts w:hint="default"/>
          <w:lang w:val="en-US" w:eastAsia="zh-CN"/>
        </w:rPr>
      </w:pPr>
      <w:r>
        <w:rPr>
          <w:rFonts w:hint="default"/>
          <w:lang w:val="en-US" w:eastAsia="zh-CN"/>
        </w:rPr>
        <w:t>四、专项行动将采取哪些保障措施？</w:t>
      </w:r>
    </w:p>
    <w:p w14:paraId="5F37DEAC">
      <w:pPr>
        <w:ind w:firstLine="560" w:firstLineChars="200"/>
        <w:rPr>
          <w:rFonts w:hint="default"/>
          <w:lang w:val="en-US" w:eastAsia="zh-CN"/>
        </w:rPr>
      </w:pPr>
      <w:r>
        <w:rPr>
          <w:rFonts w:hint="default"/>
          <w:lang w:val="en-US" w:eastAsia="zh-CN"/>
        </w:rPr>
        <w:t>工业和信息化部、国务院国资委做好整体统筹，将专项行动融入人工智能赋能新型工业化相关工作，对成效突出的区域与企业，在政策、标准、项目上予以倾斜支持，加强优秀成果进行宣传推广。</w:t>
      </w:r>
    </w:p>
    <w:p w14:paraId="11818513">
      <w:pPr>
        <w:ind w:firstLine="560" w:firstLineChars="200"/>
        <w:rPr>
          <w:rFonts w:hint="default"/>
          <w:lang w:val="en-US" w:eastAsia="zh-CN"/>
        </w:rPr>
      </w:pPr>
      <w:r>
        <w:rPr>
          <w:rFonts w:hint="default"/>
          <w:lang w:val="en-US" w:eastAsia="zh-CN"/>
        </w:rPr>
        <w:t>各省级工信主管部门、有关央企强化组织保障，通过专项资金、政府奖励支持场景开放、技术攻关、应用推广与标准研制；建立清单化管理、常态化跟踪评估机制，协调解决推进难点堵点，确保任务落地见效。</w:t>
      </w:r>
    </w:p>
    <w:p w14:paraId="0933C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4429125" cy="78962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29125" cy="7896225"/>
                    </a:xfrm>
                    <a:prstGeom prst="rect">
                      <a:avLst/>
                    </a:prstGeom>
                    <a:noFill/>
                    <a:ln>
                      <a:noFill/>
                    </a:ln>
                  </pic:spPr>
                </pic:pic>
              </a:graphicData>
            </a:graphic>
          </wp:inline>
        </w:drawing>
      </w:r>
      <w:r>
        <w:drawing>
          <wp:inline distT="0" distB="0" distL="114300" distR="114300">
            <wp:extent cx="4305300" cy="8448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305300" cy="8448675"/>
                    </a:xfrm>
                    <a:prstGeom prst="rect">
                      <a:avLst/>
                    </a:prstGeom>
                    <a:noFill/>
                    <a:ln>
                      <a:noFill/>
                    </a:ln>
                  </pic:spPr>
                </pic:pic>
              </a:graphicData>
            </a:graphic>
          </wp:inline>
        </w:drawing>
      </w:r>
      <w:r>
        <w:drawing>
          <wp:inline distT="0" distB="0" distL="114300" distR="114300">
            <wp:extent cx="4629150" cy="8248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629150" cy="8248650"/>
                    </a:xfrm>
                    <a:prstGeom prst="rect">
                      <a:avLst/>
                    </a:prstGeom>
                    <a:noFill/>
                    <a:ln>
                      <a:noFill/>
                    </a:ln>
                  </pic:spPr>
                </pic:pic>
              </a:graphicData>
            </a:graphic>
          </wp:inline>
        </w:drawing>
      </w:r>
      <w:r>
        <w:drawing>
          <wp:inline distT="0" distB="0" distL="114300" distR="114300">
            <wp:extent cx="4448175" cy="8496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448175" cy="8496300"/>
                    </a:xfrm>
                    <a:prstGeom prst="rect">
                      <a:avLst/>
                    </a:prstGeom>
                    <a:noFill/>
                    <a:ln>
                      <a:noFill/>
                    </a:ln>
                  </pic:spPr>
                </pic:pic>
              </a:graphicData>
            </a:graphic>
          </wp:inline>
        </w:drawing>
      </w:r>
      <w:r>
        <w:drawing>
          <wp:inline distT="0" distB="0" distL="114300" distR="114300">
            <wp:extent cx="4438650" cy="8267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438650" cy="8267700"/>
                    </a:xfrm>
                    <a:prstGeom prst="rect">
                      <a:avLst/>
                    </a:prstGeom>
                    <a:noFill/>
                    <a:ln>
                      <a:noFill/>
                    </a:ln>
                  </pic:spPr>
                </pic:pic>
              </a:graphicData>
            </a:graphic>
          </wp:inline>
        </w:drawing>
      </w:r>
      <w:r>
        <w:drawing>
          <wp:inline distT="0" distB="0" distL="114300" distR="114300">
            <wp:extent cx="4572000" cy="6524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572000" cy="6524625"/>
                    </a:xfrm>
                    <a:prstGeom prst="rect">
                      <a:avLst/>
                    </a:prstGeom>
                    <a:noFill/>
                    <a:ln>
                      <a:noFill/>
                    </a:ln>
                  </pic:spPr>
                </pic:pic>
              </a:graphicData>
            </a:graphic>
          </wp:inline>
        </w:drawing>
      </w:r>
    </w:p>
    <w:p w14:paraId="1C88D7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t>https://mp.weixin.qq.com/s/RKCsaEkjkXzJlahC8r5X8A</w:t>
      </w: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script"/>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0"/>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1"/>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56EBE"/>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E52E0"/>
    <w:rsid w:val="04E5597F"/>
    <w:rsid w:val="05CC0449"/>
    <w:rsid w:val="05CC6BA7"/>
    <w:rsid w:val="05F56545"/>
    <w:rsid w:val="06961A26"/>
    <w:rsid w:val="072E100E"/>
    <w:rsid w:val="07D41004"/>
    <w:rsid w:val="08232C96"/>
    <w:rsid w:val="093C70F8"/>
    <w:rsid w:val="0A3D2F70"/>
    <w:rsid w:val="0B9079F1"/>
    <w:rsid w:val="0E1238D7"/>
    <w:rsid w:val="0E592DD6"/>
    <w:rsid w:val="0EBE39E4"/>
    <w:rsid w:val="0F033741"/>
    <w:rsid w:val="0F9E1127"/>
    <w:rsid w:val="0FC26D8E"/>
    <w:rsid w:val="10225A02"/>
    <w:rsid w:val="109003E2"/>
    <w:rsid w:val="10D02130"/>
    <w:rsid w:val="11284EE7"/>
    <w:rsid w:val="122C71D3"/>
    <w:rsid w:val="126555E2"/>
    <w:rsid w:val="12B6109D"/>
    <w:rsid w:val="135C6A68"/>
    <w:rsid w:val="14AC3169"/>
    <w:rsid w:val="14BA55A9"/>
    <w:rsid w:val="16E465E6"/>
    <w:rsid w:val="17B571BE"/>
    <w:rsid w:val="183B3D17"/>
    <w:rsid w:val="187A04AD"/>
    <w:rsid w:val="188602CE"/>
    <w:rsid w:val="191F6B75"/>
    <w:rsid w:val="19DB3E43"/>
    <w:rsid w:val="19E646A3"/>
    <w:rsid w:val="1A3F168A"/>
    <w:rsid w:val="1ACD4BC9"/>
    <w:rsid w:val="1AD00105"/>
    <w:rsid w:val="1C1F5C60"/>
    <w:rsid w:val="1C26202E"/>
    <w:rsid w:val="1CFA082A"/>
    <w:rsid w:val="1D75769C"/>
    <w:rsid w:val="1E486D5E"/>
    <w:rsid w:val="20E515DF"/>
    <w:rsid w:val="20EE4514"/>
    <w:rsid w:val="21490716"/>
    <w:rsid w:val="22A660F0"/>
    <w:rsid w:val="23350630"/>
    <w:rsid w:val="239C0C8D"/>
    <w:rsid w:val="2458023C"/>
    <w:rsid w:val="24891F4C"/>
    <w:rsid w:val="24DD1B30"/>
    <w:rsid w:val="24FB777E"/>
    <w:rsid w:val="26BE469D"/>
    <w:rsid w:val="28341D78"/>
    <w:rsid w:val="284055FE"/>
    <w:rsid w:val="284C442A"/>
    <w:rsid w:val="288233CE"/>
    <w:rsid w:val="29481F8B"/>
    <w:rsid w:val="299E2259"/>
    <w:rsid w:val="29AE54C4"/>
    <w:rsid w:val="2A20733C"/>
    <w:rsid w:val="2A36166C"/>
    <w:rsid w:val="2A5B6A65"/>
    <w:rsid w:val="2AC85DD5"/>
    <w:rsid w:val="2B983D5E"/>
    <w:rsid w:val="2C1B2534"/>
    <w:rsid w:val="2C5661E7"/>
    <w:rsid w:val="2CC90378"/>
    <w:rsid w:val="2DDA75F8"/>
    <w:rsid w:val="2E451107"/>
    <w:rsid w:val="2E561F32"/>
    <w:rsid w:val="2F167534"/>
    <w:rsid w:val="30D427EB"/>
    <w:rsid w:val="31604062"/>
    <w:rsid w:val="31AC3498"/>
    <w:rsid w:val="31BA36E4"/>
    <w:rsid w:val="34163C6F"/>
    <w:rsid w:val="34FC0B26"/>
    <w:rsid w:val="35CC7FE4"/>
    <w:rsid w:val="370B0758"/>
    <w:rsid w:val="387E58D5"/>
    <w:rsid w:val="38D5360F"/>
    <w:rsid w:val="3B005163"/>
    <w:rsid w:val="3BC5648D"/>
    <w:rsid w:val="3C131F35"/>
    <w:rsid w:val="3C8B707E"/>
    <w:rsid w:val="3D0B60DD"/>
    <w:rsid w:val="3D242F7A"/>
    <w:rsid w:val="3E9C40F3"/>
    <w:rsid w:val="40B15178"/>
    <w:rsid w:val="4139196E"/>
    <w:rsid w:val="415848E1"/>
    <w:rsid w:val="417A5F93"/>
    <w:rsid w:val="418935AC"/>
    <w:rsid w:val="4296377D"/>
    <w:rsid w:val="42F8070A"/>
    <w:rsid w:val="430E0353"/>
    <w:rsid w:val="433C38D6"/>
    <w:rsid w:val="441C68B9"/>
    <w:rsid w:val="446948F1"/>
    <w:rsid w:val="45B9632A"/>
    <w:rsid w:val="46931CE2"/>
    <w:rsid w:val="47407E1B"/>
    <w:rsid w:val="477B0D92"/>
    <w:rsid w:val="480F418D"/>
    <w:rsid w:val="485C7A85"/>
    <w:rsid w:val="486F5D2C"/>
    <w:rsid w:val="4B077B9F"/>
    <w:rsid w:val="4CF97814"/>
    <w:rsid w:val="4D797ECA"/>
    <w:rsid w:val="4E7271B8"/>
    <w:rsid w:val="4EB31BF9"/>
    <w:rsid w:val="4F216E80"/>
    <w:rsid w:val="4F6B7653"/>
    <w:rsid w:val="4FEE4718"/>
    <w:rsid w:val="505020B9"/>
    <w:rsid w:val="513841CB"/>
    <w:rsid w:val="514A0E57"/>
    <w:rsid w:val="515B6E68"/>
    <w:rsid w:val="52025F45"/>
    <w:rsid w:val="52511EB8"/>
    <w:rsid w:val="52687459"/>
    <w:rsid w:val="528945A2"/>
    <w:rsid w:val="53AA5870"/>
    <w:rsid w:val="54581D88"/>
    <w:rsid w:val="5599644C"/>
    <w:rsid w:val="56A05C5E"/>
    <w:rsid w:val="57691CAA"/>
    <w:rsid w:val="579B39F0"/>
    <w:rsid w:val="57A37E38"/>
    <w:rsid w:val="587662C1"/>
    <w:rsid w:val="58E45E5C"/>
    <w:rsid w:val="5966249A"/>
    <w:rsid w:val="599D54F4"/>
    <w:rsid w:val="5ABE63C0"/>
    <w:rsid w:val="5B5F3C17"/>
    <w:rsid w:val="5C0F18E6"/>
    <w:rsid w:val="5D942074"/>
    <w:rsid w:val="5F42540D"/>
    <w:rsid w:val="5F9746E1"/>
    <w:rsid w:val="605308F0"/>
    <w:rsid w:val="60F01468"/>
    <w:rsid w:val="613B531F"/>
    <w:rsid w:val="61537BFA"/>
    <w:rsid w:val="616E77F5"/>
    <w:rsid w:val="61941FCD"/>
    <w:rsid w:val="61A372B8"/>
    <w:rsid w:val="61CC184F"/>
    <w:rsid w:val="61FB7F6E"/>
    <w:rsid w:val="626A293A"/>
    <w:rsid w:val="632C62D6"/>
    <w:rsid w:val="66801568"/>
    <w:rsid w:val="6710609A"/>
    <w:rsid w:val="67697562"/>
    <w:rsid w:val="695B7490"/>
    <w:rsid w:val="69C218FE"/>
    <w:rsid w:val="6BDB68DE"/>
    <w:rsid w:val="6C270DD3"/>
    <w:rsid w:val="6C705350"/>
    <w:rsid w:val="6D872A5A"/>
    <w:rsid w:val="6E1F25FD"/>
    <w:rsid w:val="6E413E28"/>
    <w:rsid w:val="6F370898"/>
    <w:rsid w:val="6F4638FD"/>
    <w:rsid w:val="70956FE4"/>
    <w:rsid w:val="71020CE1"/>
    <w:rsid w:val="73F7433F"/>
    <w:rsid w:val="756F626F"/>
    <w:rsid w:val="75930F1E"/>
    <w:rsid w:val="76FA56D9"/>
    <w:rsid w:val="775748F9"/>
    <w:rsid w:val="77BF12F7"/>
    <w:rsid w:val="78264085"/>
    <w:rsid w:val="79060B26"/>
    <w:rsid w:val="798E17BF"/>
    <w:rsid w:val="79D16624"/>
    <w:rsid w:val="79E44119"/>
    <w:rsid w:val="7A283BED"/>
    <w:rsid w:val="7A5A1A94"/>
    <w:rsid w:val="7AA0221D"/>
    <w:rsid w:val="7B705706"/>
    <w:rsid w:val="7C8440E2"/>
    <w:rsid w:val="7D324444"/>
    <w:rsid w:val="7D470D1C"/>
    <w:rsid w:val="7DCC36B1"/>
    <w:rsid w:val="7E0E1F5B"/>
    <w:rsid w:val="7E39495F"/>
    <w:rsid w:val="7F3A0F4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4"/>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7"/>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8"/>
    <w:unhideWhenUsed/>
    <w:qFormat/>
    <w:uiPriority w:val="9"/>
    <w:pPr>
      <w:keepNext/>
      <w:keepLines/>
      <w:spacing w:line="440" w:lineRule="exact"/>
      <w:outlineLvl w:val="2"/>
    </w:pPr>
    <w:rPr>
      <w:b/>
      <w:bCs/>
      <w:szCs w:val="32"/>
    </w:rPr>
  </w:style>
  <w:style w:type="paragraph" w:styleId="5">
    <w:name w:val="heading 4"/>
    <w:basedOn w:val="1"/>
    <w:next w:val="1"/>
    <w:link w:val="29"/>
    <w:unhideWhenUsed/>
    <w:qFormat/>
    <w:uiPriority w:val="9"/>
    <w:pPr>
      <w:keepNext/>
      <w:keepLines/>
      <w:spacing w:beforeLines="0" w:beforeAutospacing="0" w:afterLines="0" w:afterAutospacing="0" w:line="440" w:lineRule="exact"/>
      <w:outlineLvl w:val="3"/>
    </w:pPr>
  </w:style>
  <w:style w:type="paragraph" w:styleId="6">
    <w:name w:val="heading 5"/>
    <w:basedOn w:val="1"/>
    <w:next w:val="1"/>
    <w:link w:val="50"/>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paragraph" w:styleId="9">
    <w:name w:val="heading 8"/>
    <w:basedOn w:val="1"/>
    <w:next w:val="1"/>
    <w:link w:val="51"/>
    <w:unhideWhenUsed/>
    <w:qFormat/>
    <w:uiPriority w:val="9"/>
    <w:pPr>
      <w:keepNext/>
      <w:keepLines/>
      <w:spacing w:beforeLines="0" w:beforeAutospacing="0" w:afterLines="0" w:afterAutospacing="0" w:line="240" w:lineRule="auto"/>
      <w:ind w:firstLine="0" w:firstLineChars="0"/>
      <w:jc w:val="center"/>
      <w:outlineLvl w:val="7"/>
    </w:pPr>
    <w:rPr>
      <w:rFonts w:ascii="Arial" w:hAnsi="Arial" w:eastAsia="仿宋_GB2312" w:cs="Times New Roman"/>
      <w:sz w:val="24"/>
      <w:szCs w:val="22"/>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10">
    <w:name w:val="footer"/>
    <w:basedOn w:val="1"/>
    <w:link w:val="30"/>
    <w:unhideWhenUsed/>
    <w:qFormat/>
    <w:uiPriority w:val="99"/>
    <w:pPr>
      <w:tabs>
        <w:tab w:val="center" w:pos="4153"/>
        <w:tab w:val="right" w:pos="8306"/>
      </w:tabs>
      <w:snapToGrid w:val="0"/>
    </w:pPr>
    <w:rPr>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2"/>
    <w:qFormat/>
    <w:uiPriority w:val="11"/>
    <w:pPr>
      <w:outlineLvl w:val="1"/>
    </w:pPr>
    <w:rPr>
      <w:b/>
      <w:bCs/>
      <w:kern w:val="28"/>
      <w:szCs w:val="32"/>
    </w:rPr>
  </w:style>
  <w:style w:type="paragraph" w:styleId="13">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4">
    <w:name w:val="Title"/>
    <w:basedOn w:val="1"/>
    <w:next w:val="1"/>
    <w:link w:val="26"/>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6">
    <w:name w:val="Table Grid"/>
    <w:basedOn w:val="1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rFonts w:eastAsia="仿宋_GB2312"/>
      <w:b/>
      <w:bCs/>
      <w:color w:val="7030A0"/>
      <w:spacing w:val="-8"/>
      <w:w w:val="96"/>
      <w:sz w:val="28"/>
    </w:rPr>
  </w:style>
  <w:style w:type="character" w:styleId="19">
    <w:name w:val="FollowedHyperlink"/>
    <w:basedOn w:val="17"/>
    <w:unhideWhenUsed/>
    <w:qFormat/>
    <w:uiPriority w:val="99"/>
    <w:rPr>
      <w:color w:val="404040"/>
      <w:u w:val="none"/>
    </w:rPr>
  </w:style>
  <w:style w:type="character" w:styleId="20">
    <w:name w:val="Emphasis"/>
    <w:basedOn w:val="17"/>
    <w:qFormat/>
    <w:uiPriority w:val="20"/>
    <w:rPr>
      <w:rFonts w:eastAsia="华文楷体"/>
      <w:iCs/>
      <w:sz w:val="28"/>
    </w:rPr>
  </w:style>
  <w:style w:type="character" w:styleId="21">
    <w:name w:val="line number"/>
    <w:basedOn w:val="17"/>
    <w:unhideWhenUsed/>
    <w:qFormat/>
    <w:uiPriority w:val="99"/>
  </w:style>
  <w:style w:type="character" w:styleId="22">
    <w:name w:val="HTML Variable"/>
    <w:basedOn w:val="17"/>
    <w:unhideWhenUsed/>
    <w:qFormat/>
    <w:uiPriority w:val="99"/>
  </w:style>
  <w:style w:type="character" w:styleId="23">
    <w:name w:val="Hyperlink"/>
    <w:basedOn w:val="17"/>
    <w:unhideWhenUsed/>
    <w:qFormat/>
    <w:uiPriority w:val="99"/>
    <w:rPr>
      <w:color w:val="404040"/>
      <w:u w:val="none"/>
    </w:rPr>
  </w:style>
  <w:style w:type="character" w:customStyle="1" w:styleId="24">
    <w:name w:val="标题 1 字符"/>
    <w:basedOn w:val="17"/>
    <w:link w:val="2"/>
    <w:qFormat/>
    <w:uiPriority w:val="9"/>
    <w:rPr>
      <w:rFonts w:ascii="黑体" w:hAnsi="黑体" w:eastAsia="黑体"/>
      <w:bCs/>
      <w:kern w:val="44"/>
      <w:sz w:val="28"/>
      <w:szCs w:val="44"/>
    </w:rPr>
  </w:style>
  <w:style w:type="character" w:customStyle="1" w:styleId="25">
    <w:name w:val="标题 3 Char1"/>
    <w:link w:val="4"/>
    <w:qFormat/>
    <w:uiPriority w:val="9"/>
    <w:rPr>
      <w:rFonts w:ascii="仿宋_GB2312" w:hAnsi="仿宋_GB2312" w:eastAsia="仿宋_GB2312"/>
      <w:b/>
    </w:rPr>
  </w:style>
  <w:style w:type="character" w:customStyle="1" w:styleId="26">
    <w:name w:val="标题 字符"/>
    <w:basedOn w:val="17"/>
    <w:link w:val="14"/>
    <w:qFormat/>
    <w:uiPriority w:val="10"/>
    <w:rPr>
      <w:rFonts w:ascii="华文中宋" w:hAnsi="华文中宋" w:eastAsia="华文中宋" w:cs="Times New Roman"/>
      <w:b/>
      <w:bCs/>
      <w:sz w:val="32"/>
      <w:szCs w:val="32"/>
    </w:rPr>
  </w:style>
  <w:style w:type="character" w:customStyle="1" w:styleId="27">
    <w:name w:val="标题 2 字符"/>
    <w:basedOn w:val="17"/>
    <w:link w:val="3"/>
    <w:qFormat/>
    <w:uiPriority w:val="9"/>
    <w:rPr>
      <w:rFonts w:ascii="楷体_GB2312" w:hAnsi="楷体_GB2312" w:eastAsia="楷体_GB2312" w:cs="Times New Roman"/>
      <w:b/>
      <w:bCs/>
      <w:sz w:val="28"/>
      <w:szCs w:val="32"/>
    </w:rPr>
  </w:style>
  <w:style w:type="character" w:customStyle="1" w:styleId="28">
    <w:name w:val="标题 3 字符"/>
    <w:basedOn w:val="17"/>
    <w:link w:val="4"/>
    <w:semiHidden/>
    <w:qFormat/>
    <w:uiPriority w:val="9"/>
    <w:rPr>
      <w:rFonts w:ascii="仿宋_GB2312" w:hAnsi="仿宋_GB2312" w:eastAsia="仿宋_GB2312"/>
      <w:b/>
      <w:bCs/>
      <w:kern w:val="2"/>
      <w:sz w:val="28"/>
      <w:szCs w:val="32"/>
    </w:rPr>
  </w:style>
  <w:style w:type="character" w:customStyle="1" w:styleId="29">
    <w:name w:val="标题 4 Char1"/>
    <w:link w:val="5"/>
    <w:qFormat/>
    <w:uiPriority w:val="9"/>
    <w:rPr>
      <w:rFonts w:ascii="仿宋_GB2312" w:hAnsi="仿宋_GB2312" w:eastAsia="仿宋_GB2312"/>
    </w:rPr>
  </w:style>
  <w:style w:type="character" w:customStyle="1" w:styleId="30">
    <w:name w:val="页脚 字符"/>
    <w:basedOn w:val="17"/>
    <w:link w:val="10"/>
    <w:qFormat/>
    <w:uiPriority w:val="99"/>
    <w:rPr>
      <w:sz w:val="18"/>
      <w:szCs w:val="18"/>
    </w:rPr>
  </w:style>
  <w:style w:type="character" w:customStyle="1" w:styleId="31">
    <w:name w:val="页眉 字符"/>
    <w:basedOn w:val="17"/>
    <w:link w:val="11"/>
    <w:qFormat/>
    <w:uiPriority w:val="99"/>
    <w:rPr>
      <w:sz w:val="18"/>
      <w:szCs w:val="18"/>
    </w:rPr>
  </w:style>
  <w:style w:type="character" w:customStyle="1" w:styleId="32">
    <w:name w:val="副标题 字符"/>
    <w:basedOn w:val="17"/>
    <w:link w:val="12"/>
    <w:qFormat/>
    <w:uiPriority w:val="11"/>
    <w:rPr>
      <w:rFonts w:ascii="仿宋_GB2312" w:eastAsia="仿宋_GB2312"/>
      <w:b/>
      <w:bCs/>
      <w:kern w:val="28"/>
      <w:sz w:val="28"/>
      <w:szCs w:val="32"/>
    </w:rPr>
  </w:style>
  <w:style w:type="paragraph" w:styleId="33">
    <w:name w:val="Quote"/>
    <w:basedOn w:val="1"/>
    <w:next w:val="1"/>
    <w:link w:val="34"/>
    <w:qFormat/>
    <w:uiPriority w:val="29"/>
    <w:pPr>
      <w:ind w:firstLine="486"/>
    </w:pPr>
    <w:rPr>
      <w:rFonts w:eastAsia="华文楷体"/>
      <w:iCs/>
      <w:spacing w:val="-16"/>
      <w:w w:val="98"/>
    </w:rPr>
  </w:style>
  <w:style w:type="character" w:customStyle="1" w:styleId="34">
    <w:name w:val="引用 字符"/>
    <w:basedOn w:val="17"/>
    <w:link w:val="33"/>
    <w:qFormat/>
    <w:uiPriority w:val="29"/>
    <w:rPr>
      <w:rFonts w:ascii="仿宋_GB2312" w:eastAsia="华文楷体"/>
      <w:iCs/>
      <w:spacing w:val="-16"/>
      <w:w w:val="98"/>
      <w:sz w:val="28"/>
    </w:rPr>
  </w:style>
  <w:style w:type="paragraph" w:styleId="35">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6">
    <w:name w:val="不明显强调1"/>
    <w:basedOn w:val="17"/>
    <w:qFormat/>
    <w:uiPriority w:val="19"/>
    <w:rPr>
      <w:i/>
      <w:iCs/>
      <w:color w:val="3F3F3F"/>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title_m"/>
    <w:basedOn w:val="1"/>
    <w:qFormat/>
    <w:uiPriority w:val="0"/>
    <w:pPr>
      <w:jc w:val="center"/>
    </w:pPr>
    <w:rPr>
      <w:rFonts w:ascii="宋体" w:hAnsi="宋体" w:eastAsia="宋体" w:cs="宋体"/>
      <w:b/>
      <w:bCs/>
      <w:sz w:val="32"/>
      <w:szCs w:val="32"/>
    </w:rPr>
  </w:style>
  <w:style w:type="paragraph" w:customStyle="1" w:styleId="39">
    <w:name w:val="fulltext_text"/>
    <w:basedOn w:val="1"/>
    <w:qFormat/>
    <w:uiPriority w:val="0"/>
    <w:pPr>
      <w:spacing w:line="525" w:lineRule="atLeast"/>
    </w:pPr>
    <w:rPr>
      <w:rFonts w:ascii="宋体" w:hAnsi="宋体" w:eastAsia="宋体" w:cs="宋体"/>
      <w:sz w:val="24"/>
      <w:szCs w:val="24"/>
    </w:rPr>
  </w:style>
  <w:style w:type="character" w:customStyle="1" w:styleId="40">
    <w:name w:val="c_tiao"/>
    <w:basedOn w:val="17"/>
    <w:qFormat/>
    <w:uiPriority w:val="0"/>
    <w:rPr>
      <w:rFonts w:ascii="宋体" w:hAnsi="宋体" w:eastAsia="宋体" w:cs="宋体"/>
      <w:b/>
      <w:bCs/>
      <w:sz w:val="24"/>
      <w:szCs w:val="24"/>
    </w:rPr>
  </w:style>
  <w:style w:type="paragraph" w:customStyle="1" w:styleId="41">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2">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3">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4">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5">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6">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7">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8">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9">
    <w:name w:val="Body text|3"/>
    <w:basedOn w:val="1"/>
    <w:qFormat/>
    <w:uiPriority w:val="0"/>
    <w:pPr>
      <w:widowControl w:val="0"/>
      <w:shd w:val="clear" w:color="auto" w:fill="auto"/>
      <w:spacing w:line="363" w:lineRule="exact"/>
      <w:ind w:firstLine="140"/>
    </w:pPr>
    <w:rPr>
      <w:u w:val="none"/>
      <w:shd w:val="clear" w:color="auto" w:fill="auto"/>
    </w:rPr>
  </w:style>
  <w:style w:type="character" w:customStyle="1" w:styleId="50">
    <w:name w:val="标题 5 Char"/>
    <w:link w:val="6"/>
    <w:qFormat/>
    <w:uiPriority w:val="9"/>
  </w:style>
  <w:style w:type="character" w:customStyle="1" w:styleId="51">
    <w:name w:val="标题 8 Char"/>
    <w:link w:val="9"/>
    <w:qFormat/>
    <w:uiPriority w:val="9"/>
    <w:rPr>
      <w:rFonts w:ascii="Arial" w:hAnsi="Arial" w:eastAsia="仿宋_GB2312"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microsoft.com/office/2006/relationships/keyMapCustomizations" Target="customizations.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0</Words>
  <Characters>0</Characters>
  <Lines>1</Lines>
  <Paragraphs>1</Paragraphs>
  <TotalTime>12</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2026-06-09T08:26:39Z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C0AC0A95D63744AA92D3E60ADC1DF993_13</vt:lpwstr>
  </property>
  <property fmtid="{D5CDD505-2E9C-101B-9397-08002B2CF9AE}" pid="4" name="KSOTemplateDocerSaveRecord">
    <vt:lpwstr>eyJoZGlkIjoiMjIxMjI5YjhlNTAxYzUyOTYyYWZlMGFjYmE4ZTczY2EiLCJ1c2VySWQiOiIxNDU2NzYxMDUwIn0=</vt:lpwstr>
  </property>
</Properties>
</file>