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0C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pacing w:line="560" w:lineRule="exact"/>
        <w:textAlignment w:val="auto"/>
        <w:outlineLvl w:val="1"/>
        <w:rPr>
          <w:rFonts w:hint="eastAsia" w:ascii="黑体" w:hAnsi="黑体" w:eastAsia="黑体" w:cs="Times New Roman"/>
          <w:sz w:val="32"/>
          <w:szCs w:val="32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14:ligatures w14:val="standardContextual"/>
        </w:rPr>
        <w:t>附件1</w:t>
      </w:r>
    </w:p>
    <w:p w14:paraId="15B24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22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中关村科技园区延庆园管理委员会</w:t>
      </w:r>
    </w:p>
    <w:p w14:paraId="6235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延庆区科技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体育产业高质量发展</w:t>
      </w:r>
    </w:p>
    <w:p w14:paraId="01D3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的若干措施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（试行）</w:t>
      </w:r>
    </w:p>
    <w:p w14:paraId="37F7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2A51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7E85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为深入贯彻落实国家、省、市关于推动体育产业高质量发展的决策部署，充分激发体育市场活力，打造特色体育产业集群，助力建设体育强区，结合本区实际，制定本措施。</w:t>
      </w:r>
    </w:p>
    <w:p w14:paraId="1301251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 政策适用范围。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措施适用于实际经营地在本区（延庆园）、依法纳税且具有独立法人资格，主营业务涵盖体育人工智能、高端体育装备、智慧体育服务、数字智能体育（含电竞、机器人竞速、虚拟体育、体育动漫、体育游戏等）等体育产业领域，近3年无严重失信记录及重大安全事故记录的企业或机构。</w:t>
      </w:r>
    </w:p>
    <w:p w14:paraId="78784E0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 科技体育品牌赛事培育与引进。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社会力量引进或自主培育无人机（含竞速、足球等）、机器人（含竞速、对抗等）、滑雪（含智能竞技、虚拟体验等）、电竞等重点领域科技体育品牌赛事，对未获政府补助的此类赛事按办赛实际投入的30%给予奖励：国际级最高200万元、国家级最高150万元、区域特色赛事最高100万元；其中数字智能体育核心赛事，奖励标准均上浮10%。鼓励赛事运用大数据、人工智能、物联网等新技术优化赛事呈现与办赛效能，开发线上线下融合的智能体育产品和服务。</w:t>
      </w:r>
    </w:p>
    <w:p w14:paraId="74A7B7F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 体育数字化转型支持。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体育场馆数字化升级，实现预约、计费、运营管理全流程智能化。对运用大数据、云计算、人工智能等技术搭建体育服务平台、开发数字体育产品（含体育APP、线上健身课程、虚拟赛事系统等）的企业，按项目实际投入的25%给予最高100万元补贴。</w:t>
      </w:r>
    </w:p>
    <w:p w14:paraId="18BC6E2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 体育企业提质增效。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对首次纳入规模以上统计的体育制造企业，给予20万元一次性奖励；对首次纳入规模以上统计的体育服务企业，给予10万元一次性奖励。</w:t>
      </w:r>
    </w:p>
    <w:p w14:paraId="71334D9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 体育产业示范单位和示范项目奖励。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国家体育总局新认定的国家级体育产业示范单位，给予不超过100万元一次性奖励；对新认定的国家级体育产业示范项目，给予不超过80万元一次性奖励；对北京市体育局新认定的市级体育产业示范单位，给予不超过30万元一次性奖励；对新认定的市级体育产业示范项目，给予不超过20万元一次性奖励。</w:t>
      </w:r>
    </w:p>
    <w:p w14:paraId="2DD3F6B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 体育人才集聚保障。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对竞技体育、赛事运营、体育科研等领域的突出人才，优先推荐申报本区高层次人才计划，享受落户绿色通道、子女入学、医疗保障、住房补贴等政策。</w:t>
      </w:r>
    </w:p>
    <w:p w14:paraId="37CCFE3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 体育装备研发创新支持。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企业开展体育装备研发创新，重点支持运动可穿戴设备、VAR训练系统、数字智能体育相关装备等产品创新研发，构建“数据+技术+应用”的科技体育创新体系。新获批体育类国家级、市级重点实验室或工程技术研究中心的，分别给予100万元、50万元一次性奖励；体育装备研发项目按实际研发投入的20%给予最高80万元补贴，其中数字智能体育装备研发项目补贴上限提高至100万元。</w:t>
      </w:r>
    </w:p>
    <w:p w14:paraId="0F8C258E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 支持科技体育研发成果转化。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与高校院所开展体育科技领域技术合作，通过协议定价、技术市场挂牌交易等市场化方式完成技术交易的，按年度技术交易额的5%给予企业奖励；对年度技术交易额达到500万元及以上的企业，额外给予最高20万元一次性奖励。鼓励企业与高校科研院所建立合作关系，联合组建体育科技领域创新联合体、联合实验室、成果产业化基地等创新载体；对企业与高校院所共建的体育科技类创新载体，每项给予10万元一次性奖励；对经区主管部门审定的校企共建体育科技联合实验室，按建设投入的50%给予最高50万元一次性建设资金补助。</w:t>
      </w:r>
    </w:p>
    <w:p w14:paraId="4448828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 鼓励户外运动产业发展。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社会力量投资建设山地、徒步、露营、冰雪、水上等户外运动基础设施及配套服务体系，对新建或升级改造的户外运动特色营地、体验基地、健身步道等项目，按实际建设投入的30%给予最高100万元一次性补助；培育引进各类品牌户外运动赛事活动，对在延庆区举办的国家级、区域级特色户外运动赛事，分别给予最高50万元、30万元一次性办赛补助；推动户外运动与文旅、体育、乡村振兴深度融合，支持开发户外研学、户外康养等融合产品，对获评市级及以上户外运动融合发展示范项目的，给予最高20万元一次性奖励。</w:t>
      </w:r>
    </w:p>
    <w:p w14:paraId="13B3523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 政策实施原则。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主体同一项目同时符合本区其他同类政策的，按“从优不重复”原则支持；已享受同类政策的不再重复奖励。本措施申报、评审流程由中关村延庆园另行制定实施细则，自印发之日起30日后施行，有效期3年，由中关村延庆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sectPr>
      <w:footerReference r:id="rId3" w:type="default"/>
      <w:pgSz w:w="11905" w:h="16840"/>
      <w:pgMar w:top="2098" w:right="1474" w:bottom="1984" w:left="1587" w:header="72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00F4C-5F14-4B25-976D-2415513C41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9E1A0F-5E4F-4333-92FD-928812D102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8DB356-C26A-4EB8-9440-0FCBCA21F1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2D06B62-F872-445E-986D-5B71C625833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ACC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4893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4893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7AC"/>
    <w:rsid w:val="09A67F36"/>
    <w:rsid w:val="1DD451A2"/>
    <w:rsid w:val="26886044"/>
    <w:rsid w:val="28595C3D"/>
    <w:rsid w:val="2D095F52"/>
    <w:rsid w:val="34130D19"/>
    <w:rsid w:val="3673724A"/>
    <w:rsid w:val="4706042E"/>
    <w:rsid w:val="505250C1"/>
    <w:rsid w:val="5BD4267D"/>
    <w:rsid w:val="5BF26374"/>
    <w:rsid w:val="5FF62857"/>
    <w:rsid w:val="681B35EC"/>
    <w:rsid w:val="6BC826F6"/>
    <w:rsid w:val="6DC769EE"/>
    <w:rsid w:val="6FBC2165"/>
    <w:rsid w:val="71E16991"/>
    <w:rsid w:val="742A2CE6"/>
    <w:rsid w:val="756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49df2103-6f6f-42e2-ab0c-3d67aee04f46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B5D3B72</paraID>
      <start>112</start>
      <end>113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848af-87fc-4f53-82ac-e903e945d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1738</Characters>
  <Lines>0</Lines>
  <Paragraphs>0</Paragraphs>
  <TotalTime>0</TotalTime>
  <ScaleCrop>false</ScaleCrop>
  <LinksUpToDate>false</LinksUpToDate>
  <CharactersWithSpaces>1748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2026-01-05T09:17:00Z</dcterms:created>
  <dc:creator>Administrator</dc:creator>
  <cp:lastModifiedBy>刘春红</cp:lastModifiedBy>
  <cp:lastPrinted>2026-02-09T05:38:00Z</cp:lastPrinted>
  <dcterms:modified xsi:type="dcterms:W3CDTF">2026-06-03T02:54:44Z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eyJoZGlkIjoiZDcxNmM3MTJiMzAyYzFkODliNjUyZDU4ZDVlZmFkNDQiLCJ1c2VySWQiOiI0NDIyMjc1MzUifQ==</vt:lpwstr>
  </property>
  <property fmtid="{D5CDD505-2E9C-101B-9397-08002B2CF9AE}" pid="4" name="ICV">
    <vt:lpwstr>B59A39CE7A0B482EB51F7DDDDC7675AB_13</vt:lpwstr>
  </property>
</Properties>
</file>