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bookmarkStart w:id="44" w:name="_GoBack"/>
      <w:bookmarkEnd w:id="44"/>
    </w:p>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p>
    <w:p>
      <w:pPr>
        <w:adjustRightInd w:val="0"/>
        <w:snapToGrid w:val="0"/>
        <w:spacing w:line="560" w:lineRule="exact"/>
        <w:jc w:val="center"/>
        <w:rPr>
          <w:rFonts w:hint="eastAsia" w:ascii="黑体" w:hAnsi="黑体" w:eastAsia="黑体" w:cs="黑体"/>
          <w:b/>
          <w:bCs/>
          <w:color w:val="000000"/>
          <w:sz w:val="36"/>
          <w:szCs w:val="36"/>
        </w:rPr>
      </w:pPr>
      <w:r>
        <w:rPr>
          <w:rFonts w:hint="eastAsia" w:ascii="黑体" w:hAnsi="黑体" w:eastAsia="黑体" w:cs="黑体"/>
          <w:b/>
          <w:bCs/>
          <w:color w:val="000000"/>
          <w:sz w:val="36"/>
          <w:szCs w:val="36"/>
        </w:rPr>
        <w:t>密云区“十五五”时期中关村密云园高质量发展规划</w:t>
      </w: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adjustRightInd w:val="0"/>
        <w:snapToGrid w:val="0"/>
        <w:spacing w:line="560" w:lineRule="exact"/>
        <w:ind w:firstLine="640" w:firstLineChars="200"/>
        <w:rPr>
          <w:rFonts w:ascii="仿宋_GB2312" w:eastAsia="仿宋_GB2312"/>
          <w:color w:val="000000"/>
          <w:sz w:val="32"/>
          <w:szCs w:val="32"/>
        </w:rPr>
      </w:pPr>
    </w:p>
    <w:p>
      <w:pPr>
        <w:jc w:val="center"/>
        <w:rPr>
          <w:rFonts w:ascii="仿宋_GB2312" w:eastAsia="仿宋_GB2312"/>
          <w:color w:val="000000"/>
          <w:sz w:val="32"/>
          <w:szCs w:val="32"/>
        </w:rPr>
      </w:pPr>
      <w:r>
        <w:rPr>
          <w:rFonts w:hint="eastAsia" w:ascii="仿宋_GB2312" w:eastAsia="仿宋_GB2312"/>
          <w:color w:val="000000"/>
          <w:sz w:val="32"/>
          <w:szCs w:val="32"/>
        </w:rPr>
        <w:t>2026年</w:t>
      </w:r>
      <w:r>
        <w:rPr>
          <w:rFonts w:hint="eastAsia" w:ascii="仿宋_GB2312" w:eastAsia="仿宋_GB2312"/>
          <w:color w:val="000000"/>
          <w:sz w:val="32"/>
          <w:szCs w:val="32"/>
          <w:lang w:val="en-US" w:eastAsia="zh-CN"/>
        </w:rPr>
        <w:t>6</w:t>
      </w:r>
      <w:r>
        <w:rPr>
          <w:rFonts w:hint="eastAsia" w:ascii="仿宋_GB2312" w:eastAsia="仿宋_GB2312"/>
          <w:color w:val="000000"/>
          <w:sz w:val="32"/>
          <w:szCs w:val="32"/>
        </w:rPr>
        <w:t>月</w:t>
      </w:r>
    </w:p>
    <w:p>
      <w:pPr>
        <w:jc w:val="center"/>
        <w:rPr>
          <w:rFonts w:ascii="仿宋_GB2312" w:eastAsia="仿宋_GB2312"/>
          <w:color w:val="000000"/>
          <w:sz w:val="32"/>
          <w:szCs w:val="32"/>
        </w:rPr>
        <w:sectPr>
          <w:headerReference r:id="rId5" w:type="first"/>
          <w:footerReference r:id="rId7" w:type="first"/>
          <w:headerReference r:id="rId4" w:type="default"/>
          <w:footerReference r:id="rId6" w:type="default"/>
          <w:pgSz w:w="11906" w:h="16838"/>
          <w:pgMar w:top="2098" w:right="1474" w:bottom="1984" w:left="1587" w:header="851" w:footer="992" w:gutter="0"/>
          <w:cols w:space="720" w:num="1"/>
          <w:titlePg/>
          <w:docGrid w:type="lines" w:linePitch="312" w:charSpace="0"/>
        </w:sectPr>
      </w:pPr>
    </w:p>
    <w:p>
      <w:pPr>
        <w:adjustRightInd w:val="0"/>
        <w:snapToGrid w:val="0"/>
        <w:spacing w:before="156" w:beforeLines="50" w:after="156" w:afterLines="50" w:line="560" w:lineRule="exact"/>
        <w:jc w:val="center"/>
        <w:textAlignment w:val="center"/>
        <w:rPr>
          <w:rFonts w:hint="eastAsia" w:ascii="黑体" w:hAnsi="黑体" w:eastAsia="黑体" w:cs="黑体"/>
          <w:color w:val="000000"/>
          <w:sz w:val="32"/>
          <w:szCs w:val="32"/>
        </w:rPr>
      </w:pPr>
      <w:r>
        <w:rPr>
          <w:rFonts w:hint="eastAsia" w:ascii="黑体" w:hAnsi="黑体" w:eastAsia="黑体" w:cs="黑体"/>
          <w:color w:val="000000"/>
          <w:sz w:val="32"/>
          <w:szCs w:val="32"/>
        </w:rPr>
        <w:t>前  言</w:t>
      </w:r>
    </w:p>
    <w:p>
      <w:pPr>
        <w:adjustRightInd w:val="0"/>
        <w:snapToGrid w:val="0"/>
        <w:spacing w:line="560" w:lineRule="exact"/>
        <w:ind w:firstLine="640" w:firstLineChars="200"/>
        <w:textAlignment w:val="center"/>
        <w:rPr>
          <w:rFonts w:ascii="仿宋_GB2312" w:eastAsia="仿宋_GB2312"/>
          <w:color w:val="000000"/>
          <w:sz w:val="32"/>
          <w:szCs w:val="32"/>
        </w:rPr>
      </w:pPr>
      <w:r>
        <w:rPr>
          <w:rFonts w:hint="eastAsia" w:ascii="仿宋_GB2312" w:eastAsia="仿宋_GB2312"/>
          <w:color w:val="000000"/>
          <w:sz w:val="32"/>
          <w:szCs w:val="32"/>
        </w:rPr>
        <w:t>“十五五”时期是我国基本实现社会主义现代化夯实基础、全面发力的关键时期，是北京市率先基本实现社会主义现代化的关键时期，是密云区深入落实习近平总书记重要回信嘱托，统筹推进更高水平的保护与发展，奋力开创高质量发展新局面的关键时期，具有承前启后的重要地位，战略机遇和风险挑战并存。</w:t>
      </w:r>
    </w:p>
    <w:p>
      <w:pPr>
        <w:adjustRightInd w:val="0"/>
        <w:snapToGrid w:val="0"/>
        <w:spacing w:line="560" w:lineRule="exact"/>
        <w:ind w:firstLine="640" w:firstLineChars="200"/>
        <w:textAlignment w:val="center"/>
        <w:rPr>
          <w:rFonts w:ascii="仿宋_GB2312" w:eastAsia="仿宋_GB2312"/>
          <w:color w:val="000000"/>
          <w:sz w:val="32"/>
          <w:szCs w:val="32"/>
        </w:rPr>
      </w:pPr>
      <w:r>
        <w:rPr>
          <w:rFonts w:hint="eastAsia" w:ascii="仿宋_GB2312" w:eastAsia="仿宋_GB2312"/>
          <w:color w:val="000000"/>
          <w:sz w:val="32"/>
          <w:szCs w:val="32"/>
        </w:rPr>
        <w:t>中关村密云园（以下简称“密云园”）作为</w:t>
      </w:r>
      <w:r>
        <w:rPr>
          <w:rFonts w:ascii="仿宋_GB2312" w:eastAsia="仿宋_GB2312"/>
          <w:color w:val="000000"/>
          <w:sz w:val="32"/>
          <w:szCs w:val="32"/>
        </w:rPr>
        <w:t>中关村</w:t>
      </w:r>
      <w:r>
        <w:rPr>
          <w:rFonts w:hint="eastAsia" w:ascii="仿宋_GB2312" w:eastAsia="仿宋_GB2312"/>
          <w:color w:val="000000"/>
          <w:sz w:val="32"/>
          <w:szCs w:val="32"/>
        </w:rPr>
        <w:t>国家自主创新示范区（以下简称“中关村”）分园之一，要深入贯彻习近平总书记对中关村加快建设世界领先科技园区的重要指示批示精神，围绕中关村科技创新出发地、原始创新策源地、自主创新主阵地的功能定位，加快培育新质生产力。密云园作为密云区经济主阵地，要深入贯彻区委区政府工作要求，围绕首都最重要的水源保护地及区域生态治理协作区、国家生态文明先行示范区、特色文化旅游休闲及创新发展示范区功能定位，坚持把高质量发展作为第一要务，主动担当作为，拼搏进取，为全区高质量发展注入强劲动力。</w:t>
      </w:r>
    </w:p>
    <w:p>
      <w:pPr>
        <w:adjustRightInd w:val="0"/>
        <w:snapToGrid w:val="0"/>
        <w:spacing w:line="560" w:lineRule="exact"/>
        <w:ind w:firstLine="640" w:firstLineChars="200"/>
        <w:textAlignment w:val="center"/>
        <w:rPr>
          <w:rFonts w:ascii="仿宋_GB2312" w:eastAsia="仿宋_GB2312"/>
          <w:color w:val="000000"/>
          <w:sz w:val="32"/>
          <w:szCs w:val="32"/>
        </w:rPr>
      </w:pPr>
      <w:r>
        <w:rPr>
          <w:rFonts w:hint="eastAsia" w:ascii="仿宋_GB2312" w:eastAsia="仿宋_GB2312"/>
          <w:color w:val="000000"/>
          <w:sz w:val="32"/>
          <w:szCs w:val="32"/>
        </w:rPr>
        <w:t>本规划以习近平新时代中国特色社会主义思想为根本遵循，依据《北京市国民经济和社会发展第十五个五年规划纲要》《北京市密云区国民经济和社会发展第十五个五年规划纲要》编制，与《密云分区规划（国土空间规划）（2017年-2035年）》《</w:t>
      </w:r>
      <w:r>
        <w:rPr>
          <w:rFonts w:ascii="仿宋_GB2312" w:eastAsia="仿宋_GB2312"/>
          <w:color w:val="000000"/>
          <w:sz w:val="32"/>
          <w:szCs w:val="32"/>
        </w:rPr>
        <w:t>“十五五”时期北京怀柔综合性国家科学中心发展规划</w:t>
      </w:r>
      <w:r>
        <w:rPr>
          <w:rFonts w:hint="eastAsia" w:ascii="仿宋_GB2312" w:eastAsia="仿宋_GB2312"/>
          <w:color w:val="000000"/>
          <w:sz w:val="32"/>
          <w:szCs w:val="32"/>
        </w:rPr>
        <w:t>》紧密衔接，明确密云园未来五年高质量发展的思路、目标和任务。规划期限为2026年-2030年。</w:t>
      </w:r>
    </w:p>
    <w:p>
      <w:pPr>
        <w:jc w:val="center"/>
        <w:rPr>
          <w:rFonts w:ascii="仿宋_GB2312" w:eastAsia="仿宋_GB2312"/>
          <w:color w:val="000000"/>
          <w:sz w:val="32"/>
          <w:szCs w:val="32"/>
        </w:rPr>
        <w:sectPr>
          <w:pgSz w:w="11906" w:h="16838"/>
          <w:pgMar w:top="1440" w:right="1800" w:bottom="1440" w:left="1800" w:header="851" w:footer="992" w:gutter="0"/>
          <w:cols w:space="720" w:num="1"/>
          <w:titlePg/>
          <w:docGrid w:type="lines" w:linePitch="312" w:charSpace="0"/>
        </w:sectPr>
      </w:pPr>
    </w:p>
    <w:p>
      <w:pPr>
        <w:spacing w:line="560" w:lineRule="exact"/>
        <w:jc w:val="center"/>
        <w:rPr>
          <w:rFonts w:eastAsia="黑体" w:cs="黑体"/>
          <w:color w:val="000000"/>
          <w:sz w:val="32"/>
          <w:szCs w:val="40"/>
        </w:rPr>
      </w:pPr>
      <w:r>
        <w:rPr>
          <w:rFonts w:hint="eastAsia" w:eastAsia="黑体" w:cs="黑体"/>
          <w:color w:val="000000"/>
          <w:sz w:val="32"/>
          <w:szCs w:val="40"/>
        </w:rPr>
        <w:t>目  录</w:t>
      </w:r>
    </w:p>
    <w:p>
      <w:pPr>
        <w:pStyle w:val="17"/>
        <w:tabs>
          <w:tab w:val="right" w:leader="dot" w:pos="8306"/>
        </w:tabs>
        <w:rPr>
          <w:sz w:val="28"/>
          <w:szCs w:val="36"/>
        </w:rPr>
      </w:pPr>
      <w:r>
        <w:rPr>
          <w:color w:val="000000"/>
          <w:sz w:val="660"/>
          <w:szCs w:val="660"/>
        </w:rPr>
        <w:fldChar w:fldCharType="begin"/>
      </w:r>
      <w:r>
        <w:rPr>
          <w:color w:val="000000"/>
          <w:sz w:val="660"/>
          <w:szCs w:val="660"/>
        </w:rPr>
        <w:instrText xml:space="preserve">TOC \o "1-2" \h \u </w:instrText>
      </w:r>
      <w:r>
        <w:rPr>
          <w:color w:val="000000"/>
          <w:sz w:val="660"/>
          <w:szCs w:val="660"/>
        </w:rPr>
        <w:fldChar w:fldCharType="separate"/>
      </w:r>
      <w:r>
        <w:rPr>
          <w:color w:val="000000"/>
          <w:sz w:val="28"/>
          <w:szCs w:val="660"/>
        </w:rPr>
        <w:fldChar w:fldCharType="begin"/>
      </w:r>
      <w:r>
        <w:rPr>
          <w:sz w:val="28"/>
          <w:szCs w:val="660"/>
        </w:rPr>
        <w:instrText xml:space="preserve"> HYPERLINK \l _Toc14370 </w:instrText>
      </w:r>
      <w:r>
        <w:rPr>
          <w:sz w:val="28"/>
          <w:szCs w:val="660"/>
        </w:rPr>
        <w:fldChar w:fldCharType="separate"/>
      </w:r>
      <w:r>
        <w:rPr>
          <w:rFonts w:hint="eastAsia" w:ascii="黑体" w:hAnsi="黑体" w:eastAsia="黑体" w:cs="黑体"/>
          <w:bCs/>
          <w:sz w:val="28"/>
          <w:szCs w:val="44"/>
        </w:rPr>
        <w:t>一、立足新阶段新使命，打造区域高质量发展核心引擎</w:t>
      </w:r>
      <w:r>
        <w:rPr>
          <w:sz w:val="28"/>
          <w:szCs w:val="36"/>
        </w:rPr>
        <w:tab/>
      </w:r>
      <w:r>
        <w:rPr>
          <w:sz w:val="28"/>
          <w:szCs w:val="36"/>
        </w:rPr>
        <w:fldChar w:fldCharType="begin"/>
      </w:r>
      <w:r>
        <w:rPr>
          <w:sz w:val="28"/>
          <w:szCs w:val="36"/>
        </w:rPr>
        <w:instrText xml:space="preserve"> PAGEREF _Toc14370 \h </w:instrText>
      </w:r>
      <w:r>
        <w:rPr>
          <w:sz w:val="28"/>
          <w:szCs w:val="36"/>
        </w:rPr>
        <w:fldChar w:fldCharType="separate"/>
      </w:r>
      <w:r>
        <w:rPr>
          <w:sz w:val="28"/>
          <w:szCs w:val="36"/>
        </w:rPr>
        <w:t>1</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_Toc30799 </w:instrText>
      </w:r>
      <w:r>
        <w:rPr>
          <w:sz w:val="28"/>
          <w:szCs w:val="660"/>
        </w:rPr>
        <w:fldChar w:fldCharType="separate"/>
      </w:r>
      <w:r>
        <w:rPr>
          <w:rFonts w:hint="eastAsia" w:ascii="楷体_GB2312" w:hAnsi="楷体_GB2312" w:eastAsia="楷体_GB2312" w:cs="楷体_GB2312"/>
          <w:bCs/>
          <w:sz w:val="28"/>
          <w:szCs w:val="44"/>
        </w:rPr>
        <w:t>（一）主要成效</w:t>
      </w:r>
      <w:r>
        <w:rPr>
          <w:sz w:val="28"/>
          <w:szCs w:val="36"/>
        </w:rPr>
        <w:tab/>
      </w:r>
      <w:r>
        <w:rPr>
          <w:sz w:val="28"/>
          <w:szCs w:val="36"/>
        </w:rPr>
        <w:fldChar w:fldCharType="begin"/>
      </w:r>
      <w:r>
        <w:rPr>
          <w:sz w:val="28"/>
          <w:szCs w:val="36"/>
        </w:rPr>
        <w:instrText xml:space="preserve"> PAGEREF _Toc30799 \h </w:instrText>
      </w:r>
      <w:r>
        <w:rPr>
          <w:sz w:val="28"/>
          <w:szCs w:val="36"/>
        </w:rPr>
        <w:fldChar w:fldCharType="separate"/>
      </w:r>
      <w:r>
        <w:rPr>
          <w:sz w:val="28"/>
          <w:szCs w:val="36"/>
        </w:rPr>
        <w:t>1</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_Toc13833 </w:instrText>
      </w:r>
      <w:r>
        <w:rPr>
          <w:sz w:val="28"/>
          <w:szCs w:val="660"/>
        </w:rPr>
        <w:fldChar w:fldCharType="separate"/>
      </w:r>
      <w:r>
        <w:rPr>
          <w:rFonts w:hint="eastAsia" w:ascii="楷体_GB2312" w:hAnsi="楷体_GB2312" w:eastAsia="楷体_GB2312" w:cs="楷体_GB2312"/>
          <w:bCs/>
          <w:sz w:val="28"/>
          <w:szCs w:val="44"/>
        </w:rPr>
        <w:t>（二）机遇挑战</w:t>
      </w:r>
      <w:r>
        <w:rPr>
          <w:sz w:val="28"/>
          <w:szCs w:val="36"/>
        </w:rPr>
        <w:tab/>
      </w:r>
      <w:r>
        <w:rPr>
          <w:sz w:val="28"/>
          <w:szCs w:val="36"/>
        </w:rPr>
        <w:fldChar w:fldCharType="begin"/>
      </w:r>
      <w:r>
        <w:rPr>
          <w:sz w:val="28"/>
          <w:szCs w:val="36"/>
        </w:rPr>
        <w:instrText xml:space="preserve"> PAGEREF _Toc13833 \h </w:instrText>
      </w:r>
      <w:r>
        <w:rPr>
          <w:sz w:val="28"/>
          <w:szCs w:val="36"/>
        </w:rPr>
        <w:fldChar w:fldCharType="separate"/>
      </w:r>
      <w:r>
        <w:rPr>
          <w:sz w:val="28"/>
          <w:szCs w:val="36"/>
        </w:rPr>
        <w:t>3</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_Toc9229 </w:instrText>
      </w:r>
      <w:r>
        <w:rPr>
          <w:sz w:val="28"/>
          <w:szCs w:val="660"/>
        </w:rPr>
        <w:fldChar w:fldCharType="separate"/>
      </w:r>
      <w:r>
        <w:rPr>
          <w:rFonts w:hint="eastAsia" w:ascii="楷体_GB2312" w:hAnsi="楷体_GB2312" w:eastAsia="楷体_GB2312" w:cs="楷体_GB2312"/>
          <w:bCs/>
          <w:sz w:val="28"/>
          <w:szCs w:val="44"/>
        </w:rPr>
        <w:t>（三）总体思路</w:t>
      </w:r>
      <w:r>
        <w:rPr>
          <w:sz w:val="28"/>
          <w:szCs w:val="36"/>
        </w:rPr>
        <w:tab/>
      </w:r>
      <w:r>
        <w:rPr>
          <w:sz w:val="28"/>
          <w:szCs w:val="36"/>
        </w:rPr>
        <w:fldChar w:fldCharType="begin"/>
      </w:r>
      <w:r>
        <w:rPr>
          <w:sz w:val="28"/>
          <w:szCs w:val="36"/>
        </w:rPr>
        <w:instrText xml:space="preserve"> PAGEREF _Toc9229 \h </w:instrText>
      </w:r>
      <w:r>
        <w:rPr>
          <w:sz w:val="28"/>
          <w:szCs w:val="36"/>
        </w:rPr>
        <w:fldChar w:fldCharType="separate"/>
      </w:r>
      <w:r>
        <w:rPr>
          <w:sz w:val="28"/>
          <w:szCs w:val="36"/>
        </w:rPr>
        <w:t>6</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_Toc16030 </w:instrText>
      </w:r>
      <w:r>
        <w:rPr>
          <w:sz w:val="28"/>
          <w:szCs w:val="660"/>
        </w:rPr>
        <w:fldChar w:fldCharType="separate"/>
      </w:r>
      <w:r>
        <w:rPr>
          <w:rFonts w:hint="eastAsia" w:ascii="楷体_GB2312" w:hAnsi="楷体_GB2312" w:eastAsia="楷体_GB2312" w:cs="楷体_GB2312"/>
          <w:bCs/>
          <w:sz w:val="28"/>
          <w:szCs w:val="44"/>
        </w:rPr>
        <w:t>（四）发展目标</w:t>
      </w:r>
      <w:r>
        <w:rPr>
          <w:sz w:val="28"/>
          <w:szCs w:val="36"/>
        </w:rPr>
        <w:tab/>
      </w:r>
      <w:r>
        <w:rPr>
          <w:sz w:val="28"/>
          <w:szCs w:val="36"/>
        </w:rPr>
        <w:fldChar w:fldCharType="begin"/>
      </w:r>
      <w:r>
        <w:rPr>
          <w:sz w:val="28"/>
          <w:szCs w:val="36"/>
        </w:rPr>
        <w:instrText xml:space="preserve"> PAGEREF _Toc16030 \h </w:instrText>
      </w:r>
      <w:r>
        <w:rPr>
          <w:sz w:val="28"/>
          <w:szCs w:val="36"/>
        </w:rPr>
        <w:fldChar w:fldCharType="separate"/>
      </w:r>
      <w:r>
        <w:rPr>
          <w:sz w:val="28"/>
          <w:szCs w:val="36"/>
        </w:rPr>
        <w:t>7</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_Toc29312 </w:instrText>
      </w:r>
      <w:r>
        <w:rPr>
          <w:sz w:val="28"/>
          <w:szCs w:val="660"/>
        </w:rPr>
        <w:fldChar w:fldCharType="separate"/>
      </w:r>
      <w:r>
        <w:rPr>
          <w:rFonts w:hint="eastAsia" w:ascii="黑体" w:hAnsi="黑体" w:eastAsia="黑体" w:cs="黑体"/>
          <w:bCs/>
          <w:sz w:val="28"/>
          <w:szCs w:val="44"/>
        </w:rPr>
        <w:t>二、着力提升创新能力，推动创新链产业链深度融合</w:t>
      </w:r>
      <w:r>
        <w:rPr>
          <w:sz w:val="28"/>
          <w:szCs w:val="36"/>
        </w:rPr>
        <w:tab/>
      </w:r>
      <w:r>
        <w:rPr>
          <w:sz w:val="28"/>
          <w:szCs w:val="36"/>
        </w:rPr>
        <w:fldChar w:fldCharType="begin"/>
      </w:r>
      <w:r>
        <w:rPr>
          <w:sz w:val="28"/>
          <w:szCs w:val="36"/>
        </w:rPr>
        <w:instrText xml:space="preserve"> PAGEREF _Toc29312 \h </w:instrText>
      </w:r>
      <w:r>
        <w:rPr>
          <w:sz w:val="28"/>
          <w:szCs w:val="36"/>
        </w:rPr>
        <w:fldChar w:fldCharType="separate"/>
      </w:r>
      <w:r>
        <w:rPr>
          <w:sz w:val="28"/>
          <w:szCs w:val="36"/>
        </w:rPr>
        <w:t>9</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_Toc30661 </w:instrText>
      </w:r>
      <w:r>
        <w:rPr>
          <w:sz w:val="28"/>
          <w:szCs w:val="660"/>
        </w:rPr>
        <w:fldChar w:fldCharType="separate"/>
      </w:r>
      <w:r>
        <w:rPr>
          <w:rFonts w:hint="eastAsia" w:ascii="楷体_GB2312" w:hAnsi="楷体_GB2312" w:eastAsia="楷体_GB2312" w:cs="楷体_GB2312"/>
          <w:bCs/>
          <w:sz w:val="28"/>
          <w:szCs w:val="44"/>
        </w:rPr>
        <w:t>（一）加快怀柔科学城东区创新策源高地建设</w:t>
      </w:r>
      <w:r>
        <w:rPr>
          <w:sz w:val="28"/>
          <w:szCs w:val="36"/>
        </w:rPr>
        <w:tab/>
      </w:r>
      <w:r>
        <w:rPr>
          <w:sz w:val="28"/>
          <w:szCs w:val="36"/>
        </w:rPr>
        <w:fldChar w:fldCharType="begin"/>
      </w:r>
      <w:r>
        <w:rPr>
          <w:sz w:val="28"/>
          <w:szCs w:val="36"/>
        </w:rPr>
        <w:instrText xml:space="preserve"> PAGEREF _Toc30661 \h </w:instrText>
      </w:r>
      <w:r>
        <w:rPr>
          <w:sz w:val="28"/>
          <w:szCs w:val="36"/>
        </w:rPr>
        <w:fldChar w:fldCharType="separate"/>
      </w:r>
      <w:r>
        <w:rPr>
          <w:sz w:val="28"/>
          <w:szCs w:val="36"/>
        </w:rPr>
        <w:t>9</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_Toc16935 </w:instrText>
      </w:r>
      <w:r>
        <w:rPr>
          <w:sz w:val="28"/>
          <w:szCs w:val="660"/>
        </w:rPr>
        <w:fldChar w:fldCharType="separate"/>
      </w:r>
      <w:r>
        <w:rPr>
          <w:rFonts w:hint="eastAsia" w:ascii="楷体_GB2312" w:hAnsi="楷体_GB2312" w:eastAsia="楷体_GB2312" w:cs="楷体_GB2312"/>
          <w:bCs/>
          <w:sz w:val="28"/>
          <w:szCs w:val="44"/>
        </w:rPr>
        <w:t>（二）进一步强化企业科技创新主体地位</w:t>
      </w:r>
      <w:r>
        <w:rPr>
          <w:sz w:val="28"/>
          <w:szCs w:val="36"/>
        </w:rPr>
        <w:tab/>
      </w:r>
      <w:r>
        <w:rPr>
          <w:sz w:val="28"/>
          <w:szCs w:val="36"/>
        </w:rPr>
        <w:fldChar w:fldCharType="begin"/>
      </w:r>
      <w:r>
        <w:rPr>
          <w:sz w:val="28"/>
          <w:szCs w:val="36"/>
        </w:rPr>
        <w:instrText xml:space="preserve"> PAGEREF _Toc16935 \h </w:instrText>
      </w:r>
      <w:r>
        <w:rPr>
          <w:sz w:val="28"/>
          <w:szCs w:val="36"/>
        </w:rPr>
        <w:fldChar w:fldCharType="separate"/>
      </w:r>
      <w:r>
        <w:rPr>
          <w:sz w:val="28"/>
          <w:szCs w:val="36"/>
        </w:rPr>
        <w:t>10</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_Toc23967 </w:instrText>
      </w:r>
      <w:r>
        <w:rPr>
          <w:sz w:val="28"/>
          <w:szCs w:val="660"/>
        </w:rPr>
        <w:fldChar w:fldCharType="separate"/>
      </w:r>
      <w:r>
        <w:rPr>
          <w:rFonts w:hint="eastAsia" w:ascii="楷体_GB2312" w:hAnsi="楷体_GB2312" w:eastAsia="楷体_GB2312" w:cs="楷体_GB2312"/>
          <w:bCs/>
          <w:sz w:val="28"/>
          <w:szCs w:val="44"/>
        </w:rPr>
        <w:t>（三）加速推动科技创新成果转化落地</w:t>
      </w:r>
      <w:r>
        <w:rPr>
          <w:sz w:val="28"/>
          <w:szCs w:val="36"/>
        </w:rPr>
        <w:tab/>
      </w:r>
      <w:r>
        <w:rPr>
          <w:sz w:val="28"/>
          <w:szCs w:val="36"/>
        </w:rPr>
        <w:fldChar w:fldCharType="begin"/>
      </w:r>
      <w:r>
        <w:rPr>
          <w:sz w:val="28"/>
          <w:szCs w:val="36"/>
        </w:rPr>
        <w:instrText xml:space="preserve"> PAGEREF _Toc23967 \h </w:instrText>
      </w:r>
      <w:r>
        <w:rPr>
          <w:sz w:val="28"/>
          <w:szCs w:val="36"/>
        </w:rPr>
        <w:fldChar w:fldCharType="separate"/>
      </w:r>
      <w:r>
        <w:rPr>
          <w:sz w:val="28"/>
          <w:szCs w:val="36"/>
        </w:rPr>
        <w:t>11</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_Toc16331 </w:instrText>
      </w:r>
      <w:r>
        <w:rPr>
          <w:sz w:val="28"/>
          <w:szCs w:val="660"/>
        </w:rPr>
        <w:fldChar w:fldCharType="separate"/>
      </w:r>
      <w:r>
        <w:rPr>
          <w:rFonts w:hint="eastAsia" w:ascii="黑体" w:hAnsi="黑体" w:eastAsia="黑体" w:cs="黑体"/>
          <w:bCs/>
          <w:sz w:val="28"/>
          <w:szCs w:val="44"/>
        </w:rPr>
        <w:t>三、加快培育新质生产力，构建园区现代化产业集群</w:t>
      </w:r>
      <w:r>
        <w:rPr>
          <w:sz w:val="28"/>
          <w:szCs w:val="36"/>
        </w:rPr>
        <w:tab/>
      </w:r>
      <w:r>
        <w:rPr>
          <w:sz w:val="28"/>
          <w:szCs w:val="36"/>
        </w:rPr>
        <w:fldChar w:fldCharType="begin"/>
      </w:r>
      <w:r>
        <w:rPr>
          <w:sz w:val="28"/>
          <w:szCs w:val="36"/>
        </w:rPr>
        <w:instrText xml:space="preserve"> PAGEREF _Toc16331 \h </w:instrText>
      </w:r>
      <w:r>
        <w:rPr>
          <w:sz w:val="28"/>
          <w:szCs w:val="36"/>
        </w:rPr>
        <w:fldChar w:fldCharType="separate"/>
      </w:r>
      <w:r>
        <w:rPr>
          <w:sz w:val="28"/>
          <w:szCs w:val="36"/>
        </w:rPr>
        <w:t>13</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_Toc20025 </w:instrText>
      </w:r>
      <w:r>
        <w:rPr>
          <w:sz w:val="28"/>
          <w:szCs w:val="660"/>
        </w:rPr>
        <w:fldChar w:fldCharType="separate"/>
      </w:r>
      <w:r>
        <w:rPr>
          <w:rFonts w:hint="eastAsia" w:ascii="楷体_GB2312" w:hAnsi="楷体_GB2312" w:eastAsia="楷体_GB2312" w:cs="楷体_GB2312"/>
          <w:bCs/>
          <w:sz w:val="28"/>
          <w:szCs w:val="44"/>
        </w:rPr>
        <w:t>（一）优化提升新能源智能汽车产业</w:t>
      </w:r>
      <w:r>
        <w:rPr>
          <w:sz w:val="28"/>
          <w:szCs w:val="36"/>
        </w:rPr>
        <w:tab/>
      </w:r>
      <w:r>
        <w:rPr>
          <w:sz w:val="28"/>
          <w:szCs w:val="36"/>
        </w:rPr>
        <w:fldChar w:fldCharType="begin"/>
      </w:r>
      <w:r>
        <w:rPr>
          <w:sz w:val="28"/>
          <w:szCs w:val="36"/>
        </w:rPr>
        <w:instrText xml:space="preserve"> PAGEREF _Toc20025 \h </w:instrText>
      </w:r>
      <w:r>
        <w:rPr>
          <w:sz w:val="28"/>
          <w:szCs w:val="36"/>
        </w:rPr>
        <w:fldChar w:fldCharType="separate"/>
      </w:r>
      <w:r>
        <w:rPr>
          <w:sz w:val="28"/>
          <w:szCs w:val="36"/>
        </w:rPr>
        <w:t>13</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_Toc19467 </w:instrText>
      </w:r>
      <w:r>
        <w:rPr>
          <w:sz w:val="28"/>
          <w:szCs w:val="660"/>
        </w:rPr>
        <w:fldChar w:fldCharType="separate"/>
      </w:r>
      <w:r>
        <w:rPr>
          <w:rFonts w:hint="eastAsia" w:ascii="楷体_GB2312" w:hAnsi="楷体_GB2312" w:eastAsia="楷体_GB2312" w:cs="楷体_GB2312"/>
          <w:bCs/>
          <w:sz w:val="28"/>
          <w:szCs w:val="44"/>
        </w:rPr>
        <w:t>（二）加快打造生命健康产业集群</w:t>
      </w:r>
      <w:r>
        <w:rPr>
          <w:sz w:val="28"/>
          <w:szCs w:val="36"/>
        </w:rPr>
        <w:tab/>
      </w:r>
      <w:r>
        <w:rPr>
          <w:sz w:val="28"/>
          <w:szCs w:val="36"/>
        </w:rPr>
        <w:fldChar w:fldCharType="begin"/>
      </w:r>
      <w:r>
        <w:rPr>
          <w:sz w:val="28"/>
          <w:szCs w:val="36"/>
        </w:rPr>
        <w:instrText xml:space="preserve"> PAGEREF _Toc19467 \h </w:instrText>
      </w:r>
      <w:r>
        <w:rPr>
          <w:sz w:val="28"/>
          <w:szCs w:val="36"/>
        </w:rPr>
        <w:fldChar w:fldCharType="separate"/>
      </w:r>
      <w:r>
        <w:rPr>
          <w:sz w:val="28"/>
          <w:szCs w:val="36"/>
        </w:rPr>
        <w:t>15</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_Toc16241 </w:instrText>
      </w:r>
      <w:r>
        <w:rPr>
          <w:sz w:val="28"/>
          <w:szCs w:val="660"/>
        </w:rPr>
        <w:fldChar w:fldCharType="separate"/>
      </w:r>
      <w:r>
        <w:rPr>
          <w:rFonts w:hint="eastAsia" w:ascii="楷体_GB2312" w:hAnsi="楷体_GB2312" w:eastAsia="楷体_GB2312" w:cs="楷体_GB2312"/>
          <w:bCs/>
          <w:sz w:val="28"/>
          <w:szCs w:val="44"/>
        </w:rPr>
        <w:t>（三）着力培育生态环保特色产业</w:t>
      </w:r>
      <w:r>
        <w:rPr>
          <w:sz w:val="28"/>
          <w:szCs w:val="36"/>
        </w:rPr>
        <w:tab/>
      </w:r>
      <w:r>
        <w:rPr>
          <w:sz w:val="28"/>
          <w:szCs w:val="36"/>
        </w:rPr>
        <w:fldChar w:fldCharType="begin"/>
      </w:r>
      <w:r>
        <w:rPr>
          <w:sz w:val="28"/>
          <w:szCs w:val="36"/>
        </w:rPr>
        <w:instrText xml:space="preserve"> PAGEREF _Toc16241 \h </w:instrText>
      </w:r>
      <w:r>
        <w:rPr>
          <w:sz w:val="28"/>
          <w:szCs w:val="36"/>
        </w:rPr>
        <w:fldChar w:fldCharType="separate"/>
      </w:r>
      <w:r>
        <w:rPr>
          <w:sz w:val="28"/>
          <w:szCs w:val="36"/>
        </w:rPr>
        <w:t>19</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_Toc9759 </w:instrText>
      </w:r>
      <w:r>
        <w:rPr>
          <w:sz w:val="28"/>
          <w:szCs w:val="660"/>
        </w:rPr>
        <w:fldChar w:fldCharType="separate"/>
      </w:r>
      <w:r>
        <w:rPr>
          <w:rFonts w:hint="eastAsia" w:ascii="楷体_GB2312" w:hAnsi="楷体_GB2312" w:eastAsia="楷体_GB2312" w:cs="楷体_GB2312"/>
          <w:bCs/>
          <w:sz w:val="28"/>
          <w:szCs w:val="44"/>
        </w:rPr>
        <w:t>（四）做精做优先进装备特色产业</w:t>
      </w:r>
      <w:r>
        <w:rPr>
          <w:sz w:val="28"/>
          <w:szCs w:val="36"/>
        </w:rPr>
        <w:tab/>
      </w:r>
      <w:r>
        <w:rPr>
          <w:sz w:val="28"/>
          <w:szCs w:val="36"/>
        </w:rPr>
        <w:fldChar w:fldCharType="begin"/>
      </w:r>
      <w:r>
        <w:rPr>
          <w:sz w:val="28"/>
          <w:szCs w:val="36"/>
        </w:rPr>
        <w:instrText xml:space="preserve"> PAGEREF _Toc9759 \h </w:instrText>
      </w:r>
      <w:r>
        <w:rPr>
          <w:sz w:val="28"/>
          <w:szCs w:val="36"/>
        </w:rPr>
        <w:fldChar w:fldCharType="separate"/>
      </w:r>
      <w:r>
        <w:rPr>
          <w:sz w:val="28"/>
          <w:szCs w:val="36"/>
        </w:rPr>
        <w:t>21</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_Toc22824 </w:instrText>
      </w:r>
      <w:r>
        <w:rPr>
          <w:sz w:val="28"/>
          <w:szCs w:val="660"/>
        </w:rPr>
        <w:fldChar w:fldCharType="separate"/>
      </w:r>
      <w:r>
        <w:rPr>
          <w:rFonts w:hint="eastAsia" w:ascii="黑体" w:hAnsi="黑体" w:eastAsia="黑体" w:cs="黑体"/>
          <w:bCs/>
          <w:sz w:val="28"/>
          <w:szCs w:val="44"/>
        </w:rPr>
        <w:t>四、加速集聚优质主体，形成梯度式融通发展格局</w:t>
      </w:r>
      <w:r>
        <w:rPr>
          <w:sz w:val="28"/>
          <w:szCs w:val="36"/>
        </w:rPr>
        <w:tab/>
      </w:r>
      <w:r>
        <w:rPr>
          <w:sz w:val="28"/>
          <w:szCs w:val="36"/>
        </w:rPr>
        <w:fldChar w:fldCharType="begin"/>
      </w:r>
      <w:r>
        <w:rPr>
          <w:sz w:val="28"/>
          <w:szCs w:val="36"/>
        </w:rPr>
        <w:instrText xml:space="preserve"> PAGEREF _Toc22824 \h </w:instrText>
      </w:r>
      <w:r>
        <w:rPr>
          <w:sz w:val="28"/>
          <w:szCs w:val="36"/>
        </w:rPr>
        <w:fldChar w:fldCharType="separate"/>
      </w:r>
      <w:r>
        <w:rPr>
          <w:sz w:val="28"/>
          <w:szCs w:val="36"/>
        </w:rPr>
        <w:t>24</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_Toc19905 </w:instrText>
      </w:r>
      <w:r>
        <w:rPr>
          <w:sz w:val="28"/>
          <w:szCs w:val="660"/>
        </w:rPr>
        <w:fldChar w:fldCharType="separate"/>
      </w:r>
      <w:r>
        <w:rPr>
          <w:rFonts w:hint="eastAsia" w:ascii="楷体_GB2312" w:hAnsi="楷体_GB2312" w:eastAsia="楷体_GB2312" w:cs="楷体_GB2312"/>
          <w:bCs/>
          <w:sz w:val="28"/>
          <w:szCs w:val="44"/>
        </w:rPr>
        <w:t>（一）梯度培育优质创新型企业</w:t>
      </w:r>
      <w:r>
        <w:rPr>
          <w:sz w:val="28"/>
          <w:szCs w:val="36"/>
        </w:rPr>
        <w:tab/>
      </w:r>
      <w:r>
        <w:rPr>
          <w:sz w:val="28"/>
          <w:szCs w:val="36"/>
        </w:rPr>
        <w:fldChar w:fldCharType="begin"/>
      </w:r>
      <w:r>
        <w:rPr>
          <w:sz w:val="28"/>
          <w:szCs w:val="36"/>
        </w:rPr>
        <w:instrText xml:space="preserve"> PAGEREF _Toc19905 \h </w:instrText>
      </w:r>
      <w:r>
        <w:rPr>
          <w:sz w:val="28"/>
          <w:szCs w:val="36"/>
        </w:rPr>
        <w:fldChar w:fldCharType="separate"/>
      </w:r>
      <w:r>
        <w:rPr>
          <w:sz w:val="28"/>
          <w:szCs w:val="36"/>
        </w:rPr>
        <w:t>24</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_Toc15881 </w:instrText>
      </w:r>
      <w:r>
        <w:rPr>
          <w:sz w:val="28"/>
          <w:szCs w:val="660"/>
        </w:rPr>
        <w:fldChar w:fldCharType="separate"/>
      </w:r>
      <w:r>
        <w:rPr>
          <w:rFonts w:hint="eastAsia" w:ascii="楷体_GB2312" w:hAnsi="楷体_GB2312" w:eastAsia="楷体_GB2312" w:cs="楷体_GB2312"/>
          <w:bCs/>
          <w:sz w:val="28"/>
          <w:szCs w:val="44"/>
        </w:rPr>
        <w:t>（二）引导企业智能化绿色化融合化发展</w:t>
      </w:r>
      <w:r>
        <w:rPr>
          <w:sz w:val="28"/>
          <w:szCs w:val="36"/>
        </w:rPr>
        <w:tab/>
      </w:r>
      <w:r>
        <w:rPr>
          <w:sz w:val="28"/>
          <w:szCs w:val="36"/>
        </w:rPr>
        <w:fldChar w:fldCharType="begin"/>
      </w:r>
      <w:r>
        <w:rPr>
          <w:sz w:val="28"/>
          <w:szCs w:val="36"/>
        </w:rPr>
        <w:instrText xml:space="preserve"> PAGEREF _Toc15881 \h </w:instrText>
      </w:r>
      <w:r>
        <w:rPr>
          <w:sz w:val="28"/>
          <w:szCs w:val="36"/>
        </w:rPr>
        <w:fldChar w:fldCharType="separate"/>
      </w:r>
      <w:r>
        <w:rPr>
          <w:sz w:val="28"/>
          <w:szCs w:val="36"/>
        </w:rPr>
        <w:t>25</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_Toc23910 </w:instrText>
      </w:r>
      <w:r>
        <w:rPr>
          <w:sz w:val="28"/>
          <w:szCs w:val="660"/>
        </w:rPr>
        <w:fldChar w:fldCharType="separate"/>
      </w:r>
      <w:r>
        <w:rPr>
          <w:rFonts w:hint="eastAsia" w:ascii="楷体_GB2312" w:hAnsi="楷体_GB2312" w:eastAsia="楷体_GB2312" w:cs="楷体_GB2312"/>
          <w:bCs/>
          <w:sz w:val="28"/>
          <w:szCs w:val="44"/>
        </w:rPr>
        <w:t>（三）促进大中小企业融通发展</w:t>
      </w:r>
      <w:r>
        <w:rPr>
          <w:sz w:val="28"/>
          <w:szCs w:val="36"/>
        </w:rPr>
        <w:tab/>
      </w:r>
      <w:r>
        <w:rPr>
          <w:sz w:val="28"/>
          <w:szCs w:val="36"/>
        </w:rPr>
        <w:fldChar w:fldCharType="begin"/>
      </w:r>
      <w:r>
        <w:rPr>
          <w:sz w:val="28"/>
          <w:szCs w:val="36"/>
        </w:rPr>
        <w:instrText xml:space="preserve"> PAGEREF _Toc23910 \h </w:instrText>
      </w:r>
      <w:r>
        <w:rPr>
          <w:sz w:val="28"/>
          <w:szCs w:val="36"/>
        </w:rPr>
        <w:fldChar w:fldCharType="separate"/>
      </w:r>
      <w:r>
        <w:rPr>
          <w:sz w:val="28"/>
          <w:szCs w:val="36"/>
        </w:rPr>
        <w:t>26</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_Toc24418 </w:instrText>
      </w:r>
      <w:r>
        <w:rPr>
          <w:sz w:val="28"/>
          <w:szCs w:val="660"/>
        </w:rPr>
        <w:fldChar w:fldCharType="separate"/>
      </w:r>
      <w:r>
        <w:rPr>
          <w:rFonts w:hint="eastAsia" w:ascii="楷体_GB2312" w:hAnsi="楷体_GB2312" w:eastAsia="楷体_GB2312" w:cs="楷体_GB2312"/>
          <w:bCs/>
          <w:sz w:val="28"/>
          <w:szCs w:val="44"/>
        </w:rPr>
        <w:t>（四）</w:t>
      </w:r>
      <w:r>
        <w:rPr>
          <w:rFonts w:ascii="楷体_GB2312" w:hAnsi="楷体_GB2312" w:eastAsia="楷体_GB2312" w:cs="楷体_GB2312"/>
          <w:bCs/>
          <w:sz w:val="28"/>
          <w:szCs w:val="44"/>
        </w:rPr>
        <w:t>加强园区中小企业服务体系建设</w:t>
      </w:r>
      <w:r>
        <w:rPr>
          <w:sz w:val="28"/>
          <w:szCs w:val="36"/>
        </w:rPr>
        <w:tab/>
      </w:r>
      <w:r>
        <w:rPr>
          <w:sz w:val="28"/>
          <w:szCs w:val="36"/>
        </w:rPr>
        <w:fldChar w:fldCharType="begin"/>
      </w:r>
      <w:r>
        <w:rPr>
          <w:sz w:val="28"/>
          <w:szCs w:val="36"/>
        </w:rPr>
        <w:instrText xml:space="preserve"> PAGEREF _Toc24418 \h </w:instrText>
      </w:r>
      <w:r>
        <w:rPr>
          <w:sz w:val="28"/>
          <w:szCs w:val="36"/>
        </w:rPr>
        <w:fldChar w:fldCharType="separate"/>
      </w:r>
      <w:r>
        <w:rPr>
          <w:sz w:val="28"/>
          <w:szCs w:val="36"/>
        </w:rPr>
        <w:t>27</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_Toc26407 </w:instrText>
      </w:r>
      <w:r>
        <w:rPr>
          <w:sz w:val="28"/>
          <w:szCs w:val="660"/>
        </w:rPr>
        <w:fldChar w:fldCharType="separate"/>
      </w:r>
      <w:r>
        <w:rPr>
          <w:rFonts w:hint="eastAsia" w:ascii="黑体" w:hAnsi="黑体" w:eastAsia="黑体" w:cs="黑体"/>
          <w:bCs/>
          <w:sz w:val="28"/>
          <w:szCs w:val="44"/>
        </w:rPr>
        <w:t>五、全力打造特色园区，构筑“四区”协同发展格局</w:t>
      </w:r>
      <w:r>
        <w:rPr>
          <w:sz w:val="28"/>
          <w:szCs w:val="36"/>
        </w:rPr>
        <w:tab/>
      </w:r>
      <w:r>
        <w:rPr>
          <w:sz w:val="28"/>
          <w:szCs w:val="36"/>
        </w:rPr>
        <w:fldChar w:fldCharType="begin"/>
      </w:r>
      <w:r>
        <w:rPr>
          <w:sz w:val="28"/>
          <w:szCs w:val="36"/>
        </w:rPr>
        <w:instrText xml:space="preserve"> PAGEREF _Toc26407 \h </w:instrText>
      </w:r>
      <w:r>
        <w:rPr>
          <w:sz w:val="28"/>
          <w:szCs w:val="36"/>
        </w:rPr>
        <w:fldChar w:fldCharType="separate"/>
      </w:r>
      <w:r>
        <w:rPr>
          <w:sz w:val="28"/>
          <w:szCs w:val="36"/>
        </w:rPr>
        <w:t>28</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_Toc23776 </w:instrText>
      </w:r>
      <w:r>
        <w:rPr>
          <w:sz w:val="28"/>
          <w:szCs w:val="660"/>
        </w:rPr>
        <w:fldChar w:fldCharType="separate"/>
      </w:r>
      <w:r>
        <w:rPr>
          <w:rFonts w:hint="eastAsia" w:ascii="楷体_GB2312" w:hAnsi="楷体_GB2312" w:eastAsia="楷体_GB2312" w:cs="楷体_GB2312"/>
          <w:bCs/>
          <w:sz w:val="28"/>
          <w:szCs w:val="44"/>
        </w:rPr>
        <w:t>（一）高端智造区重点打造先进制造业集中承载区</w:t>
      </w:r>
      <w:r>
        <w:rPr>
          <w:sz w:val="28"/>
          <w:szCs w:val="36"/>
        </w:rPr>
        <w:tab/>
      </w:r>
      <w:r>
        <w:rPr>
          <w:sz w:val="28"/>
          <w:szCs w:val="36"/>
        </w:rPr>
        <w:fldChar w:fldCharType="begin"/>
      </w:r>
      <w:r>
        <w:rPr>
          <w:sz w:val="28"/>
          <w:szCs w:val="36"/>
        </w:rPr>
        <w:instrText xml:space="preserve"> PAGEREF _Toc23776 \h </w:instrText>
      </w:r>
      <w:r>
        <w:rPr>
          <w:sz w:val="28"/>
          <w:szCs w:val="36"/>
        </w:rPr>
        <w:fldChar w:fldCharType="separate"/>
      </w:r>
      <w:r>
        <w:rPr>
          <w:sz w:val="28"/>
          <w:szCs w:val="36"/>
        </w:rPr>
        <w:t>28</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_Toc29194 </w:instrText>
      </w:r>
      <w:r>
        <w:rPr>
          <w:sz w:val="28"/>
          <w:szCs w:val="660"/>
        </w:rPr>
        <w:fldChar w:fldCharType="separate"/>
      </w:r>
      <w:r>
        <w:rPr>
          <w:rFonts w:hint="eastAsia" w:ascii="楷体_GB2312" w:hAnsi="楷体_GB2312" w:eastAsia="楷体_GB2312" w:cs="楷体_GB2312"/>
          <w:bCs/>
          <w:sz w:val="28"/>
          <w:szCs w:val="44"/>
        </w:rPr>
        <w:t>（二）科技创新区重点打造研发和成果转化承载区</w:t>
      </w:r>
      <w:r>
        <w:rPr>
          <w:sz w:val="28"/>
          <w:szCs w:val="36"/>
        </w:rPr>
        <w:tab/>
      </w:r>
      <w:r>
        <w:rPr>
          <w:sz w:val="28"/>
          <w:szCs w:val="36"/>
        </w:rPr>
        <w:fldChar w:fldCharType="begin"/>
      </w:r>
      <w:r>
        <w:rPr>
          <w:sz w:val="28"/>
          <w:szCs w:val="36"/>
        </w:rPr>
        <w:instrText xml:space="preserve"> PAGEREF _Toc29194 \h </w:instrText>
      </w:r>
      <w:r>
        <w:rPr>
          <w:sz w:val="28"/>
          <w:szCs w:val="36"/>
        </w:rPr>
        <w:fldChar w:fldCharType="separate"/>
      </w:r>
      <w:r>
        <w:rPr>
          <w:sz w:val="28"/>
          <w:szCs w:val="36"/>
        </w:rPr>
        <w:t>30</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_Toc14138 </w:instrText>
      </w:r>
      <w:r>
        <w:rPr>
          <w:sz w:val="28"/>
          <w:szCs w:val="660"/>
        </w:rPr>
        <w:fldChar w:fldCharType="separate"/>
      </w:r>
      <w:r>
        <w:rPr>
          <w:rFonts w:hint="eastAsia" w:ascii="楷体_GB2312" w:hAnsi="楷体_GB2312" w:eastAsia="楷体_GB2312" w:cs="楷体_GB2312"/>
          <w:bCs/>
          <w:sz w:val="28"/>
          <w:szCs w:val="44"/>
        </w:rPr>
        <w:t>（三）生态商务区重点打造企业总部和现代服务业集聚区</w:t>
      </w:r>
      <w:r>
        <w:rPr>
          <w:sz w:val="28"/>
          <w:szCs w:val="36"/>
        </w:rPr>
        <w:tab/>
      </w:r>
      <w:r>
        <w:rPr>
          <w:sz w:val="28"/>
          <w:szCs w:val="36"/>
        </w:rPr>
        <w:fldChar w:fldCharType="begin"/>
      </w:r>
      <w:r>
        <w:rPr>
          <w:sz w:val="28"/>
          <w:szCs w:val="36"/>
        </w:rPr>
        <w:instrText xml:space="preserve"> PAGEREF _Toc14138 \h </w:instrText>
      </w:r>
      <w:r>
        <w:rPr>
          <w:sz w:val="28"/>
          <w:szCs w:val="36"/>
        </w:rPr>
        <w:fldChar w:fldCharType="separate"/>
      </w:r>
      <w:r>
        <w:rPr>
          <w:sz w:val="28"/>
          <w:szCs w:val="36"/>
        </w:rPr>
        <w:t>31</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_Toc25234 </w:instrText>
      </w:r>
      <w:r>
        <w:rPr>
          <w:sz w:val="28"/>
          <w:szCs w:val="660"/>
        </w:rPr>
        <w:fldChar w:fldCharType="separate"/>
      </w:r>
      <w:r>
        <w:rPr>
          <w:rFonts w:hint="eastAsia" w:ascii="楷体_GB2312" w:hAnsi="楷体_GB2312" w:eastAsia="楷体_GB2312" w:cs="楷体_GB2312"/>
          <w:bCs/>
          <w:sz w:val="28"/>
          <w:szCs w:val="44"/>
        </w:rPr>
        <w:t>（四）推进市级高新区与密云园产业联动发展</w:t>
      </w:r>
      <w:r>
        <w:rPr>
          <w:sz w:val="28"/>
          <w:szCs w:val="36"/>
        </w:rPr>
        <w:tab/>
      </w:r>
      <w:r>
        <w:rPr>
          <w:sz w:val="28"/>
          <w:szCs w:val="36"/>
        </w:rPr>
        <w:fldChar w:fldCharType="begin"/>
      </w:r>
      <w:r>
        <w:rPr>
          <w:sz w:val="28"/>
          <w:szCs w:val="36"/>
        </w:rPr>
        <w:instrText xml:space="preserve"> PAGEREF _Toc25234 \h </w:instrText>
      </w:r>
      <w:r>
        <w:rPr>
          <w:sz w:val="28"/>
          <w:szCs w:val="36"/>
        </w:rPr>
        <w:fldChar w:fldCharType="separate"/>
      </w:r>
      <w:r>
        <w:rPr>
          <w:sz w:val="28"/>
          <w:szCs w:val="36"/>
        </w:rPr>
        <w:t>32</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_Toc5378 </w:instrText>
      </w:r>
      <w:r>
        <w:rPr>
          <w:sz w:val="28"/>
          <w:szCs w:val="660"/>
        </w:rPr>
        <w:fldChar w:fldCharType="separate"/>
      </w:r>
      <w:r>
        <w:rPr>
          <w:rFonts w:hint="eastAsia" w:ascii="黑体" w:hAnsi="黑体" w:eastAsia="黑体" w:cs="黑体"/>
          <w:bCs/>
          <w:sz w:val="28"/>
          <w:szCs w:val="44"/>
        </w:rPr>
        <w:t>六、持续深化机制改革，完善全链条创新创业生态</w:t>
      </w:r>
      <w:r>
        <w:rPr>
          <w:sz w:val="28"/>
          <w:szCs w:val="36"/>
        </w:rPr>
        <w:tab/>
      </w:r>
      <w:r>
        <w:rPr>
          <w:sz w:val="28"/>
          <w:szCs w:val="36"/>
        </w:rPr>
        <w:fldChar w:fldCharType="begin"/>
      </w:r>
      <w:r>
        <w:rPr>
          <w:sz w:val="28"/>
          <w:szCs w:val="36"/>
        </w:rPr>
        <w:instrText xml:space="preserve"> PAGEREF _Toc5378 \h </w:instrText>
      </w:r>
      <w:r>
        <w:rPr>
          <w:sz w:val="28"/>
          <w:szCs w:val="36"/>
        </w:rPr>
        <w:fldChar w:fldCharType="separate"/>
      </w:r>
      <w:r>
        <w:rPr>
          <w:sz w:val="28"/>
          <w:szCs w:val="36"/>
        </w:rPr>
        <w:t>32</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_Toc12472 </w:instrText>
      </w:r>
      <w:r>
        <w:rPr>
          <w:sz w:val="28"/>
          <w:szCs w:val="660"/>
        </w:rPr>
        <w:fldChar w:fldCharType="separate"/>
      </w:r>
      <w:r>
        <w:rPr>
          <w:rFonts w:hint="eastAsia" w:ascii="楷体_GB2312" w:hAnsi="楷体_GB2312" w:eastAsia="楷体_GB2312" w:cs="楷体_GB2312"/>
          <w:bCs/>
          <w:sz w:val="28"/>
          <w:szCs w:val="44"/>
        </w:rPr>
        <w:t>（一）强化改革创新探索</w:t>
      </w:r>
      <w:r>
        <w:rPr>
          <w:sz w:val="28"/>
          <w:szCs w:val="36"/>
        </w:rPr>
        <w:tab/>
      </w:r>
      <w:r>
        <w:rPr>
          <w:sz w:val="28"/>
          <w:szCs w:val="36"/>
        </w:rPr>
        <w:fldChar w:fldCharType="begin"/>
      </w:r>
      <w:r>
        <w:rPr>
          <w:sz w:val="28"/>
          <w:szCs w:val="36"/>
        </w:rPr>
        <w:instrText xml:space="preserve"> PAGEREF _Toc12472 \h </w:instrText>
      </w:r>
      <w:r>
        <w:rPr>
          <w:sz w:val="28"/>
          <w:szCs w:val="36"/>
        </w:rPr>
        <w:fldChar w:fldCharType="separate"/>
      </w:r>
      <w:r>
        <w:rPr>
          <w:sz w:val="28"/>
          <w:szCs w:val="36"/>
        </w:rPr>
        <w:t>32</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_Toc4921 </w:instrText>
      </w:r>
      <w:r>
        <w:rPr>
          <w:sz w:val="28"/>
          <w:szCs w:val="660"/>
        </w:rPr>
        <w:fldChar w:fldCharType="separate"/>
      </w:r>
      <w:r>
        <w:rPr>
          <w:rFonts w:hint="eastAsia" w:ascii="楷体_GB2312" w:hAnsi="楷体_GB2312" w:eastAsia="楷体_GB2312" w:cs="楷体_GB2312"/>
          <w:bCs/>
          <w:sz w:val="28"/>
          <w:szCs w:val="44"/>
        </w:rPr>
        <w:t>（二）健全专业服务体系</w:t>
      </w:r>
      <w:r>
        <w:rPr>
          <w:sz w:val="28"/>
          <w:szCs w:val="36"/>
        </w:rPr>
        <w:tab/>
      </w:r>
      <w:r>
        <w:rPr>
          <w:sz w:val="28"/>
          <w:szCs w:val="36"/>
        </w:rPr>
        <w:fldChar w:fldCharType="begin"/>
      </w:r>
      <w:r>
        <w:rPr>
          <w:sz w:val="28"/>
          <w:szCs w:val="36"/>
        </w:rPr>
        <w:instrText xml:space="preserve"> PAGEREF _Toc4921 \h </w:instrText>
      </w:r>
      <w:r>
        <w:rPr>
          <w:sz w:val="28"/>
          <w:szCs w:val="36"/>
        </w:rPr>
        <w:fldChar w:fldCharType="separate"/>
      </w:r>
      <w:r>
        <w:rPr>
          <w:sz w:val="28"/>
          <w:szCs w:val="36"/>
        </w:rPr>
        <w:t>34</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_Toc7864 </w:instrText>
      </w:r>
      <w:r>
        <w:rPr>
          <w:sz w:val="28"/>
          <w:szCs w:val="660"/>
        </w:rPr>
        <w:fldChar w:fldCharType="separate"/>
      </w:r>
      <w:r>
        <w:rPr>
          <w:rFonts w:hint="eastAsia" w:ascii="楷体_GB2312" w:hAnsi="楷体_GB2312" w:eastAsia="楷体_GB2312" w:cs="楷体_GB2312"/>
          <w:bCs/>
          <w:sz w:val="28"/>
          <w:szCs w:val="44"/>
        </w:rPr>
        <w:t>（三）加强人才队伍建设</w:t>
      </w:r>
      <w:r>
        <w:rPr>
          <w:sz w:val="28"/>
          <w:szCs w:val="36"/>
        </w:rPr>
        <w:tab/>
      </w:r>
      <w:r>
        <w:rPr>
          <w:sz w:val="28"/>
          <w:szCs w:val="36"/>
        </w:rPr>
        <w:fldChar w:fldCharType="begin"/>
      </w:r>
      <w:r>
        <w:rPr>
          <w:sz w:val="28"/>
          <w:szCs w:val="36"/>
        </w:rPr>
        <w:instrText xml:space="preserve"> PAGEREF _Toc7864 \h </w:instrText>
      </w:r>
      <w:r>
        <w:rPr>
          <w:sz w:val="28"/>
          <w:szCs w:val="36"/>
        </w:rPr>
        <w:fldChar w:fldCharType="separate"/>
      </w:r>
      <w:r>
        <w:rPr>
          <w:sz w:val="28"/>
          <w:szCs w:val="36"/>
        </w:rPr>
        <w:t>36</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_Toc10081 </w:instrText>
      </w:r>
      <w:r>
        <w:rPr>
          <w:sz w:val="28"/>
          <w:szCs w:val="660"/>
        </w:rPr>
        <w:fldChar w:fldCharType="separate"/>
      </w:r>
      <w:r>
        <w:rPr>
          <w:rFonts w:hint="eastAsia" w:ascii="楷体_GB2312" w:hAnsi="楷体_GB2312" w:eastAsia="楷体_GB2312" w:cs="楷体_GB2312"/>
          <w:bCs/>
          <w:sz w:val="28"/>
          <w:szCs w:val="44"/>
        </w:rPr>
        <w:t>（四）优化提升营商环境</w:t>
      </w:r>
      <w:r>
        <w:rPr>
          <w:sz w:val="28"/>
          <w:szCs w:val="36"/>
        </w:rPr>
        <w:tab/>
      </w:r>
      <w:r>
        <w:rPr>
          <w:sz w:val="28"/>
          <w:szCs w:val="36"/>
        </w:rPr>
        <w:fldChar w:fldCharType="begin"/>
      </w:r>
      <w:r>
        <w:rPr>
          <w:sz w:val="28"/>
          <w:szCs w:val="36"/>
        </w:rPr>
        <w:instrText xml:space="preserve"> PAGEREF _Toc10081 \h </w:instrText>
      </w:r>
      <w:r>
        <w:rPr>
          <w:sz w:val="28"/>
          <w:szCs w:val="36"/>
        </w:rPr>
        <w:fldChar w:fldCharType="separate"/>
      </w:r>
      <w:r>
        <w:rPr>
          <w:sz w:val="28"/>
          <w:szCs w:val="36"/>
        </w:rPr>
        <w:t>37</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_Toc32612 </w:instrText>
      </w:r>
      <w:r>
        <w:rPr>
          <w:sz w:val="28"/>
          <w:szCs w:val="660"/>
        </w:rPr>
        <w:fldChar w:fldCharType="separate"/>
      </w:r>
      <w:r>
        <w:rPr>
          <w:rFonts w:hint="eastAsia" w:ascii="楷体_GB2312" w:hAnsi="楷体_GB2312" w:eastAsia="楷体_GB2312" w:cs="楷体_GB2312"/>
          <w:bCs/>
          <w:sz w:val="28"/>
          <w:szCs w:val="44"/>
        </w:rPr>
        <w:t>（五）提升宜业宜居品质</w:t>
      </w:r>
      <w:r>
        <w:rPr>
          <w:sz w:val="28"/>
          <w:szCs w:val="36"/>
        </w:rPr>
        <w:tab/>
      </w:r>
      <w:r>
        <w:rPr>
          <w:sz w:val="28"/>
          <w:szCs w:val="36"/>
        </w:rPr>
        <w:fldChar w:fldCharType="begin"/>
      </w:r>
      <w:r>
        <w:rPr>
          <w:sz w:val="28"/>
          <w:szCs w:val="36"/>
        </w:rPr>
        <w:instrText xml:space="preserve"> PAGEREF _Toc32612 \h </w:instrText>
      </w:r>
      <w:r>
        <w:rPr>
          <w:sz w:val="28"/>
          <w:szCs w:val="36"/>
        </w:rPr>
        <w:fldChar w:fldCharType="separate"/>
      </w:r>
      <w:r>
        <w:rPr>
          <w:sz w:val="28"/>
          <w:szCs w:val="36"/>
        </w:rPr>
        <w:t>39</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_Toc1812 </w:instrText>
      </w:r>
      <w:r>
        <w:rPr>
          <w:sz w:val="28"/>
          <w:szCs w:val="660"/>
        </w:rPr>
        <w:fldChar w:fldCharType="separate"/>
      </w:r>
      <w:r>
        <w:rPr>
          <w:rFonts w:hint="eastAsia" w:ascii="黑体" w:hAnsi="黑体" w:eastAsia="黑体" w:cs="黑体"/>
          <w:bCs/>
          <w:sz w:val="28"/>
          <w:szCs w:val="44"/>
        </w:rPr>
        <w:t>七、协同共建区域产业链，推进更高水平开放发展</w:t>
      </w:r>
      <w:r>
        <w:rPr>
          <w:sz w:val="28"/>
          <w:szCs w:val="36"/>
        </w:rPr>
        <w:tab/>
      </w:r>
      <w:r>
        <w:rPr>
          <w:sz w:val="28"/>
          <w:szCs w:val="36"/>
        </w:rPr>
        <w:fldChar w:fldCharType="begin"/>
      </w:r>
      <w:r>
        <w:rPr>
          <w:sz w:val="28"/>
          <w:szCs w:val="36"/>
        </w:rPr>
        <w:instrText xml:space="preserve"> PAGEREF _Toc1812 \h </w:instrText>
      </w:r>
      <w:r>
        <w:rPr>
          <w:sz w:val="28"/>
          <w:szCs w:val="36"/>
        </w:rPr>
        <w:fldChar w:fldCharType="separate"/>
      </w:r>
      <w:r>
        <w:rPr>
          <w:sz w:val="28"/>
          <w:szCs w:val="36"/>
        </w:rPr>
        <w:t>40</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_Toc20430 </w:instrText>
      </w:r>
      <w:r>
        <w:rPr>
          <w:sz w:val="28"/>
          <w:szCs w:val="660"/>
        </w:rPr>
        <w:fldChar w:fldCharType="separate"/>
      </w:r>
      <w:r>
        <w:rPr>
          <w:rFonts w:hint="eastAsia" w:ascii="楷体_GB2312" w:hAnsi="楷体_GB2312" w:eastAsia="楷体_GB2312" w:cs="楷体_GB2312"/>
          <w:bCs/>
          <w:sz w:val="28"/>
          <w:szCs w:val="44"/>
        </w:rPr>
        <w:t>（一）积极承接三大科学城科技成果转化</w:t>
      </w:r>
      <w:r>
        <w:rPr>
          <w:sz w:val="28"/>
          <w:szCs w:val="36"/>
        </w:rPr>
        <w:tab/>
      </w:r>
      <w:r>
        <w:rPr>
          <w:sz w:val="28"/>
          <w:szCs w:val="36"/>
        </w:rPr>
        <w:fldChar w:fldCharType="begin"/>
      </w:r>
      <w:r>
        <w:rPr>
          <w:sz w:val="28"/>
          <w:szCs w:val="36"/>
        </w:rPr>
        <w:instrText xml:space="preserve"> PAGEREF _Toc20430 \h </w:instrText>
      </w:r>
      <w:r>
        <w:rPr>
          <w:sz w:val="28"/>
          <w:szCs w:val="36"/>
        </w:rPr>
        <w:fldChar w:fldCharType="separate"/>
      </w:r>
      <w:r>
        <w:rPr>
          <w:sz w:val="28"/>
          <w:szCs w:val="36"/>
        </w:rPr>
        <w:t>40</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_Toc26992 </w:instrText>
      </w:r>
      <w:r>
        <w:rPr>
          <w:sz w:val="28"/>
          <w:szCs w:val="660"/>
        </w:rPr>
        <w:fldChar w:fldCharType="separate"/>
      </w:r>
      <w:r>
        <w:rPr>
          <w:rFonts w:hint="eastAsia" w:ascii="楷体_GB2312" w:hAnsi="楷体_GB2312" w:eastAsia="楷体_GB2312" w:cs="楷体_GB2312"/>
          <w:bCs/>
          <w:sz w:val="28"/>
          <w:szCs w:val="44"/>
        </w:rPr>
        <w:t>（二）深度参与京津冀产业链群建设</w:t>
      </w:r>
      <w:r>
        <w:rPr>
          <w:sz w:val="28"/>
          <w:szCs w:val="36"/>
        </w:rPr>
        <w:tab/>
      </w:r>
      <w:r>
        <w:rPr>
          <w:sz w:val="28"/>
          <w:szCs w:val="36"/>
        </w:rPr>
        <w:fldChar w:fldCharType="begin"/>
      </w:r>
      <w:r>
        <w:rPr>
          <w:sz w:val="28"/>
          <w:szCs w:val="36"/>
        </w:rPr>
        <w:instrText xml:space="preserve"> PAGEREF _Toc26992 \h </w:instrText>
      </w:r>
      <w:r>
        <w:rPr>
          <w:sz w:val="28"/>
          <w:szCs w:val="36"/>
        </w:rPr>
        <w:fldChar w:fldCharType="separate"/>
      </w:r>
      <w:r>
        <w:rPr>
          <w:sz w:val="28"/>
          <w:szCs w:val="36"/>
        </w:rPr>
        <w:t>41</w:t>
      </w:r>
      <w:r>
        <w:rPr>
          <w:sz w:val="28"/>
          <w:szCs w:val="36"/>
        </w:rPr>
        <w:fldChar w:fldCharType="end"/>
      </w:r>
      <w:r>
        <w:rPr>
          <w:color w:val="000000"/>
          <w:sz w:val="28"/>
          <w:szCs w:val="660"/>
        </w:rPr>
        <w:fldChar w:fldCharType="end"/>
      </w:r>
    </w:p>
    <w:p>
      <w:pPr>
        <w:pStyle w:val="21"/>
        <w:tabs>
          <w:tab w:val="right" w:leader="dot" w:pos="8306"/>
        </w:tabs>
        <w:rPr>
          <w:sz w:val="28"/>
          <w:szCs w:val="36"/>
        </w:rPr>
      </w:pPr>
      <w:r>
        <w:rPr>
          <w:color w:val="000000"/>
          <w:sz w:val="28"/>
          <w:szCs w:val="660"/>
        </w:rPr>
        <w:fldChar w:fldCharType="begin"/>
      </w:r>
      <w:r>
        <w:rPr>
          <w:sz w:val="28"/>
          <w:szCs w:val="660"/>
        </w:rPr>
        <w:instrText xml:space="preserve"> HYPERLINK \l _Toc18317 </w:instrText>
      </w:r>
      <w:r>
        <w:rPr>
          <w:sz w:val="28"/>
          <w:szCs w:val="660"/>
        </w:rPr>
        <w:fldChar w:fldCharType="separate"/>
      </w:r>
      <w:r>
        <w:rPr>
          <w:rFonts w:hint="eastAsia" w:ascii="楷体_GB2312" w:hAnsi="楷体_GB2312" w:eastAsia="楷体_GB2312" w:cs="楷体_GB2312"/>
          <w:bCs/>
          <w:sz w:val="28"/>
          <w:szCs w:val="44"/>
        </w:rPr>
        <w:t>（三）稳步推进国际化开放合作</w:t>
      </w:r>
      <w:r>
        <w:rPr>
          <w:sz w:val="28"/>
          <w:szCs w:val="36"/>
        </w:rPr>
        <w:tab/>
      </w:r>
      <w:r>
        <w:rPr>
          <w:sz w:val="28"/>
          <w:szCs w:val="36"/>
        </w:rPr>
        <w:fldChar w:fldCharType="begin"/>
      </w:r>
      <w:r>
        <w:rPr>
          <w:sz w:val="28"/>
          <w:szCs w:val="36"/>
        </w:rPr>
        <w:instrText xml:space="preserve"> PAGEREF _Toc18317 \h </w:instrText>
      </w:r>
      <w:r>
        <w:rPr>
          <w:sz w:val="28"/>
          <w:szCs w:val="36"/>
        </w:rPr>
        <w:fldChar w:fldCharType="separate"/>
      </w:r>
      <w:r>
        <w:rPr>
          <w:sz w:val="28"/>
          <w:szCs w:val="36"/>
        </w:rPr>
        <w:t>42</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_Toc22748 </w:instrText>
      </w:r>
      <w:r>
        <w:rPr>
          <w:sz w:val="28"/>
          <w:szCs w:val="660"/>
        </w:rPr>
        <w:fldChar w:fldCharType="separate"/>
      </w:r>
      <w:r>
        <w:rPr>
          <w:rFonts w:hint="eastAsia" w:ascii="黑体" w:hAnsi="黑体" w:eastAsia="黑体" w:cs="黑体"/>
          <w:bCs/>
          <w:sz w:val="28"/>
          <w:szCs w:val="44"/>
        </w:rPr>
        <w:t>八、加强规划组织实施，筑牢园区创新发展保障体系</w:t>
      </w:r>
      <w:r>
        <w:rPr>
          <w:sz w:val="28"/>
          <w:szCs w:val="36"/>
        </w:rPr>
        <w:tab/>
      </w:r>
      <w:r>
        <w:rPr>
          <w:sz w:val="28"/>
          <w:szCs w:val="36"/>
        </w:rPr>
        <w:fldChar w:fldCharType="begin"/>
      </w:r>
      <w:r>
        <w:rPr>
          <w:sz w:val="28"/>
          <w:szCs w:val="36"/>
        </w:rPr>
        <w:instrText xml:space="preserve"> PAGEREF _Toc22748 \h </w:instrText>
      </w:r>
      <w:r>
        <w:rPr>
          <w:sz w:val="28"/>
          <w:szCs w:val="36"/>
        </w:rPr>
        <w:fldChar w:fldCharType="separate"/>
      </w:r>
      <w:r>
        <w:rPr>
          <w:sz w:val="28"/>
          <w:szCs w:val="36"/>
        </w:rPr>
        <w:t>43</w:t>
      </w:r>
      <w:r>
        <w:rPr>
          <w:sz w:val="28"/>
          <w:szCs w:val="36"/>
        </w:rPr>
        <w:fldChar w:fldCharType="end"/>
      </w:r>
      <w:r>
        <w:rPr>
          <w:color w:val="000000"/>
          <w:sz w:val="28"/>
          <w:szCs w:val="660"/>
        </w:rPr>
        <w:fldChar w:fldCharType="end"/>
      </w:r>
    </w:p>
    <w:p>
      <w:pPr>
        <w:pStyle w:val="17"/>
        <w:tabs>
          <w:tab w:val="right" w:leader="dot" w:pos="8306"/>
        </w:tabs>
        <w:rPr>
          <w:sz w:val="28"/>
          <w:szCs w:val="36"/>
        </w:rPr>
      </w:pPr>
      <w:r>
        <w:rPr>
          <w:color w:val="000000"/>
          <w:sz w:val="28"/>
          <w:szCs w:val="660"/>
        </w:rPr>
        <w:fldChar w:fldCharType="begin"/>
      </w:r>
      <w:r>
        <w:rPr>
          <w:sz w:val="28"/>
          <w:szCs w:val="660"/>
        </w:rPr>
        <w:instrText xml:space="preserve"> HYPERLINK \l _Toc23533 </w:instrText>
      </w:r>
      <w:r>
        <w:rPr>
          <w:sz w:val="28"/>
          <w:szCs w:val="660"/>
        </w:rPr>
        <w:fldChar w:fldCharType="separate"/>
      </w:r>
      <w:r>
        <w:rPr>
          <w:rFonts w:hint="eastAsia" w:ascii="黑体" w:hAnsi="黑体" w:eastAsia="黑体" w:cs="黑体"/>
          <w:bCs/>
          <w:sz w:val="28"/>
          <w:szCs w:val="44"/>
        </w:rPr>
        <w:t>附件：名词解释</w:t>
      </w:r>
      <w:r>
        <w:rPr>
          <w:sz w:val="28"/>
          <w:szCs w:val="36"/>
        </w:rPr>
        <w:tab/>
      </w:r>
      <w:r>
        <w:rPr>
          <w:sz w:val="28"/>
          <w:szCs w:val="36"/>
        </w:rPr>
        <w:fldChar w:fldCharType="begin"/>
      </w:r>
      <w:r>
        <w:rPr>
          <w:sz w:val="28"/>
          <w:szCs w:val="36"/>
        </w:rPr>
        <w:instrText xml:space="preserve"> PAGEREF _Toc23533 \h </w:instrText>
      </w:r>
      <w:r>
        <w:rPr>
          <w:sz w:val="28"/>
          <w:szCs w:val="36"/>
        </w:rPr>
        <w:fldChar w:fldCharType="separate"/>
      </w:r>
      <w:r>
        <w:rPr>
          <w:sz w:val="28"/>
          <w:szCs w:val="36"/>
        </w:rPr>
        <w:t>45</w:t>
      </w:r>
      <w:r>
        <w:rPr>
          <w:sz w:val="28"/>
          <w:szCs w:val="36"/>
        </w:rPr>
        <w:fldChar w:fldCharType="end"/>
      </w:r>
      <w:r>
        <w:rPr>
          <w:color w:val="000000"/>
          <w:sz w:val="28"/>
          <w:szCs w:val="660"/>
        </w:rPr>
        <w:fldChar w:fldCharType="end"/>
      </w:r>
    </w:p>
    <w:p>
      <w:pPr>
        <w:widowControl w:val="0"/>
        <w:wordWrap/>
        <w:adjustRightInd/>
        <w:snapToGrid/>
        <w:spacing w:line="240" w:lineRule="auto"/>
        <w:textAlignment w:val="auto"/>
        <w:rPr>
          <w:color w:val="000000"/>
          <w:sz w:val="28"/>
          <w:szCs w:val="36"/>
        </w:rPr>
      </w:pPr>
      <w:r>
        <w:rPr>
          <w:color w:val="000000"/>
          <w:sz w:val="28"/>
          <w:szCs w:val="660"/>
        </w:rPr>
        <w:fldChar w:fldCharType="end"/>
      </w:r>
    </w:p>
    <w:p>
      <w:pPr>
        <w:rPr>
          <w:rFonts w:ascii="仿宋_GB2312" w:eastAsia="仿宋_GB2312"/>
          <w:color w:val="000000"/>
          <w:sz w:val="32"/>
          <w:szCs w:val="32"/>
        </w:rPr>
      </w:pPr>
      <w:r>
        <w:rPr>
          <w:rFonts w:ascii="仿宋_GB2312" w:eastAsia="仿宋_GB2312"/>
          <w:color w:val="000000"/>
          <w:sz w:val="32"/>
          <w:szCs w:val="32"/>
        </w:rPr>
        <w:br w:type="page"/>
      </w:r>
    </w:p>
    <w:p>
      <w:pPr>
        <w:adjustRightInd w:val="0"/>
        <w:snapToGrid w:val="0"/>
        <w:spacing w:line="560" w:lineRule="exact"/>
        <w:ind w:firstLine="640" w:firstLineChars="200"/>
        <w:rPr>
          <w:rFonts w:ascii="仿宋_GB2312" w:eastAsia="仿宋_GB2312"/>
          <w:color w:val="000000"/>
          <w:sz w:val="32"/>
          <w:szCs w:val="32"/>
        </w:rPr>
        <w:sectPr>
          <w:footerReference r:id="rId9" w:type="first"/>
          <w:footerReference r:id="rId8" w:type="default"/>
          <w:pgSz w:w="11906" w:h="16838"/>
          <w:pgMar w:top="1440" w:right="1800" w:bottom="1440" w:left="1800" w:header="851" w:footer="992" w:gutter="0"/>
          <w:pgNumType w:start="1"/>
          <w:cols w:space="720" w:num="1"/>
          <w:docGrid w:type="lines" w:linePitch="312" w:charSpace="0"/>
        </w:sectPr>
      </w:pPr>
    </w:p>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0" w:name="_Toc14370"/>
      <w:r>
        <w:rPr>
          <w:rFonts w:hint="eastAsia" w:ascii="黑体" w:hAnsi="黑体" w:eastAsia="黑体" w:cs="黑体"/>
          <w:b w:val="0"/>
          <w:bCs w:val="0"/>
          <w:color w:val="000000"/>
          <w:sz w:val="32"/>
          <w:szCs w:val="32"/>
        </w:rPr>
        <w:t>一、立足新阶段新使命，打造区域高质量发展核心引擎</w:t>
      </w:r>
      <w:bookmarkEnd w:id="0"/>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 w:name="_Toc30799"/>
      <w:r>
        <w:rPr>
          <w:rFonts w:hint="eastAsia" w:ascii="楷体_GB2312" w:hAnsi="楷体_GB2312" w:eastAsia="楷体_GB2312" w:cs="楷体_GB2312"/>
          <w:b w:val="0"/>
          <w:bCs w:val="0"/>
          <w:color w:val="000000"/>
          <w:sz w:val="32"/>
          <w:szCs w:val="32"/>
        </w:rPr>
        <w:t>（一）主要成效</w:t>
      </w:r>
      <w:bookmarkEnd w:id="1"/>
    </w:p>
    <w:p>
      <w:pPr>
        <w:adjustRightInd w:val="0"/>
        <w:snapToGrid w:val="0"/>
        <w:spacing w:line="560" w:lineRule="exact"/>
        <w:ind w:firstLine="640" w:firstLineChars="200"/>
        <w:textAlignment w:val="center"/>
        <w:rPr>
          <w:rFonts w:ascii="仿宋_GB2312" w:eastAsia="仿宋_GB2312"/>
          <w:color w:val="000000"/>
          <w:sz w:val="32"/>
          <w:szCs w:val="32"/>
        </w:rPr>
      </w:pPr>
      <w:r>
        <w:rPr>
          <w:rFonts w:hint="eastAsia" w:ascii="仿宋_GB2312" w:eastAsia="仿宋_GB2312"/>
          <w:color w:val="000000"/>
          <w:sz w:val="32"/>
          <w:szCs w:val="32"/>
        </w:rPr>
        <w:t>“十四五”时期是密云园夯实产业发展基础的重要时期，密云园以特色空间载体建设为抓手，以管理体制</w:t>
      </w:r>
      <w:r>
        <w:rPr>
          <w:rFonts w:ascii="仿宋_GB2312" w:eastAsia="仿宋_GB2312"/>
          <w:color w:val="000000"/>
          <w:sz w:val="32"/>
          <w:szCs w:val="32"/>
        </w:rPr>
        <w:t>机制</w:t>
      </w:r>
      <w:r>
        <w:rPr>
          <w:rFonts w:hint="eastAsia" w:ascii="仿宋_GB2312" w:eastAsia="仿宋_GB2312"/>
          <w:color w:val="000000"/>
          <w:sz w:val="32"/>
          <w:szCs w:val="32"/>
        </w:rPr>
        <w:t>改革为保障，育产业、聚资源、优环境，在产业发展和园区建设方面取得积极成效。</w:t>
      </w:r>
    </w:p>
    <w:p>
      <w:pPr>
        <w:adjustRightInd w:val="0"/>
        <w:snapToGrid w:val="0"/>
        <w:spacing w:line="560" w:lineRule="exact"/>
        <w:ind w:firstLine="643" w:firstLineChars="200"/>
        <w:textAlignment w:val="center"/>
        <w:rPr>
          <w:rFonts w:ascii="仿宋_GB2312" w:eastAsia="仿宋_GB2312"/>
          <w:color w:val="000000"/>
          <w:sz w:val="32"/>
          <w:szCs w:val="32"/>
          <w:highlight w:val="yellow"/>
        </w:rPr>
      </w:pPr>
      <w:r>
        <w:rPr>
          <w:rFonts w:hint="eastAsia" w:ascii="仿宋_GB2312" w:eastAsia="仿宋_GB2312"/>
          <w:b/>
          <w:bCs/>
          <w:color w:val="000000"/>
          <w:sz w:val="32"/>
          <w:szCs w:val="32"/>
        </w:rPr>
        <w:t>园区经济发展稳健向好。</w:t>
      </w:r>
      <w:r>
        <w:rPr>
          <w:rFonts w:hint="eastAsia" w:ascii="仿宋_GB2312" w:eastAsia="仿宋_GB2312"/>
          <w:color w:val="000000"/>
          <w:sz w:val="32"/>
          <w:szCs w:val="32"/>
        </w:rPr>
        <w:t>“十四五”时期，园区总收入呈现波动式增长态势，其中2024年</w:t>
      </w:r>
      <w:r>
        <w:rPr>
          <w:rStyle w:val="32"/>
          <w:rFonts w:hint="eastAsia" w:ascii="仿宋_GB2312" w:eastAsia="仿宋_GB2312"/>
          <w:color w:val="000000"/>
          <w:sz w:val="32"/>
          <w:szCs w:val="32"/>
        </w:rPr>
        <w:footnoteReference w:id="0"/>
      </w:r>
      <w:r>
        <w:rPr>
          <w:rFonts w:hint="eastAsia" w:ascii="仿宋_GB2312" w:eastAsia="仿宋_GB2312"/>
          <w:color w:val="000000"/>
          <w:sz w:val="32"/>
          <w:szCs w:val="32"/>
        </w:rPr>
        <w:t>实现总收入550.6亿元，较2020年增长43.3%。实体经济对全区经济支撑作用显著，202</w:t>
      </w: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t>年园区规模以上工业总产值达</w:t>
      </w:r>
      <w:r>
        <w:rPr>
          <w:rFonts w:hint="eastAsia" w:ascii="仿宋_GB2312" w:eastAsia="仿宋_GB2312"/>
          <w:color w:val="000000"/>
          <w:sz w:val="32"/>
          <w:szCs w:val="32"/>
          <w:lang w:val="en-US" w:eastAsia="zh-CN"/>
        </w:rPr>
        <w:t>271.3</w:t>
      </w:r>
      <w:r>
        <w:rPr>
          <w:rFonts w:hint="eastAsia" w:ascii="仿宋_GB2312" w:eastAsia="仿宋_GB2312"/>
          <w:color w:val="000000"/>
          <w:sz w:val="32"/>
          <w:szCs w:val="32"/>
        </w:rPr>
        <w:t>亿元，占全区规模以上工业总产值比重由2020年的71.4%提升至</w:t>
      </w:r>
      <w:r>
        <w:rPr>
          <w:rFonts w:hint="eastAsia" w:ascii="仿宋_GB2312" w:eastAsia="仿宋_GB2312"/>
          <w:color w:val="000000"/>
          <w:sz w:val="32"/>
          <w:szCs w:val="32"/>
          <w:lang w:val="en-US" w:eastAsia="zh-CN"/>
        </w:rPr>
        <w:t>86.8</w:t>
      </w:r>
      <w:r>
        <w:rPr>
          <w:rFonts w:ascii="仿宋_GB2312" w:eastAsia="仿宋_GB2312"/>
          <w:color w:val="000000"/>
          <w:sz w:val="32"/>
          <w:szCs w:val="32"/>
        </w:rPr>
        <w:t>%</w:t>
      </w:r>
      <w:r>
        <w:rPr>
          <w:rFonts w:hint="eastAsia" w:ascii="仿宋_GB2312" w:eastAsia="仿宋_GB2312"/>
          <w:color w:val="000000"/>
          <w:sz w:val="32"/>
          <w:szCs w:val="32"/>
        </w:rPr>
        <w:t>。企业发展质效稳步提升，2024年园区企业实现利润总额</w:t>
      </w:r>
      <w:r>
        <w:rPr>
          <w:rFonts w:ascii="仿宋_GB2312" w:eastAsia="仿宋_GB2312"/>
          <w:color w:val="000000"/>
          <w:sz w:val="32"/>
          <w:szCs w:val="32"/>
        </w:rPr>
        <w:t>49.7</w:t>
      </w:r>
      <w:r>
        <w:rPr>
          <w:rFonts w:hint="eastAsia" w:ascii="仿宋_GB2312" w:eastAsia="仿宋_GB2312"/>
          <w:color w:val="000000"/>
          <w:sz w:val="32"/>
          <w:szCs w:val="32"/>
        </w:rPr>
        <w:t>亿元，营业收入利润率</w:t>
      </w:r>
      <w:r>
        <w:rPr>
          <w:rFonts w:ascii="仿宋_GB2312" w:eastAsia="仿宋_GB2312"/>
          <w:color w:val="000000"/>
          <w:sz w:val="32"/>
          <w:szCs w:val="32"/>
        </w:rPr>
        <w:t>9%</w:t>
      </w:r>
      <w:r>
        <w:rPr>
          <w:rFonts w:hint="eastAsia" w:ascii="仿宋_GB2312" w:eastAsia="仿宋_GB2312"/>
          <w:color w:val="000000"/>
          <w:sz w:val="32"/>
          <w:szCs w:val="32"/>
        </w:rPr>
        <w:t>，较2020年均实现大幅提升；人均产出能力显著增强，2024年园区企业人均营业收入达</w:t>
      </w:r>
      <w:r>
        <w:rPr>
          <w:rFonts w:ascii="仿宋_GB2312" w:eastAsia="仿宋_GB2312"/>
          <w:color w:val="000000"/>
          <w:sz w:val="32"/>
          <w:szCs w:val="32"/>
        </w:rPr>
        <w:t>203.4</w:t>
      </w:r>
      <w:r>
        <w:rPr>
          <w:rFonts w:hint="eastAsia" w:ascii="仿宋_GB2312" w:eastAsia="仿宋_GB2312"/>
          <w:color w:val="000000"/>
          <w:sz w:val="32"/>
          <w:szCs w:val="32"/>
        </w:rPr>
        <w:t>万元/人，较2020年增长62%。</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bCs/>
          <w:color w:val="000000"/>
          <w:sz w:val="32"/>
          <w:szCs w:val="32"/>
        </w:rPr>
        <w:t>主导产业培育取得积极成效。</w:t>
      </w:r>
      <w:r>
        <w:rPr>
          <w:rFonts w:hint="eastAsia" w:ascii="仿宋_GB2312" w:eastAsia="仿宋_GB2312"/>
          <w:color w:val="000000"/>
          <w:sz w:val="32"/>
          <w:szCs w:val="32"/>
        </w:rPr>
        <w:t>新能源智能汽车产业提档升级，以北汽新能源享界超级工厂为龙头，已集聚新能源汽车及零部件企业20余家，初步搭建起“整车制造引领、核心部件配套、技术协同创新”的产业生态，汽车制造业产值突破百亿元。生命健康产业蓬勃发展，集聚了复星北铃、康辰药业、北陆药业等一批重点企业，其中包括2家上市企业、3家G20工程企业以及6家市级研发实验室，产业规模不断壮大。先进装备产业取得新突破，已初步形成安全检测、精密机床、智慧电力产业等多个细分领域特色集群，中关村密云园测控装备产业集群成功入选市级、国家级中小企业特色产业集群。生态环保产业加速培育，国家水生态环境智慧监测业务与实验平台已实现开工建设，举办中国科学院C类战略性先导科技专项交流会，为生态环保产业发展搭建院、地、企三方共同参与的协作发展平台。</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bCs/>
          <w:color w:val="000000"/>
          <w:sz w:val="32"/>
          <w:szCs w:val="32"/>
        </w:rPr>
        <w:t>创新主体平台加快集聚。</w:t>
      </w:r>
      <w:r>
        <w:rPr>
          <w:rFonts w:hint="eastAsia" w:ascii="仿宋_GB2312" w:eastAsia="仿宋_GB2312"/>
          <w:color w:val="000000"/>
          <w:sz w:val="32"/>
          <w:szCs w:val="32"/>
        </w:rPr>
        <w:t>高能级创新载体加速集聚，怀柔科学城东区“1+5”科学设施已全部建成运行，其中地球系统数值模拟装置科技成果入选“中国十大气象科技进展”；京津冀大气环境与物理化学前沿交叉研究平台等4个科教基础设施和空地一体化环境感知与智能响应研究平台1个院市共建交叉研究平台项目均已进入科研状态；石油领域全球领先的高温超高压环境模拟试验系统投入使用；怀柔科学城东区科研院所累计斩获6项国家级科技奖励。优质企业群体逐步壮大，园区已集聚企业6000余家，其中上市企业5家、独角兽企业3家，均居生态涵养区首位；国家高新技术企业276家；市级专精特新企业113家，其中国家级“小巨人”12家。</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bCs/>
          <w:color w:val="000000"/>
          <w:sz w:val="32"/>
          <w:szCs w:val="32"/>
        </w:rPr>
        <w:t>特色</w:t>
      </w:r>
      <w:r>
        <w:rPr>
          <w:rFonts w:ascii="仿宋_GB2312" w:eastAsia="仿宋_GB2312"/>
          <w:b/>
          <w:bCs/>
          <w:color w:val="000000"/>
          <w:sz w:val="32"/>
          <w:szCs w:val="32"/>
        </w:rPr>
        <w:t>空间</w:t>
      </w:r>
      <w:r>
        <w:rPr>
          <w:rFonts w:hint="eastAsia" w:ascii="仿宋_GB2312" w:eastAsia="仿宋_GB2312"/>
          <w:b/>
          <w:bCs/>
          <w:color w:val="000000"/>
          <w:sz w:val="32"/>
          <w:szCs w:val="32"/>
        </w:rPr>
        <w:t>载体初步建成</w:t>
      </w:r>
      <w:r>
        <w:rPr>
          <w:rFonts w:ascii="仿宋_GB2312" w:eastAsia="仿宋_GB2312"/>
          <w:b/>
          <w:bCs/>
          <w:color w:val="000000"/>
          <w:sz w:val="32"/>
          <w:szCs w:val="32"/>
        </w:rPr>
        <w:t>。</w:t>
      </w:r>
      <w:r>
        <w:rPr>
          <w:rFonts w:hint="eastAsia" w:ascii="仿宋_GB2312" w:eastAsia="仿宋_GB2312"/>
          <w:color w:val="000000"/>
          <w:sz w:val="32"/>
          <w:szCs w:val="32"/>
        </w:rPr>
        <w:t>怀柔科学城东区建设提速，已列入国家服务业扩大开放综合示范区重点园区，形成国家高新区、国家服务业扩大开放综合示范区政策制度创新叠加优势；一批在建重大项目有序推进，北京大学怀密医学中心一期启动区项目全部启动，北京大学口腔医院国家医学中心项目确定选址。中关村（密云）生命健康服务产业园获批“中关村特色园”，已入驻企业66家，拥有北京以岭生物高活抗肿瘤制剂研发中小试及商业一体化概念验证平台，以及海王中新化药领域片剂颗粒胶囊CDMO平台。朝密双创中心揭牌落地，为中医药企业提供企业孵化、中药新药处方遴选、中药院内制剂成果转化等服务。</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bCs/>
          <w:color w:val="000000"/>
          <w:sz w:val="32"/>
          <w:szCs w:val="32"/>
        </w:rPr>
        <w:t>园区发展环境进一步优化。</w:t>
      </w:r>
      <w:r>
        <w:rPr>
          <w:rFonts w:hint="eastAsia" w:ascii="仿宋_GB2312" w:eastAsia="仿宋_GB2312"/>
          <w:color w:val="000000"/>
          <w:sz w:val="32"/>
          <w:szCs w:val="32"/>
        </w:rPr>
        <w:t>园区体制机制改革向纵深推进，内部制度体系持续完善，平台公司运营管理机制进一步优化，全面推动平台公司二级公司整合重组与业务板块调整。企业服务质效显著提升，实施高新技术企业提质增量计划、专精特新中小企业培育提升行动，推动专精特新服务站建设，与中发展集团共建密云-中关村集成服务专班，积极与市级八支基金、中关村银行等投融资机构对接，专业服务功能进一步拓展。政策支持与宣传力度不断加大，持续强化科技成果转化、专精特新奖励、人才引育等多维度政策支持，开展“高精尖产业发展资金”等有关政策宣讲活动。积极搭建一批产业交流平台，举办中关村国际前沿科技大赛等一批重大活动，成立医疗器械产业联盟、中医药产业联盟等协会组织。</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 w:name="_Toc13833"/>
      <w:r>
        <w:rPr>
          <w:rFonts w:hint="eastAsia" w:ascii="楷体_GB2312" w:hAnsi="楷体_GB2312" w:eastAsia="楷体_GB2312" w:cs="楷体_GB2312"/>
          <w:b w:val="0"/>
          <w:bCs w:val="0"/>
          <w:color w:val="000000"/>
          <w:sz w:val="32"/>
          <w:szCs w:val="32"/>
        </w:rPr>
        <w:t>（二）机遇挑战</w:t>
      </w:r>
      <w:bookmarkEnd w:id="2"/>
    </w:p>
    <w:p>
      <w:pPr>
        <w:pStyle w:val="12"/>
        <w:spacing w:after="0" w:line="560" w:lineRule="exact"/>
        <w:ind w:firstLine="643" w:firstLineChars="200"/>
        <w:textAlignment w:val="center"/>
        <w:rPr>
          <w:rFonts w:eastAsia="仿宋_GB2312"/>
          <w:color w:val="000000"/>
          <w:sz w:val="32"/>
          <w:szCs w:val="32"/>
          <w:highlight w:val="yellow"/>
        </w:rPr>
      </w:pPr>
      <w:r>
        <w:rPr>
          <w:rFonts w:hint="eastAsia" w:ascii="仿宋_GB2312" w:eastAsia="仿宋_GB2312"/>
          <w:b/>
          <w:bCs/>
          <w:color w:val="000000"/>
          <w:sz w:val="32"/>
          <w:szCs w:val="32"/>
        </w:rPr>
        <w:t>全球新一轮科技革命和产业变革加速演进带来新机遇。</w:t>
      </w:r>
      <w:r>
        <w:rPr>
          <w:rFonts w:hint="eastAsia" w:ascii="仿宋_GB2312" w:eastAsia="仿宋_GB2312"/>
          <w:color w:val="000000"/>
          <w:sz w:val="32"/>
          <w:szCs w:val="32"/>
        </w:rPr>
        <w:t>随着新一轮科技革命和产业变革深入发展，全球科技创新进入空前密集活跃期，人工智能、量子技术、生物技术等前沿技术实现集群式爆发，引发产业链、创新链的链式变革。推动科技创新和产业创新深度融合是准确把握新一轮科技革命和产业变革趋势、抢占发展制高点的必然选择。我国正深入实施“人工智能+”行动，加快推进人工智能技术在制造业中融合应用，培育新质生产力。</w:t>
      </w:r>
      <w:r>
        <w:rPr>
          <w:rFonts w:hint="eastAsia" w:eastAsia="仿宋_GB2312"/>
          <w:color w:val="000000"/>
          <w:sz w:val="32"/>
          <w:szCs w:val="32"/>
        </w:rPr>
        <w:t>“十五五”时期是密云园加快布局新能源智能汽车、生命健康、生态环保、先进装备等产业的关键窗口期，要紧抓国家“人工智能+制造”专项行动实施机遇，推进科技成果转化项目落地，及时加强科技创新成果应用，为加快培育壮大战略性新兴产业、前瞻布局未来产业注入强劲动能。</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bCs/>
          <w:color w:val="000000"/>
          <w:sz w:val="32"/>
          <w:szCs w:val="32"/>
        </w:rPr>
        <w:t>京津冀协同发展战略深入实施拓展新空间。</w:t>
      </w:r>
      <w:r>
        <w:rPr>
          <w:rFonts w:hint="eastAsia" w:ascii="仿宋_GB2312" w:eastAsia="仿宋_GB2312"/>
          <w:color w:val="000000"/>
          <w:sz w:val="32"/>
          <w:szCs w:val="32"/>
        </w:rPr>
        <w:t>京津冀是中国式现代化建设的先行区、示范区，是引领全国高质量发展三大重要动力源之一，三地将以北京（京津冀）国际科技创新中心建设为引领，继续做大做强“六链五群”，深入推进京津冀协同创新和产业协作。怀柔科学城是京津、京雄走廊的起点和交汇点，是北京（京津冀）国际科技创新中心“三城一区”主平台之一，</w:t>
      </w:r>
      <w:r>
        <w:rPr>
          <w:rFonts w:ascii="仿宋_GB2312" w:eastAsia="仿宋_GB2312"/>
          <w:color w:val="000000"/>
          <w:sz w:val="32"/>
          <w:szCs w:val="32"/>
        </w:rPr>
        <w:t>区位优势与科创优势叠加凸显</w:t>
      </w:r>
      <w:r>
        <w:rPr>
          <w:rFonts w:hint="eastAsia" w:ascii="仿宋_GB2312" w:eastAsia="仿宋_GB2312"/>
          <w:color w:val="000000"/>
          <w:sz w:val="32"/>
          <w:szCs w:val="32"/>
        </w:rPr>
        <w:t>，为密云园依托怀柔科学城东区建设契机，积极承接京津冀相关重大产业化项目和高能级产业平台带来机遇。同时，三地将持续推进京津冀生态环境协同治理，为密云园生态环保企业参与京津冀重点流域协同保护、跨区域污染防控防治与协同治理等关键核心技术联合攻关和应用场景建设带来更多机遇。</w:t>
      </w:r>
    </w:p>
    <w:p>
      <w:pPr>
        <w:pStyle w:val="12"/>
        <w:spacing w:after="0"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eastAsia="仿宋_GB2312"/>
          <w:b/>
          <w:bCs/>
          <w:color w:val="000000"/>
          <w:sz w:val="32"/>
          <w:szCs w:val="32"/>
        </w:rPr>
        <w:t>中关村世界领先科技园区建设赋予新使命。</w:t>
      </w:r>
      <w:r>
        <w:rPr>
          <w:rFonts w:hint="eastAsia" w:ascii="仿宋_GB2312" w:eastAsia="仿宋_GB2312"/>
          <w:color w:val="000000"/>
          <w:sz w:val="32"/>
          <w:szCs w:val="32"/>
        </w:rPr>
        <w:t>中关村建设世界领先科技园区是服务国家战略和首都发展大局的使命担当，也是面向未来高质量发展的必然选择，要以推动高质量发展为主题，以先行先试改革为动力，不断塑造发展新动能新优势</w:t>
      </w:r>
      <w:r>
        <w:rPr>
          <w:rFonts w:hint="eastAsia" w:ascii="仿宋_GB2312" w:hAnsi="仿宋_GB2312" w:eastAsia="仿宋_GB2312" w:cs="仿宋_GB2312"/>
          <w:bCs/>
          <w:color w:val="000000"/>
          <w:sz w:val="32"/>
          <w:szCs w:val="32"/>
        </w:rPr>
        <w:t>。密云园作为中关村分园之一，要</w:t>
      </w:r>
      <w:r>
        <w:rPr>
          <w:rFonts w:ascii="仿宋_GB2312" w:hAnsi="仿宋_GB2312" w:eastAsia="仿宋_GB2312" w:cs="仿宋_GB2312"/>
          <w:bCs/>
          <w:color w:val="000000"/>
          <w:sz w:val="32"/>
          <w:szCs w:val="32"/>
        </w:rPr>
        <w:t>锚定中关村建设世界领先科技园区目标主动担当、积极作为</w:t>
      </w:r>
      <w:r>
        <w:rPr>
          <w:rFonts w:hint="eastAsia" w:ascii="仿宋_GB2312" w:hAnsi="仿宋_GB2312" w:eastAsia="仿宋_GB2312" w:cs="仿宋_GB2312"/>
          <w:bCs/>
          <w:color w:val="000000"/>
          <w:sz w:val="32"/>
          <w:szCs w:val="32"/>
        </w:rPr>
        <w:t>，按照中关村世界领先科技园区建设规划九大任务部署，充分借势怀柔科学城东区创新资源优势，以更高站位谋篇布局、更宽视野推动发展，全力服务首都发展大局。</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eastAsia="仿宋_GB2312"/>
          <w:b/>
          <w:bCs/>
          <w:color w:val="000000"/>
          <w:sz w:val="32"/>
          <w:szCs w:val="32"/>
        </w:rPr>
        <w:t>践行“两山”理念以高水平保护推动高质量发展。</w:t>
      </w:r>
      <w:r>
        <w:rPr>
          <w:rFonts w:hint="eastAsia" w:ascii="仿宋_GB2312" w:eastAsia="仿宋_GB2312"/>
          <w:color w:val="000000"/>
          <w:sz w:val="32"/>
          <w:szCs w:val="32"/>
        </w:rPr>
        <w:t>党的二十届四中全会强调加快经济社会发展全面绿色转型，建设美丽中国，要牢固树立和践行绿水青山就是金山银山的理念，以碳达峰碳中和为牵引，协同推进降碳、减污、扩绿、增长，筑牢生态安全屏障，增强绿色发展动能。北京市将以实施碳排放总量和强度双控制度为抓手，深入推进美丽北京和国际绿色经济标杆城市建设。密云区落实市委要求，争当“三好生”、全力打造新时代首都生态文明建设金名片、打造“两山”理论样板区，必须以高水平保护推动高质量发展。“十五五”时期，密云园要</w:t>
      </w:r>
      <w:r>
        <w:rPr>
          <w:rFonts w:hint="eastAsia" w:ascii="仿宋_GB2312" w:hAnsi="仿宋_GB2312" w:eastAsia="仿宋_GB2312" w:cs="仿宋_GB2312"/>
          <w:color w:val="000000"/>
          <w:sz w:val="32"/>
          <w:szCs w:val="32"/>
        </w:rPr>
        <w:t>深入实施“以水润城、以水兴业、以水富民”发展战略，</w:t>
      </w:r>
      <w:r>
        <w:rPr>
          <w:rFonts w:ascii="仿宋_GB2312" w:hAnsi="仿宋_GB2312" w:eastAsia="仿宋_GB2312" w:cs="仿宋_GB2312"/>
          <w:color w:val="000000"/>
          <w:sz w:val="32"/>
          <w:szCs w:val="32"/>
        </w:rPr>
        <w:t>立足区域禀赋因地制宜培育新质生产力，</w:t>
      </w:r>
      <w:r>
        <w:rPr>
          <w:rFonts w:hint="eastAsia" w:ascii="仿宋_GB2312" w:hAnsi="仿宋_GB2312" w:eastAsia="仿宋_GB2312" w:cs="仿宋_GB2312"/>
          <w:color w:val="000000"/>
          <w:sz w:val="32"/>
          <w:szCs w:val="32"/>
        </w:rPr>
        <w:t>以战略性新兴产业为重点建设绿色园区，</w:t>
      </w:r>
      <w:r>
        <w:rPr>
          <w:rFonts w:ascii="仿宋_GB2312" w:hAnsi="仿宋_GB2312" w:eastAsia="仿宋_GB2312" w:cs="仿宋_GB2312"/>
          <w:color w:val="000000"/>
          <w:sz w:val="32"/>
          <w:szCs w:val="32"/>
        </w:rPr>
        <w:t>带动全区加快绿色低碳技术创新攻关与先进绿色技术推广应用</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Cs/>
          <w:color w:val="000000"/>
          <w:sz w:val="32"/>
          <w:szCs w:val="32"/>
        </w:rPr>
        <w:t>有效支撑全区生态优势向发展优势转化。</w:t>
      </w:r>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eastAsia="仿宋_GB2312"/>
          <w:color w:val="000000"/>
          <w:sz w:val="32"/>
          <w:szCs w:val="32"/>
        </w:rPr>
        <w:t>但是，我们也要清醒认识到，“十五五”时期我国发展环境面临深刻复杂变化，</w:t>
      </w:r>
      <w:r>
        <w:rPr>
          <w:rFonts w:hint="eastAsia" w:ascii="仿宋_GB2312" w:hAnsi="仿宋_GB2312" w:eastAsia="仿宋_GB2312" w:cs="仿宋_GB2312"/>
          <w:color w:val="000000"/>
          <w:kern w:val="0"/>
          <w:sz w:val="32"/>
          <w:szCs w:val="32"/>
        </w:rPr>
        <w:t>处于战略机遇和风险挑战并存、不确定难预料因素增多的时期，新旧动能转换任务艰巨，因地制宜发展新质生产力面临各地对战略性新兴产业和人才资源的</w:t>
      </w:r>
      <w:r>
        <w:rPr>
          <w:rFonts w:hint="eastAsia" w:ascii="仿宋_GB2312" w:hAnsi="仿宋_GB2312" w:eastAsia="仿宋_GB2312" w:cs="仿宋_GB2312"/>
          <w:color w:val="000000"/>
          <w:sz w:val="32"/>
          <w:szCs w:val="32"/>
        </w:rPr>
        <w:t>激烈竞争，对密云园创新发展带来挑战。从密云园自身发展来看，</w:t>
      </w:r>
      <w:r>
        <w:rPr>
          <w:rFonts w:hint="eastAsia" w:ascii="仿宋_GB2312" w:hAnsi="仿宋_GB2312" w:eastAsia="仿宋_GB2312" w:cs="仿宋_GB2312"/>
          <w:b/>
          <w:bCs/>
          <w:color w:val="000000"/>
          <w:sz w:val="32"/>
          <w:szCs w:val="32"/>
        </w:rPr>
        <w:t>产业结构优化升级压力仍较大</w:t>
      </w:r>
      <w:r>
        <w:rPr>
          <w:rFonts w:hint="eastAsia" w:ascii="仿宋_GB2312" w:hAnsi="仿宋_GB2312" w:eastAsia="仿宋_GB2312" w:cs="仿宋_GB2312"/>
          <w:color w:val="000000"/>
          <w:sz w:val="32"/>
          <w:szCs w:val="32"/>
        </w:rPr>
        <w:t>，</w:t>
      </w:r>
      <w:r>
        <w:rPr>
          <w:rFonts w:hint="eastAsia" w:ascii="仿宋_GB2312" w:eastAsia="仿宋_GB2312"/>
          <w:color w:val="000000"/>
          <w:sz w:val="32"/>
          <w:szCs w:val="32"/>
        </w:rPr>
        <w:t>建筑业、批发和零售业等产业仍占据主导地位，新能源智能汽车、生命健康、先进装备产业对园区经济支撑作用有待提升，生态环保产业尚处于培育期；</w:t>
      </w:r>
      <w:r>
        <w:rPr>
          <w:rFonts w:hint="eastAsia" w:ascii="仿宋_GB2312" w:hAnsi="仿宋_GB2312" w:eastAsia="仿宋_GB2312" w:cs="仿宋_GB2312"/>
          <w:b/>
          <w:bCs/>
          <w:color w:val="000000"/>
          <w:sz w:val="32"/>
          <w:szCs w:val="32"/>
        </w:rPr>
        <w:t>园区整体创新效能有待提升</w:t>
      </w:r>
      <w:r>
        <w:rPr>
          <w:rFonts w:hint="eastAsia" w:ascii="仿宋_GB2312" w:hAnsi="仿宋_GB2312" w:eastAsia="仿宋_GB2312" w:cs="仿宋_GB2312"/>
          <w:color w:val="000000"/>
          <w:sz w:val="32"/>
          <w:szCs w:val="32"/>
        </w:rPr>
        <w:t>，高能级企业创新平台较少，园区企业创新投入产出水平相对不高，高层次人才较为缺乏，创新主体间尚未形成协同联动；</w:t>
      </w:r>
      <w:r>
        <w:rPr>
          <w:rFonts w:hint="eastAsia" w:ascii="仿宋_GB2312" w:eastAsia="仿宋_GB2312"/>
          <w:b/>
          <w:bCs/>
          <w:color w:val="000000"/>
          <w:sz w:val="32"/>
          <w:szCs w:val="32"/>
        </w:rPr>
        <w:t>企业梯队建设有待进一步加强</w:t>
      </w:r>
      <w:r>
        <w:rPr>
          <w:rFonts w:hint="eastAsia" w:ascii="仿宋_GB2312" w:eastAsia="仿宋_GB2312"/>
          <w:color w:val="000000"/>
          <w:sz w:val="32"/>
          <w:szCs w:val="32"/>
        </w:rPr>
        <w:t>，缺乏具有区域竞争力和行业影响力的大型头部企业，国高新等“腰部企业”力量不够坚实，科技型中小企业等优质潜力型企业储备不足；</w:t>
      </w:r>
      <w:r>
        <w:rPr>
          <w:rFonts w:hint="eastAsia" w:ascii="仿宋_GB2312" w:eastAsia="仿宋_GB2312"/>
          <w:b/>
          <w:bCs/>
          <w:color w:val="000000"/>
          <w:sz w:val="32"/>
          <w:szCs w:val="32"/>
        </w:rPr>
        <w:t>开放创新生态体系亟待优化完善</w:t>
      </w:r>
      <w:r>
        <w:rPr>
          <w:rFonts w:hint="eastAsia" w:ascii="仿宋_GB2312" w:eastAsia="仿宋_GB2312"/>
          <w:color w:val="000000"/>
          <w:sz w:val="32"/>
          <w:szCs w:val="32"/>
        </w:rPr>
        <w:t>，全链条专业化服务体系仍不健全，科技金融服务能力不强，园区管理体制机制和政策体系仍需完善。</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 w:name="_Toc9229"/>
      <w:r>
        <w:rPr>
          <w:rFonts w:hint="eastAsia" w:ascii="楷体_GB2312" w:hAnsi="楷体_GB2312" w:eastAsia="楷体_GB2312" w:cs="楷体_GB2312"/>
          <w:b w:val="0"/>
          <w:bCs w:val="0"/>
          <w:color w:val="000000"/>
          <w:sz w:val="32"/>
          <w:szCs w:val="32"/>
        </w:rPr>
        <w:t>（三）总体思路</w:t>
      </w:r>
      <w:bookmarkEnd w:id="3"/>
    </w:p>
    <w:p>
      <w:pPr>
        <w:widowControl w:val="0"/>
        <w:wordWrap/>
        <w:autoSpaceDE w:val="0"/>
        <w:autoSpaceDN w:val="0"/>
        <w:adjustRightInd/>
        <w:snapToGrid/>
        <w:spacing w:line="560" w:lineRule="exact"/>
        <w:ind w:firstLine="640" w:firstLineChars="200"/>
        <w:textAlignment w:val="center"/>
        <w:rPr>
          <w:rFonts w:hint="default"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1.指导思想</w:t>
      </w:r>
    </w:p>
    <w:p>
      <w:pPr>
        <w:autoSpaceDE w:val="0"/>
        <w:autoSpaceDN w:val="0"/>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rPr>
        <w:t>坚持马克思列宁主义、毛泽东思想、邓小平理论、“三个代表”重要思想、科学发展观，全面贯彻习近平新时代中国特色社会主义思想，深入贯彻党的二十大和二十届历次全会精神，</w:t>
      </w:r>
      <w:r>
        <w:rPr>
          <w:rFonts w:hint="eastAsia" w:ascii="仿宋_GB2312" w:hAnsi="仿宋_GB2312" w:eastAsia="仿宋_GB2312" w:cs="仿宋_GB2312"/>
          <w:color w:val="000000"/>
          <w:sz w:val="32"/>
          <w:szCs w:val="32"/>
        </w:rPr>
        <w:t>深入贯彻习近平总书记对中关村世界领先科技园区建设的指示要求和给建设和守护密云水库的乡亲们的重要回信精神，认真落实市委市政府工作要求，聚焦密云区“三区”功能定位，深入实施“以水润城、以水兴业、以水富民”发展战略，坚持以服务中关村世界领先科技园区建设为统领，以体制机制改革为动力，以创新创业生态建设为基石，巩固壮大新能源智能汽车和生命健康两大主导产业，加快培育生态环保和先进装备两大特色产业，推进密云园优存量、扩增量、提能级，深度参与京津冀产业链</w:t>
      </w:r>
      <w:r>
        <w:rPr>
          <w:rFonts w:hint="eastAsia" w:ascii="仿宋_GB2312" w:hAnsi="仿宋_GB2312" w:eastAsia="仿宋_GB2312" w:cs="仿宋_GB2312"/>
          <w:color w:val="000000"/>
          <w:sz w:val="32"/>
          <w:szCs w:val="32"/>
          <w:lang w:val="en-US" w:eastAsia="zh-CN"/>
        </w:rPr>
        <w:t>和产业集群</w:t>
      </w:r>
      <w:r>
        <w:rPr>
          <w:rFonts w:hint="eastAsia" w:ascii="仿宋_GB2312" w:hAnsi="仿宋_GB2312" w:eastAsia="仿宋_GB2312" w:cs="仿宋_GB2312"/>
          <w:color w:val="000000"/>
          <w:sz w:val="32"/>
          <w:szCs w:val="32"/>
        </w:rPr>
        <w:t>建设，把密云园打造为密云区新质生产力发展集聚高地、经济高质量发展核心引擎。</w:t>
      </w:r>
    </w:p>
    <w:p>
      <w:pPr>
        <w:widowControl w:val="0"/>
        <w:wordWrap/>
        <w:autoSpaceDE w:val="0"/>
        <w:autoSpaceDN w:val="0"/>
        <w:adjustRightInd/>
        <w:snapToGrid/>
        <w:spacing w:line="560" w:lineRule="exact"/>
        <w:ind w:firstLine="640" w:firstLineChars="200"/>
        <w:textAlignment w:val="center"/>
        <w:rPr>
          <w:rFonts w:hint="default"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2.基本原则</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平台牵引，资源集聚。</w:t>
      </w:r>
      <w:r>
        <w:rPr>
          <w:rFonts w:hint="eastAsia" w:ascii="仿宋_GB2312" w:hAnsi="仿宋_GB2312" w:eastAsia="仿宋_GB2312" w:cs="仿宋_GB2312"/>
          <w:color w:val="000000"/>
          <w:sz w:val="32"/>
          <w:szCs w:val="32"/>
        </w:rPr>
        <w:t>围绕创新链、产业链、资金链、人才链，搭建各类创新平台、产业平台、服务平台，以平台为牵引，吸引创新资源和产业资源要素向园区集聚，做大园区经济规模总量。</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创新驱动，新质培育。</w:t>
      </w:r>
      <w:r>
        <w:rPr>
          <w:rFonts w:hint="eastAsia" w:ascii="仿宋_GB2312" w:hAnsi="仿宋_GB2312" w:eastAsia="仿宋_GB2312" w:cs="仿宋_GB2312"/>
          <w:color w:val="000000"/>
          <w:sz w:val="32"/>
          <w:szCs w:val="32"/>
        </w:rPr>
        <w:t>聚焦“2+2”产业，以科技创新引领产业创新，充分释放重大创新平台载体效能，夯实企业科技创新主体地位，深化产学研协同合作，推动产业链大中小企业融通创新，培育壮大新质生产力，着力构筑园区高质量发展的核心引擎。</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改革赋能，生态优化。</w:t>
      </w:r>
      <w:r>
        <w:rPr>
          <w:rFonts w:hint="eastAsia" w:ascii="仿宋_GB2312" w:hAnsi="仿宋_GB2312" w:eastAsia="仿宋_GB2312" w:cs="仿宋_GB2312"/>
          <w:color w:val="000000"/>
          <w:sz w:val="32"/>
          <w:szCs w:val="32"/>
        </w:rPr>
        <w:t>坚持需求导向，围绕企业全生命周期服务需求，深化园区管理体制机制改革，建立园区科技金融服务体系，构建园区科技服务专业矩阵，完善园区全链条创新创业生态。</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完善服务，园城融合。</w:t>
      </w:r>
      <w:r>
        <w:rPr>
          <w:rFonts w:hint="eastAsia" w:ascii="仿宋_GB2312" w:hAnsi="仿宋_GB2312" w:eastAsia="仿宋_GB2312" w:cs="仿宋_GB2312"/>
          <w:color w:val="000000"/>
          <w:sz w:val="32"/>
          <w:szCs w:val="32"/>
        </w:rPr>
        <w:t>强化规划引领，统筹园区各片区服务功能布局，持续完善园区基础设施和配套公共服务设施，科学布局园区服务站，以产兴城、以城聚人、以人促城，促进形成园城融合的高质量发展新格局。</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4" w:name="_Toc16030"/>
      <w:r>
        <w:rPr>
          <w:rFonts w:hint="eastAsia" w:ascii="楷体_GB2312" w:hAnsi="楷体_GB2312" w:eastAsia="楷体_GB2312" w:cs="楷体_GB2312"/>
          <w:b w:val="0"/>
          <w:bCs w:val="0"/>
          <w:color w:val="000000"/>
          <w:sz w:val="32"/>
          <w:szCs w:val="32"/>
        </w:rPr>
        <w:t>（四）发展目标</w:t>
      </w:r>
      <w:bookmarkEnd w:id="4"/>
    </w:p>
    <w:p>
      <w:pPr>
        <w:autoSpaceDE w:val="0"/>
        <w:autoSpaceDN w:val="0"/>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到2030年，园区综合经济实力和科技创新能力明显提升，产业规模总量显著增长，创新创业生态及配套设施环境显著改善，对密云区科技创新和经济增长贡献显著提升。</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——综合经济实力显著提升。</w:t>
      </w:r>
      <w:r>
        <w:rPr>
          <w:rFonts w:ascii="仿宋_GB2312" w:hAnsi="仿宋_GB2312" w:eastAsia="仿宋_GB2312" w:cs="仿宋_GB2312"/>
          <w:color w:val="000000"/>
          <w:sz w:val="32"/>
          <w:szCs w:val="32"/>
        </w:rPr>
        <w:t>在中关村分园创新发展综合评价中的位势</w:t>
      </w:r>
      <w:r>
        <w:rPr>
          <w:rFonts w:hint="eastAsia" w:ascii="仿宋_GB2312" w:hAnsi="仿宋_GB2312" w:eastAsia="仿宋_GB2312" w:cs="仿宋_GB2312"/>
          <w:color w:val="000000"/>
          <w:sz w:val="32"/>
          <w:szCs w:val="32"/>
        </w:rPr>
        <w:t>实现提升，对全区经济增长的核心引擎作用更加凸显。到2030年，园区总收入突破800亿元。</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——产业集群规模持续壮大。</w:t>
      </w:r>
      <w:r>
        <w:rPr>
          <w:rFonts w:hint="eastAsia" w:ascii="仿宋_GB2312" w:hAnsi="仿宋_GB2312" w:eastAsia="仿宋_GB2312" w:cs="仿宋_GB2312"/>
          <w:color w:val="000000"/>
          <w:sz w:val="32"/>
          <w:szCs w:val="32"/>
        </w:rPr>
        <w:t>园区高技术产业收入占比进一步提升，新能源智能汽车、生命健康两大主导产业集群实现跃升，生态环保、先进装备两大特色产业集群规模稳步提升，新增1-2个细分领域的中小企业特色产业集群。</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——梯度式企业格局基本成型。</w:t>
      </w:r>
      <w:r>
        <w:rPr>
          <w:rFonts w:hint="eastAsia" w:ascii="仿宋_GB2312" w:hAnsi="仿宋_GB2312" w:eastAsia="仿宋_GB2312" w:cs="仿宋_GB2312"/>
          <w:color w:val="000000"/>
          <w:sz w:val="32"/>
          <w:szCs w:val="32"/>
        </w:rPr>
        <w:t>龙头企业引育取得新突破，十亿级以上企业超过16家，国高新企业保有量达到350家、专精特新企业数量达到150家。</w:t>
      </w:r>
    </w:p>
    <w:p>
      <w:pPr>
        <w:autoSpaceDE w:val="0"/>
        <w:autoSpaceDN w:val="0"/>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——创新创业环境显著改善。</w:t>
      </w:r>
      <w:r>
        <w:rPr>
          <w:rFonts w:hint="eastAsia" w:ascii="仿宋_GB2312" w:hAnsi="仿宋_GB2312" w:eastAsia="仿宋_GB2312" w:cs="仿宋_GB2312"/>
          <w:color w:val="000000"/>
          <w:sz w:val="32"/>
          <w:szCs w:val="32"/>
        </w:rPr>
        <w:t>科技创新平台建设取得新成效，市级孵化器实现零的突破，科技金融服务能力显著增强，园区管理体制机制和政策体系进一步完善。</w:t>
      </w:r>
    </w:p>
    <w:p>
      <w:pPr>
        <w:jc w:val="center"/>
        <w:textAlignment w:val="center"/>
        <w:rPr>
          <w:rFonts w:hint="eastAsia" w:ascii="黑体" w:hAnsi="黑体" w:eastAsia="黑体" w:cs="黑体"/>
          <w:color w:val="000000"/>
          <w:sz w:val="28"/>
          <w:szCs w:val="28"/>
        </w:rPr>
      </w:pPr>
      <w:r>
        <w:rPr>
          <w:rFonts w:hint="eastAsia" w:eastAsia="黑体"/>
          <w:color w:val="000000"/>
          <w:sz w:val="28"/>
          <w:szCs w:val="28"/>
        </w:rPr>
        <w:t>表1-1</w:t>
      </w:r>
      <w:r>
        <w:rPr>
          <w:rFonts w:eastAsia="黑体"/>
          <w:color w:val="000000"/>
          <w:sz w:val="28"/>
          <w:szCs w:val="28"/>
        </w:rPr>
        <w:t xml:space="preserve">  </w:t>
      </w:r>
      <w:r>
        <w:rPr>
          <w:rFonts w:hint="eastAsia" w:eastAsia="黑体"/>
          <w:color w:val="000000"/>
          <w:sz w:val="28"/>
          <w:szCs w:val="28"/>
        </w:rPr>
        <w:t>“十五五”时期密云园高质量发展主要指标</w:t>
      </w:r>
      <w:r>
        <w:rPr>
          <w:rStyle w:val="32"/>
          <w:rFonts w:hint="eastAsia" w:eastAsia="黑体"/>
          <w:color w:val="000000"/>
          <w:sz w:val="28"/>
          <w:szCs w:val="28"/>
        </w:rPr>
        <w:footnoteReference w:id="1"/>
      </w:r>
    </w:p>
    <w:tbl>
      <w:tblPr>
        <w:tblStyle w:val="27"/>
        <w:tblW w:w="8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700"/>
        <w:gridCol w:w="1070"/>
        <w:gridCol w:w="2182"/>
        <w:gridCol w:w="121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序号</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指标名称</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单位</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十四五预计完成情况</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2030年</w:t>
            </w:r>
          </w:p>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目标</w:t>
            </w:r>
          </w:p>
        </w:tc>
        <w:tc>
          <w:tcPr>
            <w:tcW w:w="1050" w:type="dxa"/>
            <w:vAlign w:val="center"/>
          </w:tcPr>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指标</w:t>
            </w:r>
          </w:p>
          <w:p>
            <w:pPr>
              <w:jc w:val="center"/>
              <w:textAlignment w:val="center"/>
              <w:rPr>
                <w:rFonts w:hint="eastAsia" w:ascii="宋体" w:hAnsi="宋体" w:eastAsia="宋体"/>
                <w:b/>
                <w:bCs/>
                <w:color w:val="000000"/>
                <w:sz w:val="24"/>
              </w:rPr>
            </w:pPr>
            <w:r>
              <w:rPr>
                <w:rFonts w:hint="eastAsia" w:ascii="宋体" w:hAnsi="宋体" w:eastAsia="宋体"/>
                <w:b/>
                <w:bCs/>
                <w:color w:val="000000"/>
                <w:sz w:val="24"/>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园区总收入</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亿元</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550.6（2024年）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800</w:t>
            </w:r>
          </w:p>
        </w:tc>
        <w:tc>
          <w:tcPr>
            <w:tcW w:w="1050" w:type="dxa"/>
            <w:vAlign w:val="center"/>
          </w:tcPr>
          <w:p>
            <w:pPr>
              <w:widowControl/>
              <w:jc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2</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新能源智能汽车产业</w:t>
            </w:r>
          </w:p>
          <w:p>
            <w:pPr>
              <w:jc w:val="center"/>
              <w:textAlignment w:val="center"/>
              <w:rPr>
                <w:rFonts w:hint="eastAsia" w:ascii="宋体" w:hAnsi="宋体" w:eastAsia="宋体"/>
                <w:color w:val="000000"/>
                <w:sz w:val="24"/>
              </w:rPr>
            </w:pPr>
            <w:r>
              <w:rPr>
                <w:rFonts w:hint="eastAsia" w:ascii="宋体" w:hAnsi="宋体" w:eastAsia="宋体"/>
                <w:color w:val="000000"/>
                <w:sz w:val="24"/>
              </w:rPr>
              <w:t>集群规模</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亿元</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53（2024年）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450</w:t>
            </w:r>
          </w:p>
        </w:tc>
        <w:tc>
          <w:tcPr>
            <w:tcW w:w="1050" w:type="dxa"/>
            <w:vAlign w:val="center"/>
          </w:tcPr>
          <w:p>
            <w:pPr>
              <w:widowControl/>
              <w:jc w:val="center"/>
              <w:rPr>
                <w:color w:val="00000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3</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生命健康产业集群规模</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亿元</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39.8（2024年）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80</w:t>
            </w:r>
          </w:p>
        </w:tc>
        <w:tc>
          <w:tcPr>
            <w:tcW w:w="1050" w:type="dxa"/>
            <w:vAlign w:val="center"/>
          </w:tcPr>
          <w:p>
            <w:pPr>
              <w:widowControl/>
              <w:jc w:val="center"/>
              <w:rPr>
                <w:color w:val="00000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4</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人均产出</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万元/人</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203.4（2024年）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260左右</w:t>
            </w:r>
          </w:p>
        </w:tc>
        <w:tc>
          <w:tcPr>
            <w:tcW w:w="1050" w:type="dxa"/>
            <w:vAlign w:val="center"/>
          </w:tcPr>
          <w:p>
            <w:pPr>
              <w:jc w:val="center"/>
              <w:textAlignment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5</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地均产出</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亿元/平方公里</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30.4（2024年）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40左右</w:t>
            </w:r>
          </w:p>
        </w:tc>
        <w:tc>
          <w:tcPr>
            <w:tcW w:w="1050" w:type="dxa"/>
            <w:vAlign w:val="center"/>
          </w:tcPr>
          <w:p>
            <w:pPr>
              <w:jc w:val="center"/>
              <w:textAlignment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6</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ascii="宋体" w:hAnsi="宋体" w:eastAsia="宋体"/>
                <w:color w:val="000000"/>
                <w:sz w:val="24"/>
              </w:rPr>
              <w:t>企业</w:t>
            </w:r>
            <w:r>
              <w:rPr>
                <w:rFonts w:hint="eastAsia" w:ascii="宋体" w:hAnsi="宋体" w:eastAsia="宋体"/>
                <w:color w:val="000000"/>
                <w:sz w:val="24"/>
              </w:rPr>
              <w:t>研究开发费用年均增速</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4左右</w:t>
            </w:r>
          </w:p>
        </w:tc>
        <w:tc>
          <w:tcPr>
            <w:tcW w:w="1050" w:type="dxa"/>
            <w:vAlign w:val="center"/>
          </w:tcPr>
          <w:p>
            <w:pPr>
              <w:jc w:val="center"/>
              <w:textAlignment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7</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每万名从业人员发明</w:t>
            </w:r>
          </w:p>
          <w:p>
            <w:pPr>
              <w:jc w:val="center"/>
              <w:textAlignment w:val="center"/>
              <w:rPr>
                <w:rFonts w:hint="eastAsia" w:ascii="宋体" w:hAnsi="宋体" w:eastAsia="宋体"/>
                <w:color w:val="000000"/>
                <w:sz w:val="24"/>
              </w:rPr>
            </w:pPr>
            <w:r>
              <w:rPr>
                <w:rFonts w:hint="eastAsia" w:ascii="宋体" w:hAnsi="宋体" w:eastAsia="宋体"/>
                <w:color w:val="000000"/>
                <w:sz w:val="24"/>
              </w:rPr>
              <w:t>专利拥有量</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件</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254.9（2024年）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350</w:t>
            </w:r>
          </w:p>
        </w:tc>
        <w:tc>
          <w:tcPr>
            <w:tcW w:w="1050" w:type="dxa"/>
            <w:vAlign w:val="center"/>
          </w:tcPr>
          <w:p>
            <w:pPr>
              <w:widowControl/>
              <w:jc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8</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年收入10亿元以上企业</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家</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11（2024年）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16</w:t>
            </w:r>
          </w:p>
        </w:tc>
        <w:tc>
          <w:tcPr>
            <w:tcW w:w="1050" w:type="dxa"/>
            <w:vAlign w:val="center"/>
          </w:tcPr>
          <w:p>
            <w:pPr>
              <w:widowControl/>
              <w:jc w:val="center"/>
              <w:rPr>
                <w:color w:val="00000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9</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国家高新技术企业</w:t>
            </w:r>
          </w:p>
          <w:p>
            <w:pPr>
              <w:jc w:val="center"/>
              <w:textAlignment w:val="center"/>
              <w:rPr>
                <w:rFonts w:hint="eastAsia" w:ascii="宋体" w:hAnsi="宋体" w:eastAsia="宋体"/>
                <w:color w:val="000000"/>
                <w:sz w:val="24"/>
              </w:rPr>
            </w:pPr>
            <w:r>
              <w:rPr>
                <w:rFonts w:hint="eastAsia" w:ascii="宋体" w:hAnsi="宋体" w:eastAsia="宋体"/>
                <w:color w:val="000000"/>
                <w:sz w:val="24"/>
              </w:rPr>
              <w:t>保有量</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家</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276（2024年）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350</w:t>
            </w:r>
          </w:p>
        </w:tc>
        <w:tc>
          <w:tcPr>
            <w:tcW w:w="1050" w:type="dxa"/>
            <w:vAlign w:val="center"/>
          </w:tcPr>
          <w:p>
            <w:pPr>
              <w:jc w:val="center"/>
              <w:textAlignment w:val="center"/>
              <w:rPr>
                <w:color w:val="00000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10</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专精特新企业保有量</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家</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113</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150</w:t>
            </w:r>
          </w:p>
        </w:tc>
        <w:tc>
          <w:tcPr>
            <w:tcW w:w="1050" w:type="dxa"/>
            <w:vAlign w:val="center"/>
          </w:tcPr>
          <w:p>
            <w:pPr>
              <w:widowControl/>
              <w:jc w:val="center"/>
              <w:rPr>
                <w:color w:val="000000"/>
                <w:kern w:val="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11</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年均新设科技型企业数</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家</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375（2021-2024年）</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600</w:t>
            </w:r>
          </w:p>
        </w:tc>
        <w:tc>
          <w:tcPr>
            <w:tcW w:w="1050" w:type="dxa"/>
            <w:vAlign w:val="center"/>
          </w:tcPr>
          <w:p>
            <w:pPr>
              <w:widowControl/>
              <w:jc w:val="center"/>
              <w:rPr>
                <w:color w:val="000000"/>
                <w:sz w:val="24"/>
              </w:rPr>
            </w:pPr>
            <w:r>
              <w:rPr>
                <w:rFonts w:hint="eastAsia"/>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12</w:t>
            </w:r>
          </w:p>
        </w:tc>
        <w:tc>
          <w:tcPr>
            <w:tcW w:w="270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市级及以上科技企业</w:t>
            </w:r>
          </w:p>
          <w:p>
            <w:pPr>
              <w:jc w:val="center"/>
              <w:textAlignment w:val="center"/>
              <w:rPr>
                <w:rFonts w:hint="eastAsia" w:ascii="宋体" w:hAnsi="宋体" w:eastAsia="宋体"/>
                <w:color w:val="000000"/>
                <w:sz w:val="24"/>
              </w:rPr>
            </w:pPr>
            <w:r>
              <w:rPr>
                <w:rFonts w:hint="eastAsia" w:ascii="宋体" w:hAnsi="宋体" w:eastAsia="宋体"/>
                <w:color w:val="000000"/>
                <w:sz w:val="24"/>
              </w:rPr>
              <w:t>孵化器</w:t>
            </w:r>
          </w:p>
        </w:tc>
        <w:tc>
          <w:tcPr>
            <w:tcW w:w="107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olor w:val="000000"/>
                <w:sz w:val="24"/>
              </w:rPr>
            </w:pPr>
            <w:r>
              <w:rPr>
                <w:rFonts w:hint="eastAsia" w:ascii="宋体" w:hAnsi="宋体" w:eastAsia="宋体"/>
                <w:color w:val="000000"/>
                <w:sz w:val="24"/>
              </w:rPr>
              <w:t>个</w:t>
            </w:r>
          </w:p>
        </w:tc>
        <w:tc>
          <w:tcPr>
            <w:tcW w:w="218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hint="eastAsia" w:ascii="宋体" w:hAnsi="宋体" w:cs="宋体"/>
                <w:color w:val="000000"/>
                <w:sz w:val="24"/>
              </w:rPr>
              <w:t>0</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cs="宋体"/>
                <w:color w:val="000000"/>
                <w:sz w:val="24"/>
              </w:rPr>
            </w:pPr>
            <w:r>
              <w:rPr>
                <w:rFonts w:ascii="宋体" w:hAnsi="宋体" w:cs="宋体"/>
                <w:color w:val="000000"/>
                <w:sz w:val="24"/>
              </w:rPr>
              <w:t>2</w:t>
            </w:r>
          </w:p>
        </w:tc>
        <w:tc>
          <w:tcPr>
            <w:tcW w:w="1050" w:type="dxa"/>
            <w:vAlign w:val="center"/>
          </w:tcPr>
          <w:p>
            <w:pPr>
              <w:widowControl/>
              <w:jc w:val="center"/>
              <w:rPr>
                <w:color w:val="000000"/>
                <w:kern w:val="0"/>
                <w:sz w:val="24"/>
              </w:rPr>
            </w:pPr>
            <w:r>
              <w:rPr>
                <w:rFonts w:hint="eastAsia"/>
                <w:color w:val="000000"/>
                <w:kern w:val="0"/>
                <w:sz w:val="24"/>
              </w:rPr>
              <w:t>预期性</w:t>
            </w:r>
          </w:p>
        </w:tc>
      </w:tr>
    </w:tbl>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5" w:name="_Toc29312"/>
      <w:r>
        <w:rPr>
          <w:rFonts w:hint="eastAsia" w:ascii="黑体" w:hAnsi="黑体" w:eastAsia="黑体" w:cs="黑体"/>
          <w:b w:val="0"/>
          <w:bCs w:val="0"/>
          <w:color w:val="000000"/>
          <w:sz w:val="32"/>
          <w:szCs w:val="32"/>
        </w:rPr>
        <w:t>二、着力提升创新能力，推动创新链产业链深度融合</w:t>
      </w:r>
      <w:bookmarkEnd w:id="5"/>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强化怀柔科学城东区创新策源和辐射带动作用，大力提升企业技术创新能力，建立健全园区专业化科技服务体系，逐步构建园区“基础创新-技术创新-产业创新”的创新循环体系，推动科技创新和产业创新深度融合。</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6" w:name="_Toc30661"/>
      <w:r>
        <w:rPr>
          <w:rFonts w:hint="eastAsia" w:ascii="楷体_GB2312" w:hAnsi="楷体_GB2312" w:eastAsia="楷体_GB2312" w:cs="楷体_GB2312"/>
          <w:b w:val="0"/>
          <w:bCs w:val="0"/>
          <w:color w:val="000000"/>
          <w:sz w:val="32"/>
          <w:szCs w:val="32"/>
        </w:rPr>
        <w:t>（一）加快怀柔科学城东区创新策源高地建设</w:t>
      </w:r>
      <w:bookmarkEnd w:id="6"/>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color w:val="000000"/>
          <w:sz w:val="32"/>
          <w:szCs w:val="32"/>
        </w:rPr>
        <w:t>充分发挥怀柔科学城东区驻区科研单位的牵引作用，吸引相关领域创新平台集聚，助力产出一批前沿技术创新成果，夯实园区科技创新底座。</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楷体_GB2312" w:eastAsia="仿宋_GB2312" w:cs="楷体_GB2312"/>
          <w:b/>
          <w:bCs/>
          <w:color w:val="000000"/>
          <w:sz w:val="32"/>
          <w:szCs w:val="32"/>
        </w:rPr>
        <w:t>推动高能级创新平台集聚。</w:t>
      </w:r>
      <w:r>
        <w:rPr>
          <w:rFonts w:hint="eastAsia" w:ascii="仿宋_GB2312" w:hAnsi="仿宋_GB2312" w:eastAsia="仿宋_GB2312" w:cs="仿宋_GB2312"/>
          <w:color w:val="000000"/>
          <w:sz w:val="32"/>
          <w:szCs w:val="32"/>
        </w:rPr>
        <w:t>全力服务好“1+5”科学设施运行和开放共享，继续争取更多国家级创新平台落地。紧密跟踪和对接“1+5”科学设施国内外高校和企业用户群体，吸引其在</w:t>
      </w:r>
      <w:r>
        <w:rPr>
          <w:rFonts w:hint="eastAsia" w:ascii="仿宋_GB2312" w:hAnsi="楷体_GB2312" w:eastAsia="仿宋_GB2312" w:cs="楷体_GB2312"/>
          <w:color w:val="000000"/>
          <w:sz w:val="32"/>
          <w:szCs w:val="32"/>
        </w:rPr>
        <w:t>怀柔科学城</w:t>
      </w:r>
      <w:r>
        <w:rPr>
          <w:rFonts w:hint="eastAsia" w:ascii="仿宋_GB2312" w:hAnsi="仿宋_GB2312" w:eastAsia="仿宋_GB2312" w:cs="仿宋_GB2312"/>
          <w:color w:val="000000"/>
          <w:sz w:val="32"/>
          <w:szCs w:val="32"/>
        </w:rPr>
        <w:t>东区落地研发中心、实验室等创新平台。主动对接全国高校院所、全国重点实验室、北京市重点实验室，围绕新能源智能汽车、生命健康、生态环保、先进装备领域，吸引一批重点实验室、前沿科学中心等重大科研平台在密云园落地或建设分中心。</w:t>
      </w:r>
    </w:p>
    <w:p>
      <w:pPr>
        <w:spacing w:line="560" w:lineRule="exact"/>
        <w:ind w:firstLine="643" w:firstLineChars="200"/>
        <w:textAlignment w:val="center"/>
        <w:rPr>
          <w:rFonts w:ascii="仿宋_GB2312" w:eastAsia="仿宋_GB2312"/>
          <w:color w:val="000000"/>
          <w:sz w:val="32"/>
          <w:szCs w:val="32"/>
        </w:rPr>
      </w:pPr>
      <w:r>
        <w:rPr>
          <w:rFonts w:hint="eastAsia" w:ascii="仿宋_GB2312" w:hAnsi="楷体_GB2312" w:eastAsia="仿宋_GB2312" w:cs="楷体_GB2312"/>
          <w:b/>
          <w:bCs/>
          <w:color w:val="000000"/>
          <w:sz w:val="32"/>
          <w:szCs w:val="32"/>
        </w:rPr>
        <w:t>强化前沿科学研究攻关突破。</w:t>
      </w:r>
      <w:r>
        <w:rPr>
          <w:rFonts w:hint="eastAsia" w:ascii="仿宋_GB2312" w:hAnsi="楷体_GB2312" w:eastAsia="仿宋_GB2312" w:cs="楷体_GB2312"/>
          <w:color w:val="000000"/>
          <w:sz w:val="32"/>
          <w:szCs w:val="32"/>
        </w:rPr>
        <w:t>依托怀柔科学城东区集聚的“1+5”科学设施、北京大学怀密医学中心等重大创新平台，助力驻区科研单位申请国家和北京市科技重大专项、重点研发计划等项目，围绕</w:t>
      </w:r>
      <w:r>
        <w:rPr>
          <w:rFonts w:ascii="仿宋_GB2312" w:hAnsi="楷体_GB2312" w:eastAsia="仿宋_GB2312" w:cs="楷体_GB2312"/>
          <w:color w:val="000000"/>
          <w:sz w:val="32"/>
          <w:szCs w:val="32"/>
        </w:rPr>
        <w:t>生命科学、地球系统科学</w:t>
      </w:r>
      <w:r>
        <w:rPr>
          <w:rFonts w:hint="eastAsia" w:ascii="仿宋_GB2312" w:hAnsi="楷体_GB2312" w:eastAsia="仿宋_GB2312" w:cs="楷体_GB2312"/>
          <w:color w:val="000000"/>
          <w:sz w:val="32"/>
          <w:szCs w:val="32"/>
        </w:rPr>
        <w:t>等领域产生一批具有突破性的前沿技术成果。用足用好北京市自然科学基金，支持驻区科研单位和园区企业申请市基金项目。支持高校、科研机构、企业等多元创新主体，通过成立联合实验室、交叉研究平台等多种形式，以有组织科研模式开展产学研协同攻关，突破一批前沿技术。</w:t>
      </w:r>
    </w:p>
    <w:p>
      <w:pPr>
        <w:spacing w:line="560" w:lineRule="exact"/>
        <w:ind w:firstLine="643" w:firstLineChars="200"/>
        <w:textAlignment w:val="center"/>
        <w:rPr>
          <w:rFonts w:ascii="仿宋_GB2312" w:eastAsia="仿宋_GB2312"/>
          <w:color w:val="000000"/>
          <w:sz w:val="32"/>
          <w:szCs w:val="32"/>
          <w:highlight w:val="yellow"/>
        </w:rPr>
      </w:pPr>
      <w:r>
        <w:rPr>
          <w:rFonts w:hint="eastAsia" w:ascii="仿宋_GB2312" w:hAnsi="楷体_GB2312" w:eastAsia="仿宋_GB2312" w:cs="楷体_GB2312"/>
          <w:b/>
          <w:bCs/>
          <w:color w:val="000000"/>
          <w:sz w:val="32"/>
          <w:szCs w:val="32"/>
        </w:rPr>
        <w:t>探索构建科学智能(AI4S)体系。</w:t>
      </w:r>
      <w:r>
        <w:rPr>
          <w:rFonts w:hint="eastAsia" w:ascii="仿宋_GB2312" w:hAnsi="楷体_GB2312" w:eastAsia="仿宋_GB2312" w:cs="楷体_GB2312"/>
          <w:color w:val="000000"/>
          <w:sz w:val="32"/>
          <w:szCs w:val="32"/>
        </w:rPr>
        <w:t>充分利用密云园算力中心基础设施资源，服务驻区科研单位探索人工智能驱动的新型科研范式，围绕基础科学领域打造AI4S基础设施平台，推动人工智能在假设生成、模型构建、模拟仿真等科研领域应用。</w:t>
      </w:r>
      <w:r>
        <w:rPr>
          <w:rFonts w:hint="eastAsia" w:ascii="仿宋_GB2312" w:eastAsia="仿宋_GB2312"/>
          <w:color w:val="000000"/>
          <w:sz w:val="32"/>
          <w:szCs w:val="32"/>
        </w:rPr>
        <w:t>聚焦生命健康领域，依托北京大学怀密医学中心科研资源，支持园区企业、密云区医疗卫生机构的科研团队与北京大学建立合作，以企业研发需求为牵引，充分利用北京大学智慧药物平台、Xplore平台等AI4S平台推动人工智能赋能创新药械研发；以医院临床应用需求为牵引，形成临床试验与数字孪生双轨验证科研范式，推动构建医药健康高质量数据集和大模型。聚焦地球系统与气候变化、环境与灾害、大气污染与环境保护等领域，充分利用东区“1+5”科学设施平台资源，支持驻区科研单位在密云区、密云园建设多技术综合应用场景采集数据、验证模型，助力驻区科研单位构建“平台+数据集+模型”于一体的AI4S平台。</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7" w:name="_Toc16935"/>
      <w:r>
        <w:rPr>
          <w:rFonts w:hint="eastAsia" w:ascii="楷体_GB2312" w:hAnsi="楷体_GB2312" w:eastAsia="楷体_GB2312" w:cs="楷体_GB2312"/>
          <w:b w:val="0"/>
          <w:bCs w:val="0"/>
          <w:color w:val="000000"/>
          <w:sz w:val="32"/>
          <w:szCs w:val="32"/>
        </w:rPr>
        <w:t>（二）进一步强化企业科技创新主体地位</w:t>
      </w:r>
      <w:bookmarkEnd w:id="7"/>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color w:val="000000"/>
          <w:sz w:val="32"/>
          <w:szCs w:val="32"/>
        </w:rPr>
        <w:t>充分激发企业技术创新活力，以企业创新需求为牵引，推动企业自主创新、协同创新和有组织的科研创新，</w:t>
      </w:r>
      <w:r>
        <w:rPr>
          <w:rFonts w:ascii="仿宋_GB2312" w:hAnsi="楷体_GB2312" w:eastAsia="仿宋_GB2312" w:cs="楷体_GB2312"/>
          <w:color w:val="000000"/>
          <w:sz w:val="32"/>
          <w:szCs w:val="32"/>
        </w:rPr>
        <w:t>锻造</w:t>
      </w:r>
      <w:r>
        <w:rPr>
          <w:rFonts w:hint="eastAsia" w:ascii="仿宋_GB2312" w:hAnsi="楷体_GB2312" w:eastAsia="仿宋_GB2312" w:cs="楷体_GB2312"/>
          <w:color w:val="000000"/>
          <w:sz w:val="32"/>
          <w:szCs w:val="32"/>
        </w:rPr>
        <w:t>园区产业创新“主力军”。</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支持企业提升科技创新能力。</w:t>
      </w:r>
      <w:r>
        <w:rPr>
          <w:rFonts w:hint="eastAsia" w:ascii="仿宋_GB2312" w:hAnsi="楷体_GB2312" w:eastAsia="仿宋_GB2312" w:cs="楷体_GB2312"/>
          <w:color w:val="000000"/>
          <w:sz w:val="32"/>
          <w:szCs w:val="32"/>
        </w:rPr>
        <w:t>积极落实研发费用加计扣除、中关村企业研发费用补贴等政策，鼓励园区企业持续加大研发投入，开展创新研发活动。推动企业研发平台建设，鼓励企业牵头或参与建设实验室、企业技术研发中心、企业工程技术研究中心等创新平台，积极申报国家级、市级创新平台。鼓励企业通过购买知识产权、股权投资、并购等形式，构筑企业知识产权专利池竞争力。</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推动产学研协同创新。</w:t>
      </w:r>
      <w:r>
        <w:rPr>
          <w:rFonts w:hint="eastAsia" w:ascii="仿宋_GB2312" w:hAnsi="楷体_GB2312" w:eastAsia="仿宋_GB2312" w:cs="楷体_GB2312"/>
          <w:color w:val="000000"/>
          <w:sz w:val="32"/>
          <w:szCs w:val="32"/>
        </w:rPr>
        <w:t>推动园区企业与高校联合共建联合实验室、研究中心、校企实训基地，积极申报企业博士后工作站，通过共建创新平台为企业引入创新人才，促进产生一批产学研合作成果。支持园区企业发起成立创新联合体，吸引业内相关高校、科研机构、企业等多元主体共同参与，通过揭榜挂帅、众筹科研等方式，每年发榜一批企业科研项目，围绕行业共性关键技术形成一批科技攻关成果。支持园区企业发起成立产业联盟或行业协会，强化联盟协会成员单位的合作交流，促成落地一批产学研协同创新项目。</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8" w:name="_Toc23967"/>
      <w:r>
        <w:rPr>
          <w:rFonts w:hint="eastAsia" w:ascii="楷体_GB2312" w:hAnsi="楷体_GB2312" w:eastAsia="楷体_GB2312" w:cs="楷体_GB2312"/>
          <w:b w:val="0"/>
          <w:bCs w:val="0"/>
          <w:color w:val="000000"/>
          <w:sz w:val="32"/>
          <w:szCs w:val="32"/>
        </w:rPr>
        <w:t>（三）加速推动科技创新成果转化落地</w:t>
      </w:r>
      <w:bookmarkEnd w:id="8"/>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color w:val="000000"/>
          <w:sz w:val="32"/>
          <w:szCs w:val="32"/>
        </w:rPr>
        <w:t>坚持市场导向、需求牵引，建机制、搭平台、优服务，构建园区科技成果转化服务体系，需求端、供给端、服务端同向发力，畅通科技创新成果转化通道。</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建立健全科技成果转化工作机制。</w:t>
      </w:r>
      <w:r>
        <w:rPr>
          <w:rFonts w:hint="eastAsia" w:ascii="仿宋_GB2312" w:hAnsi="楷体_GB2312" w:eastAsia="仿宋_GB2312" w:cs="楷体_GB2312"/>
          <w:color w:val="000000"/>
          <w:sz w:val="32"/>
          <w:szCs w:val="32"/>
        </w:rPr>
        <w:t>建立科技成果转化清单台账式对接服务机制，加强市区协同，建立园区研发单位科技成果供给和企业需求清单，建立供需对接服务台账，推动一批科技成果转化项目落地。充分发挥与怀柔科学城紧密对接的工作机制优势，重点聚焦生命健康、生态环保等细分领域，“一业一方案”吸引怀柔科学城东区科研单位科技成果转化项目就近落地。率先在中关村（密云）生命健康服务产业园开展科技成果转化激励机制创新试点，支持园区企业通过职务科技成果“先使用后付费”模式与高校院所达成科技成果转化项目合作。支持园区企业积极使用首都科技创新券购买首都科技条件平台研发、检测等服务，加速企业科技成果转化。探索建立市区协同拨投联动机制，探索通过市区共同给予研发资金支持与股权投资联动的方式，促进一批转化孵化企业落地园区。</w:t>
      </w:r>
    </w:p>
    <w:p>
      <w:pPr>
        <w:spacing w:line="560" w:lineRule="exact"/>
        <w:ind w:firstLine="643" w:firstLineChars="200"/>
        <w:textAlignment w:val="center"/>
        <w:rPr>
          <w:rFonts w:hint="eastAsia" w:ascii="仿宋_GB2312" w:hAnsi="楷体_GB2312" w:eastAsia="仿宋_GB2312" w:cs="楷体_GB2312"/>
          <w:b/>
          <w:bCs/>
          <w:color w:val="000000"/>
          <w:sz w:val="32"/>
          <w:szCs w:val="32"/>
          <w:highlight w:val="yellow"/>
        </w:rPr>
      </w:pPr>
      <w:r>
        <w:rPr>
          <w:rFonts w:hint="eastAsia" w:ascii="仿宋_GB2312" w:hAnsi="楷体_GB2312" w:eastAsia="仿宋_GB2312" w:cs="楷体_GB2312"/>
          <w:b/>
          <w:bCs/>
          <w:color w:val="000000"/>
          <w:sz w:val="32"/>
          <w:szCs w:val="32"/>
        </w:rPr>
        <w:t>建设一批科技成果转移转化平台。</w:t>
      </w:r>
      <w:r>
        <w:rPr>
          <w:rFonts w:hint="eastAsia" w:ascii="仿宋_GB2312" w:hAnsi="楷体_GB2312" w:eastAsia="仿宋_GB2312" w:cs="楷体_GB2312"/>
          <w:color w:val="000000"/>
          <w:sz w:val="32"/>
          <w:szCs w:val="32"/>
        </w:rPr>
        <w:t>主动对接北大医学科技成果转化与创新创业中心、中国科学院北京国家技术转移中心等在京高校院所技术转移转化机构，积极争取驻区科研单位在密云园设立科技成果转移转化平台，聚焦细分领域打造特色鲜明的科技成果转移转化基地。支持园区企业牵头建设或联合国内外高校院所共建概念验证中心、产业技术研究院，</w:t>
      </w:r>
      <w:r>
        <w:rPr>
          <w:rFonts w:hint="eastAsia" w:ascii="仿宋_GB2312" w:hAnsi="仿宋_GB2312" w:eastAsia="仿宋_GB2312" w:cs="仿宋_GB2312"/>
          <w:color w:val="000000"/>
          <w:sz w:val="32"/>
          <w:szCs w:val="32"/>
        </w:rPr>
        <w:t>着力推进中关村密云园医药健康成果转化中心、院前急救及危重症诊疗服务转化平台等成果转化平台建设运营，通过“先培育、后认定”形式，培育一批科技成果转化平台。</w:t>
      </w:r>
      <w:r>
        <w:rPr>
          <w:rFonts w:hint="eastAsia" w:ascii="仿宋_GB2312" w:hAnsi="楷体_GB2312" w:eastAsia="仿宋_GB2312" w:cs="楷体_GB2312"/>
          <w:color w:val="000000"/>
          <w:sz w:val="32"/>
          <w:szCs w:val="32"/>
        </w:rPr>
        <w:t>积极引入市场化科技成果转化机构，建设专业性或综合性的科技成果转化服务平台，开展概念验证、价值与潜力评估、供需对接、技术投融资等技术转移服务，引导一批科技成果转化项目落地。</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提升科技成果转化公共服务能力。</w:t>
      </w:r>
      <w:r>
        <w:rPr>
          <w:rFonts w:hint="eastAsia" w:ascii="仿宋_GB2312" w:hAnsi="楷体_GB2312" w:eastAsia="仿宋_GB2312" w:cs="楷体_GB2312"/>
          <w:color w:val="000000"/>
          <w:sz w:val="32"/>
          <w:szCs w:val="32"/>
        </w:rPr>
        <w:t>主动对接中国技术交易所、北京知识产权交易中心、</w:t>
      </w:r>
      <w:r>
        <w:rPr>
          <w:rFonts w:ascii="仿宋_GB2312" w:hAnsi="楷体_GB2312" w:eastAsia="仿宋_GB2312" w:cs="楷体_GB2312"/>
          <w:color w:val="000000"/>
          <w:sz w:val="32"/>
          <w:szCs w:val="32"/>
        </w:rPr>
        <w:t>北京科技成果转化智能服务平台</w:t>
      </w:r>
      <w:r>
        <w:rPr>
          <w:rFonts w:hint="eastAsia" w:ascii="仿宋_GB2312" w:hAnsi="楷体_GB2312" w:eastAsia="仿宋_GB2312" w:cs="楷体_GB2312"/>
          <w:color w:val="000000"/>
          <w:sz w:val="32"/>
          <w:szCs w:val="32"/>
        </w:rPr>
        <w:t>等技术交易服务和技术转移服务机构，定期举办</w:t>
      </w:r>
      <w:r>
        <w:rPr>
          <w:rFonts w:ascii="仿宋_GB2312" w:hAnsi="楷体_GB2312" w:eastAsia="仿宋_GB2312" w:cs="楷体_GB2312"/>
          <w:color w:val="000000"/>
          <w:sz w:val="32"/>
          <w:szCs w:val="32"/>
        </w:rPr>
        <w:t>科技成果发布推介、</w:t>
      </w:r>
      <w:r>
        <w:rPr>
          <w:rFonts w:hint="eastAsia" w:ascii="仿宋_GB2312" w:hAnsi="楷体_GB2312" w:eastAsia="仿宋_GB2312" w:cs="楷体_GB2312"/>
          <w:color w:val="000000"/>
          <w:sz w:val="32"/>
          <w:szCs w:val="32"/>
        </w:rPr>
        <w:t>项目</w:t>
      </w:r>
      <w:r>
        <w:rPr>
          <w:rFonts w:ascii="仿宋_GB2312" w:hAnsi="楷体_GB2312" w:eastAsia="仿宋_GB2312" w:cs="楷体_GB2312"/>
          <w:color w:val="000000"/>
          <w:sz w:val="32"/>
          <w:szCs w:val="32"/>
        </w:rPr>
        <w:t>路演、成果对接、场景应用等</w:t>
      </w:r>
      <w:r>
        <w:rPr>
          <w:rFonts w:hint="eastAsia" w:ascii="仿宋_GB2312" w:hAnsi="楷体_GB2312" w:eastAsia="仿宋_GB2312" w:cs="楷体_GB2312"/>
          <w:color w:val="000000"/>
          <w:sz w:val="32"/>
          <w:szCs w:val="32"/>
        </w:rPr>
        <w:t>活动</w:t>
      </w:r>
      <w:r>
        <w:rPr>
          <w:rFonts w:ascii="仿宋_GB2312" w:hAnsi="楷体_GB2312" w:eastAsia="仿宋_GB2312" w:cs="楷体_GB2312"/>
          <w:color w:val="000000"/>
          <w:sz w:val="32"/>
          <w:szCs w:val="32"/>
        </w:rPr>
        <w:t>，</w:t>
      </w:r>
      <w:r>
        <w:rPr>
          <w:rFonts w:hint="eastAsia" w:ascii="仿宋_GB2312" w:hAnsi="楷体_GB2312" w:eastAsia="仿宋_GB2312" w:cs="楷体_GB2312"/>
          <w:color w:val="000000"/>
          <w:sz w:val="32"/>
          <w:szCs w:val="32"/>
        </w:rPr>
        <w:t>组织园区企业积极参与</w:t>
      </w:r>
      <w:r>
        <w:rPr>
          <w:rFonts w:ascii="仿宋_GB2312" w:hAnsi="楷体_GB2312" w:eastAsia="仿宋_GB2312" w:cs="楷体_GB2312"/>
          <w:color w:val="000000"/>
          <w:sz w:val="32"/>
          <w:szCs w:val="32"/>
        </w:rPr>
        <w:t>京津冀科技成果转化供需对接</w:t>
      </w:r>
      <w:r>
        <w:rPr>
          <w:rFonts w:hint="eastAsia" w:ascii="仿宋_GB2312" w:hAnsi="楷体_GB2312" w:eastAsia="仿宋_GB2312" w:cs="楷体_GB2312"/>
          <w:color w:val="000000"/>
          <w:sz w:val="32"/>
          <w:szCs w:val="32"/>
        </w:rPr>
        <w:t>活动</w:t>
      </w:r>
      <w:r>
        <w:rPr>
          <w:rFonts w:ascii="仿宋_GB2312" w:hAnsi="楷体_GB2312" w:eastAsia="仿宋_GB2312" w:cs="楷体_GB2312"/>
          <w:color w:val="000000"/>
          <w:sz w:val="32"/>
          <w:szCs w:val="32"/>
        </w:rPr>
        <w:t>，加强</w:t>
      </w:r>
      <w:r>
        <w:rPr>
          <w:rFonts w:hint="eastAsia" w:ascii="仿宋_GB2312" w:hAnsi="楷体_GB2312" w:eastAsia="仿宋_GB2312" w:cs="楷体_GB2312"/>
          <w:color w:val="000000"/>
          <w:sz w:val="32"/>
          <w:szCs w:val="32"/>
        </w:rPr>
        <w:t>园区企业与相关科技成果所有人</w:t>
      </w:r>
      <w:r>
        <w:rPr>
          <w:rFonts w:ascii="仿宋_GB2312" w:hAnsi="楷体_GB2312" w:eastAsia="仿宋_GB2312" w:cs="楷体_GB2312"/>
          <w:color w:val="000000"/>
          <w:sz w:val="32"/>
          <w:szCs w:val="32"/>
        </w:rPr>
        <w:t>对接，</w:t>
      </w:r>
      <w:r>
        <w:rPr>
          <w:rFonts w:hint="eastAsia" w:ascii="仿宋_GB2312" w:hAnsi="楷体_GB2312" w:eastAsia="仿宋_GB2312" w:cs="楷体_GB2312"/>
          <w:color w:val="000000"/>
          <w:sz w:val="32"/>
          <w:szCs w:val="32"/>
        </w:rPr>
        <w:t>促成科技成果转化项目合作</w:t>
      </w:r>
      <w:r>
        <w:rPr>
          <w:rFonts w:ascii="仿宋_GB2312" w:hAnsi="楷体_GB2312" w:eastAsia="仿宋_GB2312" w:cs="楷体_GB2312"/>
          <w:color w:val="000000"/>
          <w:sz w:val="32"/>
          <w:szCs w:val="32"/>
        </w:rPr>
        <w:t>。</w:t>
      </w:r>
      <w:r>
        <w:rPr>
          <w:rFonts w:hint="eastAsia" w:ascii="仿宋_GB2312" w:hAnsi="楷体_GB2312" w:eastAsia="仿宋_GB2312" w:cs="楷体_GB2312"/>
          <w:color w:val="000000"/>
          <w:sz w:val="32"/>
          <w:szCs w:val="32"/>
        </w:rPr>
        <w:t>鼓励园区龙头企业</w:t>
      </w:r>
      <w:r>
        <w:rPr>
          <w:rFonts w:ascii="仿宋_GB2312" w:hAnsi="楷体_GB2312" w:eastAsia="仿宋_GB2312" w:cs="楷体_GB2312"/>
          <w:color w:val="000000"/>
          <w:sz w:val="32"/>
          <w:szCs w:val="32"/>
        </w:rPr>
        <w:t>面向</w:t>
      </w:r>
      <w:r>
        <w:rPr>
          <w:rFonts w:hint="eastAsia" w:ascii="仿宋_GB2312" w:hAnsi="楷体_GB2312" w:eastAsia="仿宋_GB2312" w:cs="楷体_GB2312"/>
          <w:color w:val="000000"/>
          <w:sz w:val="32"/>
          <w:szCs w:val="32"/>
        </w:rPr>
        <w:t>科技成果</w:t>
      </w:r>
      <w:r>
        <w:rPr>
          <w:rFonts w:ascii="仿宋_GB2312" w:hAnsi="楷体_GB2312" w:eastAsia="仿宋_GB2312" w:cs="楷体_GB2312"/>
          <w:color w:val="000000"/>
          <w:sz w:val="32"/>
          <w:szCs w:val="32"/>
        </w:rPr>
        <w:t>转化创办企业开放应用场景、先试首用创新产品，助力其改进工艺流程</w:t>
      </w:r>
      <w:r>
        <w:rPr>
          <w:rFonts w:hint="eastAsia" w:ascii="仿宋_GB2312" w:hAnsi="楷体_GB2312" w:eastAsia="仿宋_GB2312" w:cs="楷体_GB2312"/>
          <w:color w:val="000000"/>
          <w:sz w:val="32"/>
          <w:szCs w:val="32"/>
        </w:rPr>
        <w:t>，加速科技成果</w:t>
      </w:r>
      <w:r>
        <w:rPr>
          <w:rFonts w:ascii="仿宋_GB2312" w:hAnsi="楷体_GB2312" w:eastAsia="仿宋_GB2312" w:cs="楷体_GB2312"/>
          <w:color w:val="000000"/>
          <w:sz w:val="32"/>
          <w:szCs w:val="32"/>
        </w:rPr>
        <w:t>转化创办企业</w:t>
      </w:r>
      <w:r>
        <w:rPr>
          <w:rFonts w:hint="eastAsia" w:ascii="仿宋_GB2312" w:hAnsi="楷体_GB2312" w:eastAsia="仿宋_GB2312" w:cs="楷体_GB2312"/>
          <w:color w:val="000000"/>
          <w:sz w:val="32"/>
          <w:szCs w:val="32"/>
        </w:rPr>
        <w:t>成长。</w:t>
      </w:r>
      <w:r>
        <w:rPr>
          <w:rFonts w:ascii="仿宋_GB2312" w:hAnsi="楷体_GB2312" w:eastAsia="仿宋_GB2312" w:cs="楷体_GB2312"/>
          <w:color w:val="000000"/>
          <w:sz w:val="32"/>
          <w:szCs w:val="32"/>
        </w:rPr>
        <w:t>推动</w:t>
      </w:r>
      <w:r>
        <w:rPr>
          <w:rFonts w:hint="eastAsia" w:ascii="仿宋_GB2312" w:hAnsi="楷体_GB2312" w:eastAsia="仿宋_GB2312" w:cs="楷体_GB2312"/>
          <w:color w:val="000000"/>
          <w:sz w:val="32"/>
          <w:szCs w:val="32"/>
        </w:rPr>
        <w:t>园区</w:t>
      </w:r>
      <w:r>
        <w:rPr>
          <w:rFonts w:ascii="仿宋_GB2312" w:hAnsi="楷体_GB2312" w:eastAsia="仿宋_GB2312" w:cs="楷体_GB2312"/>
          <w:color w:val="000000"/>
          <w:sz w:val="32"/>
          <w:szCs w:val="32"/>
        </w:rPr>
        <w:t>技术转移</w:t>
      </w:r>
      <w:r>
        <w:rPr>
          <w:rFonts w:hint="eastAsia" w:ascii="仿宋_GB2312" w:hAnsi="楷体_GB2312" w:eastAsia="仿宋_GB2312" w:cs="楷体_GB2312"/>
          <w:color w:val="000000"/>
          <w:sz w:val="32"/>
          <w:szCs w:val="32"/>
        </w:rPr>
        <w:t>服务机构</w:t>
      </w:r>
      <w:r>
        <w:rPr>
          <w:rFonts w:ascii="仿宋_GB2312" w:hAnsi="楷体_GB2312" w:eastAsia="仿宋_GB2312" w:cs="楷体_GB2312"/>
          <w:color w:val="000000"/>
          <w:sz w:val="32"/>
          <w:szCs w:val="32"/>
        </w:rPr>
        <w:t>与孵化器、大学科技园、特色产业园对接合作，共享项目和资源信息，</w:t>
      </w:r>
      <w:r>
        <w:rPr>
          <w:rFonts w:hint="eastAsia" w:ascii="仿宋_GB2312" w:hAnsi="楷体_GB2312" w:eastAsia="仿宋_GB2312" w:cs="楷体_GB2312"/>
          <w:color w:val="000000"/>
          <w:sz w:val="32"/>
          <w:szCs w:val="32"/>
        </w:rPr>
        <w:t>进一步完善科技成果转化服务体系</w:t>
      </w:r>
      <w:r>
        <w:rPr>
          <w:rFonts w:ascii="仿宋_GB2312" w:hAnsi="楷体_GB2312" w:eastAsia="仿宋_GB2312" w:cs="楷体_GB2312"/>
          <w:color w:val="000000"/>
          <w:sz w:val="32"/>
          <w:szCs w:val="32"/>
        </w:rPr>
        <w:t>。</w:t>
      </w:r>
    </w:p>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9" w:name="_Toc16331"/>
      <w:r>
        <w:rPr>
          <w:rFonts w:hint="eastAsia" w:ascii="黑体" w:hAnsi="黑体" w:eastAsia="黑体" w:cs="黑体"/>
          <w:b w:val="0"/>
          <w:bCs w:val="0"/>
          <w:color w:val="000000"/>
          <w:sz w:val="32"/>
          <w:szCs w:val="32"/>
        </w:rPr>
        <w:t>三、加快培育新质生产力，构建园区现代化产业集群</w:t>
      </w:r>
      <w:bookmarkEnd w:id="9"/>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color w:val="000000"/>
          <w:sz w:val="32"/>
          <w:szCs w:val="32"/>
        </w:rPr>
        <w:t>实施“一业一策”差异化发展战略，巩固提升新能源智能汽车和生命健康产业的主导地位和竞争力，培育壮大生态环保、先进装备两大特色产业，推动园区产业实现集群化、智能化、绿色化发展。</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0" w:name="_Toc20025"/>
      <w:r>
        <w:rPr>
          <w:rFonts w:hint="eastAsia" w:ascii="楷体_GB2312" w:hAnsi="楷体_GB2312" w:eastAsia="楷体_GB2312" w:cs="楷体_GB2312"/>
          <w:b w:val="0"/>
          <w:bCs w:val="0"/>
          <w:color w:val="000000"/>
          <w:sz w:val="32"/>
          <w:szCs w:val="32"/>
        </w:rPr>
        <w:t>（一）优化提升新能源智能汽车产业</w:t>
      </w:r>
      <w:bookmarkEnd w:id="10"/>
    </w:p>
    <w:p>
      <w:pPr>
        <w:pStyle w:val="13"/>
        <w:spacing w:line="560" w:lineRule="exact"/>
        <w:ind w:firstLine="640" w:firstLineChars="200"/>
        <w:textAlignment w:val="center"/>
        <w:rPr>
          <w:rFonts w:hint="eastAsia" w:ascii="仿宋_GB2312" w:hAnsi="仿宋_GB2312" w:eastAsia="仿宋_GB2312" w:cs="仿宋_GB2312"/>
          <w:bCs/>
          <w:color w:val="000000"/>
          <w:sz w:val="32"/>
          <w:szCs w:val="32"/>
          <w:highlight w:val="yellow"/>
        </w:rPr>
      </w:pPr>
      <w:r>
        <w:rPr>
          <w:rFonts w:hint="eastAsia" w:ascii="仿宋_GB2312" w:hAnsi="仿宋_GB2312" w:eastAsia="仿宋_GB2312" w:cs="仿宋_GB2312"/>
          <w:bCs/>
          <w:color w:val="000000"/>
          <w:sz w:val="32"/>
          <w:szCs w:val="32"/>
        </w:rPr>
        <w:t>坚持电动化、网联化、智能化发展方向，以整车企业为牵引，补链、延链、强链，带动产业链上下游企业集聚，构建“龙头引领+配套协同”的产业链发展格局，力争到2030年新能源智能汽车产业规模达到450亿</w:t>
      </w:r>
      <w:r>
        <w:rPr>
          <w:rFonts w:hint="eastAsia" w:ascii="Times New Roman" w:hAnsi="Times New Roman" w:eastAsia="仿宋_GB2312" w:cs="仿宋_GB2312"/>
          <w:bCs/>
          <w:color w:val="000000"/>
          <w:sz w:val="32"/>
          <w:szCs w:val="32"/>
        </w:rPr>
        <w:t>元</w:t>
      </w:r>
      <w:r>
        <w:rPr>
          <w:rFonts w:hint="eastAsia" w:ascii="仿宋_GB2312" w:hAnsi="仿宋_GB2312" w:eastAsia="仿宋_GB2312" w:cs="仿宋_GB2312"/>
          <w:bCs/>
          <w:color w:val="000000"/>
          <w:sz w:val="32"/>
          <w:szCs w:val="32"/>
        </w:rPr>
        <w:t>。</w:t>
      </w:r>
    </w:p>
    <w:p>
      <w:pPr>
        <w:pStyle w:val="13"/>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全力推动整车企业扩能提质。</w:t>
      </w:r>
      <w:r>
        <w:rPr>
          <w:rFonts w:hint="eastAsia" w:ascii="仿宋_GB2312" w:hAnsi="仿宋_GB2312" w:eastAsia="仿宋_GB2312" w:cs="仿宋_GB2312"/>
          <w:bCs/>
          <w:color w:val="000000"/>
          <w:sz w:val="32"/>
          <w:szCs w:val="32"/>
        </w:rPr>
        <w:t>鼓励园区整车企业加快车型迭代升级，推动MPV（多用途汽车）、SUV（运动型多用途车）、越野等新车型导入和量产，打造新车型</w:t>
      </w:r>
      <w:r>
        <w:rPr>
          <w:rFonts w:ascii="仿宋_GB2312" w:hAnsi="仿宋_GB2312" w:eastAsia="仿宋_GB2312" w:cs="仿宋_GB2312"/>
          <w:bCs/>
          <w:color w:val="000000"/>
          <w:sz w:val="32"/>
          <w:szCs w:val="32"/>
        </w:rPr>
        <w:t>扩能增产的“优选地”</w:t>
      </w:r>
      <w:r>
        <w:rPr>
          <w:rFonts w:hint="eastAsia" w:ascii="仿宋_GB2312" w:hAnsi="仿宋_GB2312" w:eastAsia="仿宋_GB2312" w:cs="仿宋_GB2312"/>
          <w:bCs/>
          <w:color w:val="000000"/>
          <w:sz w:val="32"/>
          <w:szCs w:val="32"/>
        </w:rPr>
        <w:t>。推动AI赋能整车工厂产线改造升级，</w:t>
      </w:r>
      <w:r>
        <w:rPr>
          <w:rFonts w:ascii="仿宋_GB2312" w:hAnsi="仿宋_GB2312" w:eastAsia="仿宋_GB2312" w:cs="仿宋_GB2312"/>
          <w:bCs/>
          <w:color w:val="000000"/>
          <w:sz w:val="32"/>
          <w:szCs w:val="32"/>
        </w:rPr>
        <w:t>提升产线柔性化生产能力与利用率，</w:t>
      </w:r>
      <w:r>
        <w:rPr>
          <w:rFonts w:hint="eastAsia" w:ascii="仿宋_GB2312" w:hAnsi="仿宋_GB2312" w:eastAsia="仿宋_GB2312" w:cs="仿宋_GB2312"/>
          <w:bCs/>
          <w:color w:val="000000"/>
          <w:sz w:val="32"/>
          <w:szCs w:val="32"/>
        </w:rPr>
        <w:t>稳步实现满负荷生产，保障</w:t>
      </w:r>
      <w:r>
        <w:rPr>
          <w:rFonts w:ascii="仿宋_GB2312" w:hAnsi="仿宋_GB2312" w:eastAsia="仿宋_GB2312" w:cs="仿宋_GB2312"/>
          <w:bCs/>
          <w:color w:val="000000"/>
          <w:sz w:val="32"/>
          <w:szCs w:val="32"/>
        </w:rPr>
        <w:t>新车型投产及量产进度，</w:t>
      </w:r>
      <w:r>
        <w:rPr>
          <w:rFonts w:hint="eastAsia" w:ascii="仿宋_GB2312" w:hAnsi="仿宋_GB2312" w:eastAsia="仿宋_GB2312" w:cs="仿宋_GB2312"/>
          <w:bCs/>
          <w:color w:val="000000"/>
          <w:sz w:val="32"/>
          <w:szCs w:val="32"/>
        </w:rPr>
        <w:t>巩固</w:t>
      </w:r>
      <w:r>
        <w:rPr>
          <w:rFonts w:ascii="仿宋_GB2312" w:hAnsi="仿宋_GB2312" w:eastAsia="仿宋_GB2312" w:cs="仿宋_GB2312"/>
          <w:bCs/>
          <w:color w:val="000000"/>
          <w:sz w:val="32"/>
          <w:szCs w:val="32"/>
        </w:rPr>
        <w:t>壮大</w:t>
      </w:r>
      <w:r>
        <w:rPr>
          <w:rFonts w:hint="eastAsia" w:ascii="仿宋_GB2312" w:hAnsi="仿宋_GB2312" w:eastAsia="仿宋_GB2312" w:cs="仿宋_GB2312"/>
          <w:bCs/>
          <w:color w:val="000000"/>
          <w:sz w:val="32"/>
          <w:szCs w:val="32"/>
        </w:rPr>
        <w:t>整车企业生产规模。依托北汽新能源享界超级工厂工业旅游示范点，优化工厂参观路线和设施，拓展互动体验项目，建设产品定制服务中心和产品交付中心，持续优化“工厂参观体验+智驾体验+线下消费”体验，推动整车产业链由单一生产制造向销售服务、售后增值服务延伸。鼓励整车企业开发出口车型，强化海外产品开发及认证，支持企业境外参展办展，开拓国际市场。</w:t>
      </w:r>
    </w:p>
    <w:p>
      <w:pPr>
        <w:spacing w:line="560" w:lineRule="exact"/>
        <w:ind w:firstLine="643"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推动汽车零部件产业高质量发展。</w:t>
      </w:r>
      <w:r>
        <w:rPr>
          <w:rFonts w:hint="eastAsia" w:ascii="仿宋_GB2312" w:hAnsi="仿宋_GB2312" w:eastAsia="仿宋_GB2312" w:cs="仿宋_GB2312"/>
          <w:bCs/>
          <w:color w:val="000000"/>
          <w:sz w:val="32"/>
          <w:szCs w:val="32"/>
        </w:rPr>
        <w:t>锚定汽车底盘产业链发展重点，以一级供应商（Tier1）企业为链长，重点发展智能悬架、线控转向、制动系统等核心零部件领域，构建汽车底盘产业链的特色竞争力。打造车身及结构件特色产业链，推动车身及结构件产业模块化集成，重点发展采用轻量化材料和先进成型技术的高性能车身及零部件产业。聚焦汽车配件细分领域，推动轴承、齿轮和传动部件、汽车轮毂等产业化项目落地，打造汽车配件中小企业特色产业集群。积极培育汽车电子产业，吸引车载摄像头模组、传感器、组合仪表等硬件类汽车电子产业化项目落地，推动企业围绕新能源汽车“三电”系统、底盘制动、智能座舱等核心零部件领域开展研发，培育一批具备模组与系统集成能力的汽车电子一级供应商（Tier1）企业。</w:t>
      </w:r>
    </w:p>
    <w:p>
      <w:pPr>
        <w:pStyle w:val="13"/>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打造</w:t>
      </w:r>
      <w:r>
        <w:rPr>
          <w:rFonts w:hint="eastAsia" w:ascii="仿宋_GB2312" w:hAnsi="仿宋_GB2312" w:eastAsia="仿宋_GB2312" w:cs="仿宋_GB2312"/>
          <w:b/>
          <w:bCs/>
          <w:color w:val="000000"/>
          <w:sz w:val="32"/>
          <w:szCs w:val="32"/>
        </w:rPr>
        <w:t>新能源</w:t>
      </w:r>
      <w:r>
        <w:rPr>
          <w:rFonts w:hint="eastAsia" w:ascii="楷体_GB2312" w:hAnsi="楷体_GB2312" w:eastAsia="楷体_GB2312" w:cs="楷体_GB2312"/>
          <w:b/>
          <w:bCs/>
          <w:color w:val="000000"/>
          <w:sz w:val="32"/>
          <w:szCs w:val="32"/>
        </w:rPr>
        <w:t>智能</w:t>
      </w:r>
      <w:r>
        <w:rPr>
          <w:rFonts w:hint="eastAsia" w:ascii="仿宋_GB2312" w:hAnsi="仿宋_GB2312" w:eastAsia="仿宋_GB2312" w:cs="仿宋_GB2312"/>
          <w:b/>
          <w:color w:val="000000"/>
          <w:sz w:val="32"/>
          <w:szCs w:val="32"/>
        </w:rPr>
        <w:t>汽车产业生态。</w:t>
      </w:r>
      <w:r>
        <w:rPr>
          <w:rFonts w:hint="eastAsia" w:ascii="仿宋_GB2312" w:hAnsi="仿宋_GB2312" w:eastAsia="仿宋_GB2312" w:cs="仿宋_GB2312"/>
          <w:bCs/>
          <w:color w:val="000000"/>
          <w:sz w:val="32"/>
          <w:szCs w:val="32"/>
        </w:rPr>
        <w:t>紧抓北京市高级别自动驾驶示范区扩围契机，探索建设车路协同云控平台，有序推动“车路云一体化”基础设施建设，</w:t>
      </w:r>
      <w:r>
        <w:rPr>
          <w:rFonts w:ascii="仿宋_GB2312" w:hAnsi="仿宋_GB2312" w:eastAsia="仿宋_GB2312" w:cs="仿宋_GB2312"/>
          <w:bCs/>
          <w:color w:val="000000"/>
          <w:sz w:val="32"/>
          <w:szCs w:val="32"/>
        </w:rPr>
        <w:t>统筹优化园区道路、智能化路侧基础设施及智慧停车场</w:t>
      </w:r>
      <w:r>
        <w:rPr>
          <w:rFonts w:hint="eastAsia" w:ascii="仿宋_GB2312" w:hAnsi="仿宋_GB2312" w:eastAsia="仿宋_GB2312" w:cs="仿宋_GB2312"/>
          <w:bCs/>
          <w:color w:val="000000"/>
          <w:sz w:val="32"/>
          <w:szCs w:val="32"/>
        </w:rPr>
        <w:t>规划</w:t>
      </w:r>
      <w:r>
        <w:rPr>
          <w:rFonts w:ascii="仿宋_GB2312" w:hAnsi="仿宋_GB2312" w:eastAsia="仿宋_GB2312" w:cs="仿宋_GB2312"/>
          <w:bCs/>
          <w:color w:val="000000"/>
          <w:sz w:val="32"/>
          <w:szCs w:val="32"/>
        </w:rPr>
        <w:t>布局</w:t>
      </w:r>
      <w:r>
        <w:rPr>
          <w:rFonts w:hint="eastAsia" w:ascii="仿宋_GB2312" w:hAnsi="仿宋_GB2312" w:eastAsia="仿宋_GB2312" w:cs="仿宋_GB2312"/>
          <w:bCs/>
          <w:color w:val="000000"/>
          <w:sz w:val="32"/>
          <w:szCs w:val="32"/>
        </w:rPr>
        <w:t>，重点路口和路段同步部署路侧感知设备和边缘计算系统（MEC），构建“车路云一体化”场景数据库，为新能源智能汽车产业向网联化、智能化方向发展提供核心配套支撑。优化园区充电桩建设和布局，推动企业牵头在园区建设超级充电站、光储充一体化充电站，构建适度超前、快充为主、慢充为辅的新能源汽车充电网络，打造密云园“5分钟充电圈”。</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kern w:val="44"/>
          <w:sz w:val="32"/>
          <w:szCs w:val="32"/>
        </w:rPr>
        <w:t>深度融入汽车产业供应链体系。</w:t>
      </w:r>
      <w:r>
        <w:rPr>
          <w:rFonts w:hint="eastAsia" w:ascii="仿宋_GB2312" w:hAnsi="仿宋_GB2312" w:eastAsia="仿宋_GB2312" w:cs="仿宋_GB2312"/>
          <w:bCs/>
          <w:color w:val="000000"/>
          <w:kern w:val="44"/>
          <w:sz w:val="32"/>
          <w:szCs w:val="32"/>
        </w:rPr>
        <w:t>强化区内汽车零部件企业供应链整合能力，引导企业深度嵌入区内整车及核心配套企业供应链体系，推动产业链上下游企业协同研发、配套生产，大幅提升整车及零部件产业的本地配套率。推动园区零部件企业与国内外整车企业、链主企业协同联动，通过参股、合资合作、交叉持股、签订长单、建立战略联盟等模式，建立持续稳定、合作共赢的产业链合作。搭建汽车产业一体化供需对接平台</w:t>
      </w:r>
      <w:r>
        <w:rPr>
          <w:rFonts w:hint="eastAsia" w:ascii="仿宋_GB2312" w:hAnsi="仿宋_GB2312" w:eastAsia="仿宋_GB2312" w:cs="仿宋_GB2312"/>
          <w:bCs/>
          <w:color w:val="000000"/>
          <w:sz w:val="32"/>
          <w:szCs w:val="32"/>
        </w:rPr>
        <w:t>，集成信息发布共享、供需智能匹配、科技成果转化落地等多元化功能，常态化举办园区汽车产业圆桌会议、</w:t>
      </w:r>
      <w:r>
        <w:rPr>
          <w:rFonts w:ascii="仿宋_GB2312" w:hAnsi="仿宋_GB2312" w:eastAsia="仿宋_GB2312" w:cs="仿宋_GB2312"/>
          <w:bCs/>
          <w:color w:val="000000"/>
          <w:sz w:val="32"/>
          <w:szCs w:val="32"/>
        </w:rPr>
        <w:t>汽车供应链大会</w:t>
      </w:r>
      <w:r>
        <w:rPr>
          <w:rFonts w:hint="eastAsia" w:ascii="仿宋_GB2312" w:hAnsi="仿宋_GB2312" w:eastAsia="仿宋_GB2312" w:cs="仿宋_GB2312"/>
          <w:bCs/>
          <w:color w:val="000000"/>
          <w:sz w:val="32"/>
          <w:szCs w:val="32"/>
        </w:rPr>
        <w:t>等专题活动，促进产业链上下游企业深度交流、精准对接、务实合作，实现供需精准匹配。</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1" w:name="_Toc19467"/>
      <w:r>
        <w:rPr>
          <w:rFonts w:hint="eastAsia" w:ascii="楷体_GB2312" w:hAnsi="楷体_GB2312" w:eastAsia="楷体_GB2312" w:cs="楷体_GB2312"/>
          <w:b w:val="0"/>
          <w:bCs w:val="0"/>
          <w:color w:val="000000"/>
          <w:sz w:val="32"/>
          <w:szCs w:val="32"/>
        </w:rPr>
        <w:t>（二）加快打造生命健康产业集群</w:t>
      </w:r>
      <w:bookmarkEnd w:id="11"/>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立足密云园产业发展基础，加快发展创新药、医疗器械、</w:t>
      </w:r>
      <w:r>
        <w:rPr>
          <w:rFonts w:ascii="仿宋_GB2312" w:hAnsi="仿宋_GB2312" w:eastAsia="仿宋_GB2312" w:cs="仿宋_GB2312"/>
          <w:color w:val="000000"/>
          <w:sz w:val="32"/>
          <w:szCs w:val="32"/>
        </w:rPr>
        <w:t>特殊医学用途配方食品（以下简称“特医食品”）</w:t>
      </w:r>
      <w:r>
        <w:rPr>
          <w:rFonts w:hint="eastAsia" w:ascii="仿宋_GB2312" w:hAnsi="仿宋_GB2312" w:eastAsia="仿宋_GB2312" w:cs="仿宋_GB2312"/>
          <w:color w:val="000000"/>
          <w:sz w:val="32"/>
          <w:szCs w:val="32"/>
        </w:rPr>
        <w:t>、医药外包服务、医疗健康服务等重点领域，前瞻布局细胞与基因治疗、生物制造两大未来健康新赛道，引资源、搭平台、建生态，力争到2030年生命健康产业规模达到80亿元。</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打造创新药生产制造高地。</w:t>
      </w:r>
      <w:r>
        <w:rPr>
          <w:rFonts w:hint="eastAsia" w:ascii="仿宋_GB2312" w:hAnsi="仿宋_GB2312" w:eastAsia="仿宋_GB2312" w:cs="仿宋_GB2312"/>
          <w:color w:val="000000"/>
          <w:sz w:val="32"/>
          <w:szCs w:val="32"/>
        </w:rPr>
        <w:t>加快推动生物创新药产业集群发展，重点面向中国医药工业百强企业吸引疫苗、抗体、核酸类等生物创新药产业化项目集聚，支持园区企业加强创新药研发管线布局，加快推进园区企业创新药技术攻关项目产业化落地，持续丰富园区企业生物创新药产品矩阵。精准培育天然药物创新药产业，主动对接北京大学药学院天然药物及仿生药物全国重点实验室，积极承接实验室科研团队创新药物成果转化项目、实验室合作单位成果产业化项目落地。着力培育中药创新药产业，鼓励园区企业运用新技术、新工艺、新剂型改进已上市中药品种，持续吸引北京市医疗机构中药制剂、名老中医方向中药新药转化项目落地生产。</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加速壮大医疗器械产业集群。</w:t>
      </w:r>
      <w:r>
        <w:rPr>
          <w:rFonts w:hint="eastAsia" w:ascii="仿宋_GB2312" w:hAnsi="仿宋_GB2312" w:eastAsia="仿宋_GB2312" w:cs="仿宋_GB2312"/>
          <w:color w:val="000000"/>
          <w:sz w:val="32"/>
          <w:szCs w:val="32"/>
        </w:rPr>
        <w:t>大力推动植介入器械产业强链补链，支持园区心血管介入企业增资扩产和改造提升，重点吸引高端植入介入产品产业化项目落地，打造国产化的植介入器械产业高地。拓展延伸体外诊断试剂产业链，鼓励园区诊断试剂企业从试剂生产商向“试剂+仪器+服务”整体解决方案供应商转变，重点吸引分子诊断、免疫诊断等领域的新型和超敏诊断试剂产品产业化项目落地。积极培育口腔医疗器械产业集群，以北京大学口腔医院国家医学中心为牵引，深化院地合作，吸引数字化口腔扫描设备、隐形正畸矫治器、3D打印义齿等口腔医疗器械产业化项目集中布局。培育人工智能医疗设备产业新增长点，围绕手术机器人、康复机器人、AI可穿戴医疗设备等领域，积极承接北京大学怀密医学中心创新成果转化项目落地。</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加快培育特医食品产业。</w:t>
      </w:r>
      <w:r>
        <w:rPr>
          <w:rFonts w:hint="eastAsia" w:ascii="仿宋_GB2312" w:hAnsi="仿宋_GB2312" w:eastAsia="仿宋_GB2312" w:cs="仿宋_GB2312"/>
          <w:color w:val="000000"/>
          <w:sz w:val="32"/>
          <w:szCs w:val="32"/>
        </w:rPr>
        <w:t>靶向招引特医食品、保健食品等领域龙头企业、专精特新企业落地集聚。充分发挥园区生物医药、食品饮料制造业的标准化产线资源优势，鼓励园区企业开展</w:t>
      </w:r>
      <w:r>
        <w:rPr>
          <w:rFonts w:ascii="仿宋_GB2312" w:hAnsi="仿宋_GB2312" w:eastAsia="仿宋_GB2312" w:cs="仿宋_GB2312"/>
          <w:color w:val="000000"/>
          <w:sz w:val="32"/>
          <w:szCs w:val="32"/>
        </w:rPr>
        <w:t>特医食品</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保健食品</w:t>
      </w:r>
      <w:r>
        <w:rPr>
          <w:rFonts w:hint="eastAsia" w:ascii="仿宋_GB2312" w:hAnsi="仿宋_GB2312" w:eastAsia="仿宋_GB2312" w:cs="仿宋_GB2312"/>
          <w:color w:val="000000"/>
          <w:sz w:val="32"/>
          <w:szCs w:val="32"/>
        </w:rPr>
        <w:t>等</w:t>
      </w:r>
      <w:r>
        <w:rPr>
          <w:rFonts w:ascii="仿宋_GB2312" w:hAnsi="仿宋_GB2312" w:eastAsia="仿宋_GB2312" w:cs="仿宋_GB2312"/>
          <w:color w:val="000000"/>
          <w:sz w:val="32"/>
          <w:szCs w:val="32"/>
        </w:rPr>
        <w:t>特殊膳食食品研发</w:t>
      </w:r>
      <w:r>
        <w:rPr>
          <w:rFonts w:hint="eastAsia" w:ascii="仿宋_GB2312" w:hAnsi="仿宋_GB2312" w:eastAsia="仿宋_GB2312" w:cs="仿宋_GB2312"/>
          <w:color w:val="000000"/>
          <w:sz w:val="32"/>
          <w:szCs w:val="32"/>
        </w:rPr>
        <w:t>创新，形成一批极具市场竞争力的品牌产品。支持园区企业与科研机构、医疗机构、养老机构、品牌商超建立合作，拓宽产品应用市场，构建覆盖研发、生产、销售到临床应用的特医食品全链条产业生态。</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推动医药外包服务高质量发展。</w:t>
      </w:r>
      <w:r>
        <w:rPr>
          <w:rFonts w:hint="eastAsia" w:ascii="仿宋_GB2312" w:hAnsi="仿宋_GB2312" w:eastAsia="仿宋_GB2312" w:cs="仿宋_GB2312"/>
          <w:bCs/>
          <w:color w:val="000000"/>
          <w:sz w:val="32"/>
          <w:szCs w:val="32"/>
        </w:rPr>
        <w:t>用足用好药品、医疗器械上市许可持有人制度优势，积极承接国内外创新药和医疗器械企业的产品代工项目。支持园区医药外包企业改造升级GMP车间及柔性生产线，构建多品类产能协同的生产代工体系，提升对复杂制剂、无菌制剂、特殊剂型、高值医疗器械等高附加值产品的生产代工、产品优化改良加工能力，培育一批具有行业竞争力的合同外包生产（CMO）龙头企业。支持合同外包生产（CMO）企业向合同研发生产企业（CDMO）升级，积极引入研发人员并建设研发中心，推动业务向产业链高附加值环节延伸。</w:t>
      </w:r>
    </w:p>
    <w:p>
      <w:pPr>
        <w:spacing w:line="560" w:lineRule="exact"/>
        <w:ind w:firstLine="643" w:firstLineChars="200"/>
        <w:textAlignment w:val="center"/>
        <w:rPr>
          <w:rFonts w:ascii="仿宋_GB2312" w:eastAsia="仿宋_GB2312"/>
          <w:color w:val="000000"/>
          <w:sz w:val="32"/>
          <w:szCs w:val="32"/>
        </w:rPr>
      </w:pPr>
      <w:r>
        <w:rPr>
          <w:rFonts w:hint="eastAsia" w:ascii="仿宋_GB2312" w:hAnsi="仿宋_GB2312" w:eastAsia="仿宋_GB2312" w:cs="仿宋_GB2312"/>
          <w:b/>
          <w:color w:val="000000"/>
          <w:sz w:val="32"/>
          <w:szCs w:val="32"/>
        </w:rPr>
        <w:t>加快发展优质医疗健康服务。</w:t>
      </w:r>
      <w:r>
        <w:rPr>
          <w:rFonts w:hint="eastAsia" w:ascii="仿宋_GB2312" w:hAnsi="仿宋_GB2312" w:eastAsia="仿宋_GB2312" w:cs="仿宋_GB2312"/>
          <w:bCs/>
          <w:color w:val="000000"/>
          <w:sz w:val="32"/>
          <w:szCs w:val="32"/>
        </w:rPr>
        <w:t>围绕北京大学怀密医学中心、</w:t>
      </w:r>
      <w:r>
        <w:rPr>
          <w:rFonts w:hint="eastAsia" w:ascii="仿宋_GB2312" w:eastAsia="仿宋_GB2312"/>
          <w:color w:val="000000"/>
          <w:sz w:val="32"/>
          <w:szCs w:val="32"/>
        </w:rPr>
        <w:t>北京大学口腔医院国家医学中心等研究需要，规划建设高水平研究型医院，聚焦前沿技术和科技创新，强化医企合作、产医融合，构建园区医疗健康服务创新引擎。依托北京大学口腔医院国家医学中心平台资源，大力发展口腔医疗特色服务产业，延伸推动口腔医疗与医疗美容、睡眠呼吸健康等医疗服务融合发展，构建以口腔医疗服务为牵引的特色医疗服务产业。结合“两区”建设扩大开放与先行先试改革创新，引入国际高端医疗服务机构、国际商业健康保险机构，积极争取国际医疗服务试点。</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前瞻布局未来健康产业新赛道。</w:t>
      </w:r>
      <w:r>
        <w:rPr>
          <w:rFonts w:hint="eastAsia" w:ascii="仿宋_GB2312" w:hAnsi="仿宋_GB2312" w:eastAsia="仿宋_GB2312" w:cs="仿宋_GB2312"/>
          <w:color w:val="000000"/>
          <w:sz w:val="32"/>
          <w:szCs w:val="32"/>
        </w:rPr>
        <w:t>依托北京大学怀密医学中心创新资源优势，重点发展细胞与基因治疗、生物制造等细分产业。打造首都北部细胞治疗创新高地，聚焦免疫细胞、干细胞、基因编辑和基因治疗药物等重点领域和关键环节，积极承接国家重大科技任务，依托研究型医院建设与国际接轨的临床研究和转化平台，建设密云区域细胞制备中心，加快培育细胞与基因治疗产业发展。谋划建设生物制造未来产业育新基地，加快推进新型细胞与基因精准治疗产业化项目建设，吸引和培育一批生物制造与医药、食品、农业等应用领域的专精特新企业，推动建设生物制造产业创新中心、小试服务平台、中试放大基地等科技创新和公共服务平台，逐步形成涵盖“研发-中试-生产-应用”的全产业链布局。</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着力打造生命健康产业生态。</w:t>
      </w:r>
      <w:r>
        <w:rPr>
          <w:rFonts w:hint="eastAsia" w:ascii="仿宋_GB2312" w:hAnsi="仿宋_GB2312" w:eastAsia="仿宋_GB2312" w:cs="仿宋_GB2312"/>
          <w:bCs/>
          <w:color w:val="000000"/>
          <w:sz w:val="32"/>
          <w:szCs w:val="32"/>
        </w:rPr>
        <w:t>有序推动五大工程建设，逐步构建密云园在生命健康产业的“基础研究-技术开发-概念验证-动物实验-临床试验-小试中试-质量控制-检验检测-量产上市”全产业链闭环优势。</w:t>
      </w:r>
      <w:r>
        <w:rPr>
          <w:rFonts w:hint="eastAsia" w:ascii="仿宋_GB2312" w:hAnsi="仿宋_GB2312" w:eastAsia="仿宋_GB2312" w:cs="仿宋_GB2312"/>
          <w:b/>
          <w:color w:val="000000"/>
          <w:sz w:val="32"/>
          <w:szCs w:val="32"/>
        </w:rPr>
        <w:t>实施临床服务能力建设工程</w:t>
      </w:r>
      <w:r>
        <w:rPr>
          <w:rFonts w:hint="eastAsia" w:ascii="仿宋_GB2312" w:hAnsi="仿宋_GB2312" w:eastAsia="仿宋_GB2312" w:cs="仿宋_GB2312"/>
          <w:bCs/>
          <w:color w:val="000000"/>
          <w:sz w:val="32"/>
          <w:szCs w:val="32"/>
        </w:rPr>
        <w:t>，</w:t>
      </w:r>
      <w:r>
        <w:rPr>
          <w:rFonts w:hint="eastAsia" w:ascii="仿宋_GB2312" w:hAnsi="仿宋_GB2312" w:eastAsia="仿宋_GB2312" w:cs="仿宋_GB2312"/>
          <w:color w:val="000000"/>
          <w:sz w:val="32"/>
          <w:szCs w:val="32"/>
        </w:rPr>
        <w:t>依托北京大学怀密医学中心研究型医院、北京大学第一医院密云医院、密云区中医医院等真实世界临床试验资源，开展创新药械临床研究、入院首试首用，强化临床试验服务对产业的支撑作用。</w:t>
      </w:r>
      <w:r>
        <w:rPr>
          <w:rFonts w:hint="eastAsia" w:ascii="仿宋_GB2312" w:hAnsi="仿宋_GB2312" w:eastAsia="仿宋_GB2312" w:cs="仿宋_GB2312"/>
          <w:b/>
          <w:bCs/>
          <w:color w:val="000000"/>
          <w:sz w:val="32"/>
          <w:szCs w:val="32"/>
        </w:rPr>
        <w:t>实施AI赋能产业升级工程</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Cs/>
          <w:color w:val="000000"/>
          <w:sz w:val="32"/>
          <w:szCs w:val="32"/>
        </w:rPr>
        <w:t>着力推动人工智能技术在创新药械产品研发、生产等环节</w:t>
      </w:r>
      <w:r>
        <w:rPr>
          <w:rFonts w:ascii="仿宋_GB2312" w:hAnsi="仿宋_GB2312" w:eastAsia="仿宋_GB2312" w:cs="仿宋_GB2312"/>
          <w:bCs/>
          <w:color w:val="000000"/>
          <w:sz w:val="32"/>
          <w:szCs w:val="32"/>
        </w:rPr>
        <w:t>深度应用与推广，</w:t>
      </w:r>
      <w:r>
        <w:rPr>
          <w:rFonts w:hint="eastAsia" w:ascii="仿宋_GB2312" w:hAnsi="仿宋_GB2312" w:eastAsia="仿宋_GB2312" w:cs="仿宋_GB2312"/>
          <w:bCs/>
          <w:color w:val="000000"/>
          <w:sz w:val="32"/>
          <w:szCs w:val="32"/>
        </w:rPr>
        <w:t>实现生命</w:t>
      </w:r>
      <w:r>
        <w:rPr>
          <w:rFonts w:ascii="仿宋_GB2312" w:hAnsi="仿宋_GB2312" w:eastAsia="仿宋_GB2312" w:cs="仿宋_GB2312"/>
          <w:bCs/>
          <w:color w:val="000000"/>
          <w:sz w:val="32"/>
          <w:szCs w:val="32"/>
        </w:rPr>
        <w:t>健康产业全链条、全方位升级。</w:t>
      </w:r>
      <w:r>
        <w:rPr>
          <w:rFonts w:hint="eastAsia" w:ascii="仿宋_GB2312" w:hAnsi="仿宋_GB2312" w:eastAsia="仿宋_GB2312" w:cs="仿宋_GB2312"/>
          <w:b/>
          <w:bCs/>
          <w:color w:val="000000"/>
          <w:sz w:val="32"/>
          <w:szCs w:val="32"/>
        </w:rPr>
        <w:t>实施医工交叉融合创新工程</w:t>
      </w:r>
      <w:r>
        <w:rPr>
          <w:rFonts w:hint="eastAsia" w:ascii="仿宋_GB2312" w:hAnsi="仿宋_GB2312" w:eastAsia="仿宋_GB2312" w:cs="仿宋_GB2312"/>
          <w:color w:val="000000"/>
          <w:sz w:val="32"/>
          <w:szCs w:val="32"/>
        </w:rPr>
        <w:t>，建设医工交叉创新中心，以解决医生临床应用需求为导向，推动产生一批医工交叉新产品新技术；建设医工交叉产教融合基地，以研究项目为牵引，统筹真实产线和临床应用实践资源，培养一批兼具医学知识和工程技术的复合型人才。</w:t>
      </w:r>
      <w:r>
        <w:rPr>
          <w:rFonts w:hint="eastAsia" w:ascii="仿宋_GB2312" w:hAnsi="仿宋_GB2312" w:eastAsia="仿宋_GB2312" w:cs="仿宋_GB2312"/>
          <w:b/>
          <w:bCs/>
          <w:color w:val="000000"/>
          <w:sz w:val="32"/>
          <w:szCs w:val="32"/>
        </w:rPr>
        <w:t>实施专业技术平台建设工程</w:t>
      </w:r>
      <w:r>
        <w:rPr>
          <w:rFonts w:hint="eastAsia" w:ascii="仿宋_GB2312" w:hAnsi="仿宋_GB2312" w:eastAsia="仿宋_GB2312" w:cs="仿宋_GB2312"/>
          <w:color w:val="000000"/>
          <w:sz w:val="32"/>
          <w:szCs w:val="32"/>
        </w:rPr>
        <w:t>，支持园区企业建设新药研发设计服务平台、创新器械概念验证中心、实验动物房等</w:t>
      </w:r>
      <w:r>
        <w:rPr>
          <w:rFonts w:hint="eastAsia" w:ascii="仿宋_GB2312" w:hAnsi="仿宋_GB2312" w:eastAsia="仿宋_GB2312" w:cs="仿宋_GB2312"/>
          <w:bCs/>
          <w:color w:val="000000"/>
          <w:sz w:val="32"/>
          <w:szCs w:val="32"/>
        </w:rPr>
        <w:t>共性技术服务平台，为中小企业提供专业技术服务。</w:t>
      </w:r>
      <w:r>
        <w:rPr>
          <w:rFonts w:hint="eastAsia" w:ascii="仿宋_GB2312" w:hAnsi="仿宋_GB2312" w:eastAsia="仿宋_GB2312" w:cs="仿宋_GB2312"/>
          <w:b/>
          <w:color w:val="000000"/>
          <w:sz w:val="32"/>
          <w:szCs w:val="32"/>
        </w:rPr>
        <w:t>实施数据要素利用开放工程</w:t>
      </w:r>
      <w:r>
        <w:rPr>
          <w:rFonts w:hint="eastAsia" w:ascii="仿宋_GB2312" w:hAnsi="仿宋_GB2312" w:eastAsia="仿宋_GB2312" w:cs="仿宋_GB2312"/>
          <w:bCs/>
          <w:color w:val="000000"/>
          <w:sz w:val="32"/>
          <w:szCs w:val="32"/>
        </w:rPr>
        <w:t>，推动园区企业与北京大学怀密医学中心、密云区医疗卫生机构达成深度合作，建设医药健康可信数据空间，整合企业和医院的医疗、医保、医药数据，有效推动医药健康大数据的合规共享和安全应用。</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2" w:name="_Toc16241"/>
      <w:r>
        <w:rPr>
          <w:rFonts w:hint="eastAsia" w:ascii="楷体_GB2312" w:hAnsi="楷体_GB2312" w:eastAsia="楷体_GB2312" w:cs="楷体_GB2312"/>
          <w:b w:val="0"/>
          <w:bCs w:val="0"/>
          <w:color w:val="000000"/>
          <w:sz w:val="32"/>
          <w:szCs w:val="32"/>
        </w:rPr>
        <w:t>（三）着力培育生态环保特色产业</w:t>
      </w:r>
      <w:bookmarkEnd w:id="12"/>
    </w:p>
    <w:p>
      <w:pPr>
        <w:spacing w:line="560" w:lineRule="exact"/>
        <w:ind w:firstLine="640"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充分发挥怀柔科学城东区“1+5”科学设施等科研载体优势，以全域生态环保应用场景为牵引，围绕水生态治理、智能环保、气候经济等重点领域，构建生态环保“技术研发-核心零部件制造-装备制造-系统平台与治理服务”的全产业链，高水平、高标准培育发展生态环保产业。</w:t>
      </w:r>
    </w:p>
    <w:p>
      <w:pPr>
        <w:spacing w:line="560" w:lineRule="exact"/>
        <w:ind w:firstLine="643"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打造水生态治理产业高地。</w:t>
      </w:r>
      <w:r>
        <w:rPr>
          <w:rFonts w:hint="eastAsia" w:ascii="仿宋_GB2312" w:hAnsi="仿宋_GB2312" w:eastAsia="仿宋_GB2312" w:cs="仿宋_GB2312"/>
          <w:bCs/>
          <w:color w:val="000000"/>
          <w:sz w:val="32"/>
          <w:szCs w:val="32"/>
        </w:rPr>
        <w:t>依托国家水生态环境智慧监测业务与实验平台建设，与中国环境监测总站深度合作，围绕水资源、水生态、水环境、水灾害治理等领域，引导龙头企业布局新品研发实验室、实验平台，打造水科技创新策源地。因地制宜发挥密云水库国家饮用水水源地优势，落实《密云水库水源保护条例》，围绕水资源安全、供水安全、水生态安全、水环境安全、防洪安全等水安全领域，引导净水设备、饮水设备、供排水设备、污水处理设备、防洪设备等龙头企业产业化项目落地，积极承接相关科技成果转化项目，打造水资源产业集聚高地。加强与水资源相关产业联盟和行业协会深度合作，组织举办行业高峰论坛、新产品新技术展览会等有影响力的活动，为园区企业链接更广范围、更宽领域的专业资源。</w:t>
      </w:r>
    </w:p>
    <w:p>
      <w:pPr>
        <w:spacing w:line="560" w:lineRule="exact"/>
        <w:ind w:firstLine="643" w:firstLineChars="200"/>
        <w:rPr>
          <w:rFonts w:hint="eastAsia" w:ascii="仿宋_GB2312" w:hAnsi="仿宋_GB2312" w:eastAsia="仿宋_GB2312" w:cs="仿宋_GB2312"/>
          <w:bCs/>
          <w:color w:val="000000"/>
          <w:sz w:val="32"/>
          <w:szCs w:val="32"/>
        </w:rPr>
      </w:pPr>
      <w:r>
        <w:rPr>
          <w:rFonts w:hint="eastAsia" w:ascii="仿宋_GB2312" w:hAnsi="仿宋_GB2312" w:eastAsia="仿宋_GB2312" w:cs="仿宋_GB2312"/>
          <w:b/>
          <w:bCs/>
          <w:color w:val="000000"/>
          <w:sz w:val="32"/>
          <w:szCs w:val="32"/>
        </w:rPr>
        <w:t>加快布局智能环保产业。</w:t>
      </w:r>
      <w:r>
        <w:rPr>
          <w:rFonts w:hint="eastAsia" w:ascii="仿宋_GB2312" w:hAnsi="仿宋_GB2312" w:eastAsia="仿宋_GB2312" w:cs="仿宋_GB2312"/>
          <w:color w:val="000000"/>
          <w:sz w:val="32"/>
          <w:szCs w:val="32"/>
        </w:rPr>
        <w:t>依托地球系统数值模拟装置、环境污染物识别与控制协同创新平台、空地一体环境感知与智能响应研究平台资源，围绕环境污染物识别与控制、区域性复合污染环境综合治理等领域，积极承接生态环境智能监测与系统科技成果转化项目落地。围绕污染预警、自然灾害预警和防灾减灾智慧管理领域，引导</w:t>
      </w:r>
      <w:r>
        <w:rPr>
          <w:rFonts w:hint="eastAsia" w:ascii="仿宋_GB2312" w:hAnsi="仿宋_GB2312" w:eastAsia="仿宋_GB2312" w:cs="仿宋_GB2312"/>
          <w:bCs/>
          <w:color w:val="000000"/>
          <w:sz w:val="32"/>
          <w:szCs w:val="32"/>
        </w:rPr>
        <w:t>智能监测与系统解决方案供应商企业集聚，推动一批智慧水务、智能化环境监测与污染治理、生态环境智能治理模型等领域的专精特新企业集聚，积极培育智能环保产业集群。支持园区智能环保企业与测控装备企业建立供应链合作，构建密云园在大气、水、土、声等多因子环境的智能传感器细分领域的核心竞争力。</w:t>
      </w:r>
    </w:p>
    <w:p>
      <w:pPr>
        <w:spacing w:line="560" w:lineRule="exact"/>
        <w:ind w:firstLine="643" w:firstLineChars="200"/>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b/>
          <w:bCs/>
          <w:color w:val="000000"/>
          <w:sz w:val="32"/>
          <w:szCs w:val="32"/>
        </w:rPr>
        <w:t>前瞻培育气候经济产业。</w:t>
      </w:r>
      <w:r>
        <w:rPr>
          <w:rFonts w:hint="eastAsia" w:ascii="仿宋_GB2312" w:hAnsi="仿宋_GB2312" w:eastAsia="仿宋_GB2312" w:cs="仿宋_GB2312"/>
          <w:color w:val="000000"/>
          <w:sz w:val="32"/>
          <w:szCs w:val="32"/>
        </w:rPr>
        <w:t>依托京津冀大气环境与物理化学前沿交叉研究平台等创新平台，积极承接大气污染治理、天空地协同监测与智能预报、气候资源监测评估与风险预警等科技成果转化项目落地。重点培育气候服务整体解决方案服务商、气象装备制造、气象工程系统集成与数据应用等企业。支持园区企业就近开展气象监测技术真实场景验证，有力支撑密云区气象科技成果转化应用和区域性气象灾害防御示范区建设。</w:t>
      </w:r>
    </w:p>
    <w:p>
      <w:pPr>
        <w:spacing w:line="560" w:lineRule="exact"/>
        <w:ind w:firstLine="643"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打造全域生态环保应用场景。</w:t>
      </w:r>
      <w:r>
        <w:rPr>
          <w:rFonts w:hint="eastAsia" w:ascii="仿宋_GB2312" w:hAnsi="仿宋_GB2312" w:eastAsia="仿宋_GB2312" w:cs="仿宋_GB2312"/>
          <w:color w:val="000000"/>
          <w:sz w:val="32"/>
          <w:szCs w:val="32"/>
        </w:rPr>
        <w:t>统筹密云区全域的流域、森林、农田、产业园区、城市基础设施管网等资源，制定密云区生态环保应用场景机会清单，以应用场景为牵引，引导企业主体参与密云区智慧水务、城市管网数字孪生系统、智慧农业、韧性城市、生态环境监测站等项目建设。鼓励园区企业和特色产业园运营主体，在园区内集成式应用生态环保新技术、新产品、新材料、新工艺，推动园区企业实现全过程减污降碳与清洁生产改造。充分发挥京津冀生态环境联建联防联治机制优势，依托密云区与周边区域生态环保联合执法应用场景开展新技术新产品应用，积极争取参与京津冀三地跨区域生态综合治理、跨区域污染和灾害联防联治项目建设，助力园区企业在更大范围开展新技术新装备的场景化验证与规模化应用。</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3" w:name="_Toc9759"/>
      <w:r>
        <w:rPr>
          <w:rFonts w:hint="eastAsia" w:ascii="楷体_GB2312" w:hAnsi="楷体_GB2312" w:eastAsia="楷体_GB2312" w:cs="楷体_GB2312"/>
          <w:b w:val="0"/>
          <w:bCs w:val="0"/>
          <w:color w:val="000000"/>
          <w:sz w:val="32"/>
          <w:szCs w:val="32"/>
        </w:rPr>
        <w:t>（四）做精做优先进装备特色产业</w:t>
      </w:r>
      <w:bookmarkEnd w:id="13"/>
    </w:p>
    <w:p>
      <w:pPr>
        <w:pStyle w:val="13"/>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聚焦智能测控装备、工业母机、高端电力设备、</w:t>
      </w:r>
      <w:r>
        <w:rPr>
          <w:rFonts w:hint="eastAsia" w:ascii="仿宋_GB2312" w:eastAsia="仿宋_GB2312"/>
          <w:color w:val="000000"/>
          <w:sz w:val="32"/>
          <w:szCs w:val="32"/>
        </w:rPr>
        <w:t>具身智能核心零部件、</w:t>
      </w:r>
      <w:r>
        <w:rPr>
          <w:rFonts w:hint="eastAsia" w:ascii="仿宋_GB2312" w:hAnsi="仿宋_GB2312" w:eastAsia="仿宋_GB2312" w:cs="仿宋_GB2312"/>
          <w:bCs/>
          <w:color w:val="000000"/>
          <w:sz w:val="32"/>
          <w:szCs w:val="32"/>
        </w:rPr>
        <w:t>安全应急装备五大特色领域，构建和完善产业链生态，着力打造五大特色产业集群，提升市场竞争力和行业影响力。</w:t>
      </w:r>
    </w:p>
    <w:p>
      <w:pPr>
        <w:pStyle w:val="13"/>
        <w:spacing w:line="560" w:lineRule="exact"/>
        <w:ind w:firstLine="643" w:firstLineChars="200"/>
        <w:rPr>
          <w:rFonts w:hint="eastAsia" w:ascii="仿宋_GB2312" w:hAnsi="仿宋_GB2312" w:eastAsia="仿宋_GB2312" w:cs="仿宋_GB2312"/>
          <w:bCs/>
          <w:color w:val="000000"/>
          <w:sz w:val="32"/>
          <w:szCs w:val="32"/>
        </w:rPr>
      </w:pPr>
      <w:bookmarkStart w:id="14" w:name="_Hlk219893908"/>
      <w:r>
        <w:rPr>
          <w:rFonts w:hint="eastAsia" w:ascii="仿宋_GB2312" w:eastAsia="仿宋_GB2312"/>
          <w:b/>
          <w:bCs/>
          <w:color w:val="000000"/>
          <w:sz w:val="32"/>
          <w:szCs w:val="32"/>
        </w:rPr>
        <w:t>重点打造智能测控装备产业高地</w:t>
      </w:r>
      <w:bookmarkEnd w:id="14"/>
      <w:r>
        <w:rPr>
          <w:rFonts w:hint="eastAsia" w:ascii="仿宋_GB2312" w:eastAsia="仿宋_GB2312"/>
          <w:b/>
          <w:bCs/>
          <w:color w:val="000000"/>
          <w:sz w:val="32"/>
          <w:szCs w:val="32"/>
        </w:rPr>
        <w:t>。</w:t>
      </w:r>
      <w:r>
        <w:rPr>
          <w:rFonts w:ascii="仿宋_GB2312" w:hAnsi="仿宋_GB2312" w:eastAsia="仿宋_GB2312" w:cs="仿宋_GB2312"/>
          <w:color w:val="000000"/>
          <w:sz w:val="32"/>
          <w:szCs w:val="32"/>
        </w:rPr>
        <w:t>统筹政策资源与要素保障，</w:t>
      </w:r>
      <w:r>
        <w:rPr>
          <w:rFonts w:hint="eastAsia" w:ascii="仿宋_GB2312" w:hAnsi="仿宋_GB2312" w:eastAsia="仿宋_GB2312" w:cs="仿宋_GB2312"/>
          <w:color w:val="000000"/>
          <w:sz w:val="32"/>
          <w:szCs w:val="32"/>
        </w:rPr>
        <w:t>完善集群治理机制，</w:t>
      </w:r>
      <w:r>
        <w:rPr>
          <w:rFonts w:ascii="仿宋_GB2312" w:hAnsi="仿宋_GB2312" w:eastAsia="仿宋_GB2312" w:cs="仿宋_GB2312"/>
          <w:color w:val="000000"/>
          <w:sz w:val="32"/>
          <w:szCs w:val="32"/>
        </w:rPr>
        <w:t>拓展发展空间，推动企业提质增效，持续</w:t>
      </w:r>
      <w:r>
        <w:rPr>
          <w:rFonts w:hint="eastAsia" w:ascii="仿宋_GB2312" w:hAnsi="仿宋_GB2312" w:eastAsia="仿宋_GB2312" w:cs="仿宋_GB2312"/>
          <w:bCs/>
          <w:color w:val="000000"/>
          <w:sz w:val="32"/>
          <w:szCs w:val="32"/>
        </w:rPr>
        <w:t>做大做强测控装备国家级中小企业特色产业集群，重点集聚培育具有产业生态主导力的链主企业，以链主企业为核心牵引产业链上下游企业集聚发展，带动培育一批专精特新企业和系统解决方案供应商。实施全产业链国产化行动，支持链主企业联合高校、科研机构在智能检测装备、核心零部件和专用软件等关键领域，联合攻克一批“卡脖子”和关键共性技术，逐步实现全链条国产化替代。建设智能测控装备公共技术服务平台，配备专业实验室和共享工厂，重点面向测控装备中小企业提供概念验证、样机试制、技术测评、产品选型等共性技术服务，满足企业就近实现产品测试、问题分析和快速迭代的需求。</w:t>
      </w:r>
    </w:p>
    <w:p>
      <w:pPr>
        <w:pStyle w:val="12"/>
        <w:spacing w:after="0" w:line="560" w:lineRule="exact"/>
        <w:ind w:firstLine="643" w:firstLineChars="200"/>
        <w:textAlignment w:val="center"/>
        <w:rPr>
          <w:rFonts w:ascii="仿宋_GB2312" w:eastAsia="仿宋_GB2312"/>
          <w:bCs/>
          <w:color w:val="000000"/>
          <w:sz w:val="32"/>
          <w:szCs w:val="32"/>
        </w:rPr>
      </w:pPr>
      <w:r>
        <w:rPr>
          <w:rFonts w:hint="eastAsia" w:ascii="仿宋_GB2312" w:eastAsia="仿宋_GB2312"/>
          <w:b/>
          <w:bCs/>
          <w:color w:val="000000"/>
          <w:sz w:val="32"/>
          <w:szCs w:val="32"/>
        </w:rPr>
        <w:t>着力推动</w:t>
      </w:r>
      <w:bookmarkStart w:id="15" w:name="_Hlk217460217"/>
      <w:r>
        <w:rPr>
          <w:rFonts w:hint="eastAsia" w:ascii="仿宋_GB2312" w:eastAsia="仿宋_GB2312"/>
          <w:b/>
          <w:color w:val="000000"/>
          <w:sz w:val="32"/>
          <w:szCs w:val="32"/>
        </w:rPr>
        <w:t>工业母机</w:t>
      </w:r>
      <w:bookmarkEnd w:id="15"/>
      <w:r>
        <w:rPr>
          <w:rFonts w:hint="eastAsia" w:ascii="仿宋_GB2312" w:eastAsia="仿宋_GB2312"/>
          <w:b/>
          <w:color w:val="000000"/>
          <w:sz w:val="32"/>
          <w:szCs w:val="32"/>
        </w:rPr>
        <w:t>创新发展。</w:t>
      </w:r>
      <w:r>
        <w:rPr>
          <w:rFonts w:hint="eastAsia" w:ascii="仿宋_GB2312" w:eastAsia="仿宋_GB2312"/>
          <w:bCs/>
          <w:color w:val="000000"/>
          <w:sz w:val="32"/>
          <w:szCs w:val="32"/>
        </w:rPr>
        <w:t>支持园区工业母机整机、机械结构件制造企业强化高精密加工工艺开发，提升制造自动化和精密仪器设备制造能力。鼓励园区龙头企业与高校科研院所组建工业母机创新联合体，围绕工业母机领域“卡脖子”技术以及主轴、轴承、刀库、转台等核心功能部件开展联合攻关。推动工业母机企业加大新技术、新产品推广应用力度，</w:t>
      </w:r>
      <w:r>
        <w:rPr>
          <w:rFonts w:ascii="仿宋_GB2312" w:eastAsia="仿宋_GB2312"/>
          <w:bCs/>
          <w:color w:val="000000"/>
          <w:sz w:val="32"/>
          <w:szCs w:val="32"/>
        </w:rPr>
        <w:t>围绕</w:t>
      </w:r>
      <w:r>
        <w:rPr>
          <w:rFonts w:hint="eastAsia" w:ascii="仿宋_GB2312" w:eastAsia="仿宋_GB2312"/>
          <w:bCs/>
          <w:color w:val="000000"/>
          <w:sz w:val="32"/>
          <w:szCs w:val="32"/>
        </w:rPr>
        <w:t>航空航天、</w:t>
      </w:r>
      <w:r>
        <w:rPr>
          <w:rFonts w:ascii="仿宋_GB2312" w:eastAsia="仿宋_GB2312"/>
          <w:bCs/>
          <w:color w:val="000000"/>
          <w:sz w:val="32"/>
          <w:szCs w:val="32"/>
        </w:rPr>
        <w:t>智能制造装备、新能源汽车等重点领域，积极推进首台（套）重大技术装备示范应用与市场推广</w:t>
      </w:r>
      <w:r>
        <w:rPr>
          <w:rFonts w:hint="eastAsia" w:ascii="仿宋_GB2312" w:eastAsia="仿宋_GB2312"/>
          <w:bCs/>
          <w:color w:val="000000"/>
          <w:sz w:val="32"/>
          <w:szCs w:val="32"/>
        </w:rPr>
        <w:t>。</w:t>
      </w:r>
    </w:p>
    <w:p>
      <w:pPr>
        <w:pStyle w:val="12"/>
        <w:spacing w:after="0" w:line="560" w:lineRule="exact"/>
        <w:ind w:firstLine="643" w:firstLineChars="200"/>
        <w:textAlignment w:val="center"/>
        <w:rPr>
          <w:rFonts w:ascii="仿宋_GB2312" w:eastAsia="仿宋_GB2312"/>
          <w:color w:val="000000"/>
          <w:sz w:val="32"/>
          <w:szCs w:val="32"/>
        </w:rPr>
      </w:pPr>
      <w:r>
        <w:rPr>
          <w:rFonts w:hint="eastAsia" w:ascii="仿宋_GB2312" w:eastAsia="仿宋_GB2312"/>
          <w:b/>
          <w:color w:val="000000"/>
          <w:sz w:val="32"/>
          <w:szCs w:val="32"/>
        </w:rPr>
        <w:t>加快发展</w:t>
      </w:r>
      <w:bookmarkStart w:id="16" w:name="_Hlk217460205"/>
      <w:r>
        <w:rPr>
          <w:rFonts w:hint="eastAsia" w:ascii="仿宋_GB2312" w:eastAsia="仿宋_GB2312"/>
          <w:b/>
          <w:color w:val="000000"/>
          <w:sz w:val="32"/>
          <w:szCs w:val="32"/>
        </w:rPr>
        <w:t>高端电力设备</w:t>
      </w:r>
      <w:bookmarkEnd w:id="16"/>
      <w:r>
        <w:rPr>
          <w:rFonts w:hint="eastAsia" w:ascii="仿宋_GB2312" w:eastAsia="仿宋_GB2312"/>
          <w:b/>
          <w:color w:val="000000"/>
          <w:sz w:val="32"/>
          <w:szCs w:val="32"/>
        </w:rPr>
        <w:t>产业</w:t>
      </w:r>
      <w:r>
        <w:rPr>
          <w:rFonts w:hint="eastAsia" w:ascii="仿宋_GB2312" w:eastAsia="仿宋_GB2312"/>
          <w:b/>
          <w:bCs/>
          <w:color w:val="000000"/>
          <w:sz w:val="32"/>
          <w:szCs w:val="32"/>
        </w:rPr>
        <w:t>。</w:t>
      </w:r>
      <w:r>
        <w:rPr>
          <w:rFonts w:hint="eastAsia" w:ascii="仿宋_GB2312" w:eastAsia="仿宋_GB2312"/>
          <w:color w:val="000000"/>
          <w:sz w:val="32"/>
          <w:szCs w:val="32"/>
        </w:rPr>
        <w:t>聚焦电力设备制造、智能高压等细分领域，着力集聚一批具有核心技术的龙头企业和上下游配套企业，培育打造特色鲜明、优势突出的电力装备产业集群。推动园区龙头企业开放共享超高压实验室等创新平台，支持</w:t>
      </w:r>
      <w:r>
        <w:rPr>
          <w:rFonts w:ascii="仿宋_GB2312" w:eastAsia="仿宋_GB2312"/>
          <w:color w:val="000000"/>
          <w:sz w:val="32"/>
          <w:szCs w:val="32"/>
        </w:rPr>
        <w:t>中小企业以低成本获取高端实验检测、技术验证等</w:t>
      </w:r>
      <w:r>
        <w:rPr>
          <w:rFonts w:hint="eastAsia" w:ascii="仿宋_GB2312" w:eastAsia="仿宋_GB2312"/>
          <w:color w:val="000000"/>
          <w:sz w:val="32"/>
          <w:szCs w:val="32"/>
        </w:rPr>
        <w:t>专业</w:t>
      </w:r>
      <w:r>
        <w:rPr>
          <w:rFonts w:ascii="仿宋_GB2312" w:eastAsia="仿宋_GB2312"/>
          <w:color w:val="000000"/>
          <w:sz w:val="32"/>
          <w:szCs w:val="32"/>
        </w:rPr>
        <w:t>服务</w:t>
      </w:r>
      <w:r>
        <w:rPr>
          <w:rFonts w:hint="eastAsia" w:ascii="仿宋_GB2312" w:eastAsia="仿宋_GB2312"/>
          <w:color w:val="000000"/>
          <w:sz w:val="32"/>
          <w:szCs w:val="32"/>
        </w:rPr>
        <w:t>，</w:t>
      </w:r>
      <w:r>
        <w:rPr>
          <w:rFonts w:ascii="仿宋_GB2312" w:eastAsia="仿宋_GB2312"/>
          <w:color w:val="000000"/>
          <w:sz w:val="32"/>
          <w:szCs w:val="32"/>
        </w:rPr>
        <w:t>推动产业链上下游企业围绕共性技术、关键部件开展联合研发</w:t>
      </w:r>
      <w:r>
        <w:rPr>
          <w:rFonts w:hint="eastAsia" w:ascii="仿宋_GB2312" w:eastAsia="仿宋_GB2312"/>
          <w:color w:val="000000"/>
          <w:sz w:val="32"/>
          <w:szCs w:val="32"/>
        </w:rPr>
        <w:t>，</w:t>
      </w:r>
      <w:r>
        <w:rPr>
          <w:rFonts w:ascii="仿宋_GB2312" w:eastAsia="仿宋_GB2312"/>
          <w:color w:val="000000"/>
          <w:sz w:val="32"/>
          <w:szCs w:val="32"/>
        </w:rPr>
        <w:t>提升产业集群的整体竞争力</w:t>
      </w:r>
      <w:r>
        <w:rPr>
          <w:rFonts w:hint="eastAsia" w:ascii="仿宋_GB2312" w:eastAsia="仿宋_GB2312"/>
          <w:color w:val="000000"/>
          <w:sz w:val="32"/>
          <w:szCs w:val="32"/>
        </w:rPr>
        <w:t>。引导园区企业合理有序开展海外布局，因地制宜采取贸易、投资、技术合作等方式，开展双方、三方和多方市场合作，积极拓展国际市场。</w:t>
      </w:r>
    </w:p>
    <w:p>
      <w:pPr>
        <w:pStyle w:val="12"/>
        <w:spacing w:after="0" w:line="560" w:lineRule="exact"/>
        <w:ind w:firstLine="643" w:firstLineChars="200"/>
        <w:textAlignment w:val="center"/>
        <w:rPr>
          <w:rFonts w:ascii="仿宋_GB2312" w:eastAsia="仿宋_GB2312"/>
          <w:b/>
          <w:bCs/>
          <w:color w:val="000000"/>
          <w:sz w:val="32"/>
          <w:szCs w:val="32"/>
        </w:rPr>
      </w:pPr>
      <w:r>
        <w:rPr>
          <w:rFonts w:hint="eastAsia" w:ascii="仿宋_GB2312" w:eastAsia="仿宋_GB2312"/>
          <w:b/>
          <w:bCs/>
          <w:color w:val="000000"/>
          <w:sz w:val="32"/>
          <w:szCs w:val="32"/>
        </w:rPr>
        <w:t>前瞻布局具身智能核心零部件产业。</w:t>
      </w:r>
      <w:r>
        <w:rPr>
          <w:rFonts w:hint="eastAsia" w:ascii="仿宋_GB2312" w:eastAsia="仿宋_GB2312"/>
          <w:color w:val="000000"/>
          <w:sz w:val="32"/>
          <w:szCs w:val="32"/>
        </w:rPr>
        <w:t>围绕高精度减速器、高端伺服驱动、高性能控制器、新型传感器、智能末端执行器等领域，重点吸引具有产业链整合能力的链主企业、专精特新企业集聚。支持园区企业开展核心零部件技术攻关，研制高性能、高集成度的一体化关节部件、传动部件、多模态传感器，形成一批具有市场竞争力的新技术、新产品。率先在园区工业应用场景搭建真实场景开放测试平台，在工业企业智能化改造升级项目中，推动建设焊接、装配、喷涂、搬运等典型工业机器人应用场景示范线，构建园区“真实产线应用场景+核心零部件生产配套+算力基础设施配套”集成服务能力，带动具身智能领域重大产业化项目落地。</w:t>
      </w:r>
    </w:p>
    <w:p>
      <w:pPr>
        <w:spacing w:line="560" w:lineRule="exact"/>
        <w:ind w:firstLine="643" w:firstLineChars="200"/>
        <w:rPr>
          <w:rFonts w:ascii="仿宋_GB2312" w:eastAsia="仿宋_GB2312"/>
          <w:b/>
          <w:color w:val="000000"/>
          <w:sz w:val="32"/>
          <w:szCs w:val="32"/>
        </w:rPr>
      </w:pPr>
      <w:r>
        <w:rPr>
          <w:rFonts w:hint="eastAsia" w:ascii="仿宋_GB2312" w:eastAsia="仿宋_GB2312"/>
          <w:b/>
          <w:color w:val="000000"/>
          <w:sz w:val="32"/>
          <w:szCs w:val="32"/>
        </w:rPr>
        <w:t>积极培育</w:t>
      </w:r>
      <w:r>
        <w:rPr>
          <w:rFonts w:hint="eastAsia" w:ascii="仿宋_GB2312" w:eastAsia="仿宋_GB2312"/>
          <w:b/>
          <w:bCs/>
          <w:color w:val="000000"/>
          <w:sz w:val="32"/>
          <w:szCs w:val="32"/>
        </w:rPr>
        <w:t>安全应急装备产业</w:t>
      </w:r>
      <w:r>
        <w:rPr>
          <w:rFonts w:hint="eastAsia" w:ascii="仿宋_GB2312" w:eastAsia="仿宋_GB2312"/>
          <w:b/>
          <w:color w:val="000000"/>
          <w:sz w:val="32"/>
          <w:szCs w:val="32"/>
        </w:rPr>
        <w:t>。</w:t>
      </w:r>
      <w:r>
        <w:rPr>
          <w:rFonts w:hint="eastAsia" w:ascii="仿宋_GB2312" w:eastAsia="仿宋_GB2312"/>
          <w:color w:val="000000"/>
          <w:sz w:val="32"/>
          <w:szCs w:val="32"/>
        </w:rPr>
        <w:t>依托地球系统数值模拟装置、空地一体化环境感知与智能响应研究平台、中国安全生产科学研究院等重大创新平台，重点发展适应自然灾害监测预警、紧急生命救护、家庭应急等场景应用需求的安全应急装备产业，吸引一批科技成果转化项目落地。</w:t>
      </w:r>
      <w:r>
        <w:rPr>
          <w:rFonts w:hint="eastAsia" w:ascii="仿宋_GB2312" w:hAnsi="仿宋_GB2312" w:eastAsia="仿宋_GB2312" w:cs="仿宋_GB2312"/>
          <w:bCs/>
          <w:color w:val="000000"/>
          <w:sz w:val="32"/>
          <w:szCs w:val="32"/>
        </w:rPr>
        <w:t>实施新技术新产品新场景大规模应用示范行动，推动</w:t>
      </w:r>
      <w:r>
        <w:rPr>
          <w:rFonts w:hint="eastAsia" w:ascii="仿宋_GB2312" w:eastAsia="仿宋_GB2312"/>
          <w:color w:val="000000"/>
          <w:sz w:val="32"/>
          <w:szCs w:val="32"/>
        </w:rPr>
        <w:t>园区企业开展安全应急装备应用与试点示范，促进安全应急装备与新能源智能汽车、生命健康、智能测控装备、具身智能核心零部件等园区其他主导产业企业联动发展，推动多技术融合应用新品研发和产业链协同创新。</w:t>
      </w:r>
    </w:p>
    <w:p>
      <w:pPr>
        <w:keepNext/>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17" w:name="_Toc22824"/>
      <w:r>
        <w:rPr>
          <w:rFonts w:hint="eastAsia" w:ascii="黑体" w:hAnsi="黑体" w:eastAsia="黑体" w:cs="黑体"/>
          <w:b w:val="0"/>
          <w:bCs w:val="0"/>
          <w:color w:val="000000"/>
          <w:sz w:val="32"/>
          <w:szCs w:val="32"/>
        </w:rPr>
        <w:t>四、加速集聚优质主体，形成梯度式融通发展格局</w:t>
      </w:r>
      <w:bookmarkEnd w:id="17"/>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实施企业强基培优行动，完善园区梯度式企业培育机制，强化大企业引领带动作用，着力营造适合中小企业成长壮大的发展环境，推动构建大中小企业相互依存、相互促进的融通发展格局。</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18" w:name="_Toc19905"/>
      <w:r>
        <w:rPr>
          <w:rFonts w:hint="eastAsia" w:ascii="楷体_GB2312" w:hAnsi="楷体_GB2312" w:eastAsia="楷体_GB2312" w:cs="楷体_GB2312"/>
          <w:b w:val="0"/>
          <w:bCs w:val="0"/>
          <w:color w:val="000000"/>
          <w:sz w:val="32"/>
          <w:szCs w:val="32"/>
        </w:rPr>
        <w:t>（一）</w:t>
      </w:r>
      <w:bookmarkStart w:id="19" w:name="OLE_LINK3"/>
      <w:r>
        <w:rPr>
          <w:rFonts w:hint="eastAsia" w:ascii="楷体_GB2312" w:hAnsi="楷体_GB2312" w:eastAsia="楷体_GB2312" w:cs="楷体_GB2312"/>
          <w:b w:val="0"/>
          <w:bCs w:val="0"/>
          <w:color w:val="000000"/>
          <w:sz w:val="32"/>
          <w:szCs w:val="32"/>
        </w:rPr>
        <w:t>梯度培育优质创新型企业</w:t>
      </w:r>
      <w:bookmarkEnd w:id="18"/>
      <w:bookmarkEnd w:id="19"/>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构建全方位企业培育服务体系，聚焦龙头企业、专精特新企业、高新技术企业不同特点和需求，分类施策，精准服务推动优质企业高质量发展。</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加快打造一批头部企业。</w:t>
      </w:r>
      <w:r>
        <w:rPr>
          <w:rFonts w:hint="eastAsia" w:ascii="仿宋_GB2312" w:hAnsi="仿宋_GB2312" w:eastAsia="仿宋_GB2312" w:cs="仿宋_GB2312"/>
          <w:color w:val="000000"/>
          <w:sz w:val="32"/>
          <w:szCs w:val="32"/>
        </w:rPr>
        <w:t>聚焦产业链、创新链和价值链，精准对接世界500强、中国民营企业500强、独角兽等头部企业，吸引一批创新型、总部型、平台型的行业领军企业落地，促进一批</w:t>
      </w:r>
      <w:r>
        <w:rPr>
          <w:rFonts w:ascii="仿宋_GB2312" w:hAnsi="仿宋_GB2312" w:eastAsia="仿宋_GB2312" w:cs="仿宋_GB2312"/>
          <w:color w:val="000000"/>
          <w:sz w:val="32"/>
          <w:szCs w:val="32"/>
        </w:rPr>
        <w:t>重大产业化项目</w:t>
      </w:r>
      <w:r>
        <w:rPr>
          <w:rFonts w:hint="eastAsia" w:ascii="仿宋_GB2312" w:hAnsi="仿宋_GB2312" w:eastAsia="仿宋_GB2312" w:cs="仿宋_GB2312"/>
          <w:color w:val="000000"/>
          <w:sz w:val="32"/>
          <w:szCs w:val="32"/>
        </w:rPr>
        <w:t>落地。支持园区龙头企业瞄准产业链关键环节和核心技术，通过合作、兼并、重组等方式，加快整合产业链关键核心资源，在产业创新、产业集群打造等方面发挥示范引领作用。</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推动专精特新企业高质量发展。</w:t>
      </w:r>
      <w:r>
        <w:rPr>
          <w:rFonts w:hint="eastAsia" w:ascii="仿宋_GB2312" w:hAnsi="仿宋_GB2312" w:eastAsia="仿宋_GB2312" w:cs="仿宋_GB2312"/>
          <w:color w:val="000000"/>
          <w:sz w:val="32"/>
          <w:szCs w:val="32"/>
        </w:rPr>
        <w:t>坚持梯度培育与精准服务并重，落实工信部《优质中小企业梯度培育管理办法》，建立区级梯度培育企业库，统筹政策资源与申报服务保障。推动专精特新企业技术创新与成果转化，提升企业核心竞争力。深度挖掘主导产业链供应链、股权投资、知识产权、科技奖项、人才引育等数据，常态化发现潜在优质中小企业，定向开展精准培育与服务，组织企业参与认定，构建专精特新企业培育生态，推动专精特新企业高质量发展。</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壮大高新技术企业群体。</w:t>
      </w:r>
      <w:r>
        <w:rPr>
          <w:rFonts w:hint="eastAsia" w:ascii="仿宋_GB2312" w:hAnsi="仿宋_GB2312" w:eastAsia="仿宋_GB2312" w:cs="仿宋_GB2312"/>
          <w:color w:val="000000"/>
          <w:sz w:val="32"/>
          <w:szCs w:val="32"/>
        </w:rPr>
        <w:t>挖潜一批创新基础好、发展潜力大的科技型中小企业，推动企业</w:t>
      </w:r>
      <w:r>
        <w:rPr>
          <w:rFonts w:ascii="仿宋_GB2312" w:hAnsi="仿宋_GB2312" w:eastAsia="仿宋_GB2312" w:cs="仿宋_GB2312"/>
          <w:color w:val="000000"/>
          <w:sz w:val="32"/>
          <w:szCs w:val="32"/>
        </w:rPr>
        <w:t>向新技术、新模式、新业态转型，加速成长为国家高新技术企业，形成“</w:t>
      </w:r>
      <w:r>
        <w:rPr>
          <w:rFonts w:hint="eastAsia" w:ascii="仿宋_GB2312" w:hAnsi="仿宋_GB2312" w:eastAsia="仿宋_GB2312" w:cs="仿宋_GB2312"/>
          <w:color w:val="000000"/>
          <w:sz w:val="32"/>
          <w:szCs w:val="32"/>
        </w:rPr>
        <w:t>发现</w:t>
      </w:r>
      <w:r>
        <w:rPr>
          <w:rFonts w:ascii="仿宋_GB2312" w:hAnsi="仿宋_GB2312" w:eastAsia="仿宋_GB2312" w:cs="仿宋_GB2312"/>
          <w:color w:val="000000"/>
          <w:sz w:val="32"/>
          <w:szCs w:val="32"/>
        </w:rPr>
        <w:t>一批、培育一批、</w:t>
      </w:r>
      <w:r>
        <w:rPr>
          <w:rFonts w:hint="eastAsia" w:ascii="仿宋_GB2312" w:hAnsi="仿宋_GB2312" w:eastAsia="仿宋_GB2312" w:cs="仿宋_GB2312"/>
          <w:color w:val="000000"/>
          <w:sz w:val="32"/>
          <w:szCs w:val="32"/>
        </w:rPr>
        <w:t>推荐</w:t>
      </w:r>
      <w:r>
        <w:rPr>
          <w:rFonts w:ascii="仿宋_GB2312" w:hAnsi="仿宋_GB2312" w:eastAsia="仿宋_GB2312" w:cs="仿宋_GB2312"/>
          <w:color w:val="000000"/>
          <w:sz w:val="32"/>
          <w:szCs w:val="32"/>
        </w:rPr>
        <w:t>一批、认定一批、发展一批”</w:t>
      </w:r>
      <w:r>
        <w:rPr>
          <w:rFonts w:hint="eastAsia" w:ascii="仿宋_GB2312" w:hAnsi="仿宋_GB2312" w:eastAsia="仿宋_GB2312" w:cs="仿宋_GB2312"/>
          <w:color w:val="000000"/>
          <w:sz w:val="32"/>
          <w:szCs w:val="32"/>
        </w:rPr>
        <w:t>高新技术企业培育机制</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完善高新技术企业管理服务体系，组建高新技术企业认定辅导服务团队，做好政策宣传和申报辅导服务，支持企业纳入中关村高新技术企业培育服务库和全国科技型中小企业信息库。</w:t>
      </w:r>
      <w:r>
        <w:rPr>
          <w:rFonts w:ascii="仿宋_GB2312" w:hAnsi="仿宋_GB2312" w:eastAsia="仿宋_GB2312" w:cs="仿宋_GB2312"/>
          <w:color w:val="000000"/>
          <w:sz w:val="32"/>
          <w:szCs w:val="32"/>
        </w:rPr>
        <w:t>支持高新技术企业做大做强</w:t>
      </w:r>
      <w:r>
        <w:rPr>
          <w:rFonts w:hint="eastAsia" w:ascii="仿宋_GB2312" w:hAnsi="仿宋_GB2312" w:eastAsia="仿宋_GB2312" w:cs="仿宋_GB2312"/>
          <w:color w:val="000000"/>
          <w:sz w:val="32"/>
          <w:szCs w:val="32"/>
        </w:rPr>
        <w:t>，全面落实高新技术企业税收优惠，鼓励企业持续加大研发创新投入，积极参与中关村新技术新产品首发平台举办发布、路演、对接等活动，增强高新技术企业核心竞争力。</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0" w:name="_Toc15881"/>
      <w:r>
        <w:rPr>
          <w:rFonts w:hint="eastAsia" w:ascii="楷体_GB2312" w:hAnsi="楷体_GB2312" w:eastAsia="楷体_GB2312" w:cs="楷体_GB2312"/>
          <w:b w:val="0"/>
          <w:bCs w:val="0"/>
          <w:color w:val="000000"/>
          <w:sz w:val="32"/>
          <w:szCs w:val="32"/>
        </w:rPr>
        <w:t>（二）引导企业智能化绿色化融合化发展</w:t>
      </w:r>
      <w:bookmarkEnd w:id="20"/>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以智能化为牵引、绿色化为导向、融合化为支撑，推动园区制造业企业向服务型制造企业转型，持续探索生态涵养区制造业企业高质量发展的现实路径。</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加快推动企业智能化转型升级。</w:t>
      </w:r>
      <w:r>
        <w:rPr>
          <w:rFonts w:hint="eastAsia" w:ascii="仿宋_GB2312" w:hAnsi="仿宋_GB2312" w:eastAsia="仿宋_GB2312" w:cs="仿宋_GB2312"/>
          <w:bCs/>
          <w:color w:val="000000"/>
          <w:sz w:val="32"/>
          <w:szCs w:val="32"/>
        </w:rPr>
        <w:t>深入实施“人工智能+制造”专项行动，支持园区企业使用“算力券”“模型券”，开展行业人工智能模型训练和应用，引导企业加快推进“智改数转网联”。梯度培育制造业企业智能工厂，支持企业实施设备更新改造项目，推动规模以上制造业企业全面实现数字化达标，建设一批先进级智能工厂，培育卓越级、领航级智能工厂。支持园区先进级智能工厂企业赋能供应链上下游企业，在研发设计、采购供应、生产制造、仓储物流、产品服务等环节全面集成和高度协同，带动上下游供应链企业实施数字化技术改造升级。</w:t>
      </w:r>
    </w:p>
    <w:p>
      <w:pPr>
        <w:spacing w:line="560" w:lineRule="exact"/>
        <w:ind w:firstLine="643" w:firstLineChars="200"/>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支持企业实施绿色化改造升级。</w:t>
      </w:r>
      <w:r>
        <w:rPr>
          <w:rFonts w:hint="eastAsia" w:ascii="仿宋_GB2312" w:hAnsi="仿宋_GB2312" w:eastAsia="仿宋_GB2312" w:cs="仿宋_GB2312"/>
          <w:bCs/>
          <w:color w:val="000000"/>
          <w:sz w:val="32"/>
          <w:szCs w:val="32"/>
        </w:rPr>
        <w:t>鼓励园区企业积极申报北京市绿色诊断服务，实现规模以上制造业企业绿色诊断服务全覆盖，提升企业在绿色管理、产品生态设计、生产工艺和设备、资源能源投入、环境排放、碳排放等方面水平。鼓励园区企业自发建设屋顶分布式光伏项目并完成建档立卡和绿电认证，构建稳定可靠的绿色电力供应体系，稳步</w:t>
      </w:r>
      <w:r>
        <w:rPr>
          <w:rFonts w:ascii="仿宋_GB2312" w:hAnsi="仿宋_GB2312" w:eastAsia="仿宋_GB2312" w:cs="仿宋_GB2312"/>
          <w:bCs/>
          <w:color w:val="000000"/>
          <w:sz w:val="32"/>
          <w:szCs w:val="32"/>
        </w:rPr>
        <w:t>提升绿电消费比例</w:t>
      </w:r>
      <w:r>
        <w:rPr>
          <w:rFonts w:hint="eastAsia" w:ascii="仿宋_GB2312" w:hAnsi="仿宋_GB2312" w:eastAsia="仿宋_GB2312" w:cs="仿宋_GB2312"/>
          <w:bCs/>
          <w:color w:val="000000"/>
          <w:sz w:val="32"/>
          <w:szCs w:val="32"/>
        </w:rPr>
        <w:t>，有效降低企业用电成本并减少碳排放。强化资源节约集约利用，推动园区企业内、跨企业的最优物料和能源循环路径建设，促进工业余压余热、废水废气废液废渣资源化利用以及水循环利用。结合企业绿色诊断服务工作，组织园区企业积极申报市级、国家级绿色工厂，支持具备条件的企业申报北京市美丽工厂、北京市低碳领跑者试点优秀单位。</w:t>
      </w:r>
    </w:p>
    <w:p>
      <w:pPr>
        <w:spacing w:line="560" w:lineRule="exact"/>
        <w:ind w:firstLine="643" w:firstLineChars="200"/>
        <w:textAlignment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支持企业融合化发展。</w:t>
      </w:r>
      <w:r>
        <w:rPr>
          <w:rFonts w:hint="eastAsia" w:ascii="仿宋_GB2312" w:hAnsi="仿宋_GB2312" w:eastAsia="仿宋_GB2312" w:cs="仿宋_GB2312"/>
          <w:color w:val="000000"/>
          <w:sz w:val="32"/>
          <w:szCs w:val="32"/>
        </w:rPr>
        <w:t>支持园区制造业企业向上延伸产业链强化研发设计服务，向下延伸产业链强化售后安装运维服务，由单一的生产制造商向“制造+服务”“产品+系统解决方案”的系统集成商、整体解决方案供应商转变，为客户提供</w:t>
      </w:r>
      <w:r>
        <w:rPr>
          <w:rFonts w:hint="eastAsia" w:ascii="仿宋_GB2312" w:hAnsi="仿宋_GB2312" w:eastAsia="仿宋_GB2312" w:cs="仿宋_GB2312"/>
          <w:color w:val="000000"/>
          <w:spacing w:val="-6"/>
          <w:sz w:val="32"/>
          <w:szCs w:val="32"/>
        </w:rPr>
        <w:t>“硬件+软件+平台+服务”的整体解决方案。</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1" w:name="_Toc23910"/>
      <w:r>
        <w:rPr>
          <w:rFonts w:hint="eastAsia" w:ascii="楷体_GB2312" w:hAnsi="楷体_GB2312" w:eastAsia="楷体_GB2312" w:cs="楷体_GB2312"/>
          <w:b w:val="0"/>
          <w:bCs w:val="0"/>
          <w:color w:val="000000"/>
          <w:sz w:val="32"/>
          <w:szCs w:val="32"/>
        </w:rPr>
        <w:t>（三）促进大中小企业融通发展</w:t>
      </w:r>
      <w:bookmarkEnd w:id="21"/>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落实全市大中小企业融通发展要求，统筹产业链供应链协同政策，对接市级联盟与重点企业资源。</w:t>
      </w:r>
      <w:r>
        <w:rPr>
          <w:rFonts w:hint="eastAsia" w:ascii="仿宋_GB2312" w:hAnsi="仿宋_GB2312" w:eastAsia="仿宋_GB2312" w:cs="仿宋_GB2312"/>
          <w:color w:val="000000"/>
          <w:sz w:val="32"/>
          <w:szCs w:val="32"/>
        </w:rPr>
        <w:t>支持园区龙头企业联合中小企业牵头建立产业技术创新联盟，组织实施一批产业链关键共性技术研发、工程化技术攻关等项目，助力园区中小企业破解技术“卡点”“堵点”，推动提升园区产业集群整体创新竞争力。支持园区龙头企业牵头建立产业链供应链供需对接平台，促进园区企业间达成园区微循环供应链合作，提高园区企业间的供应链本地化配套率。鼓励园区企业开放真实产线应用场景，以应用场景资源吸引产业链上下游领军企业开展新装备新技术新产品的应用测试验证，有效缩短企业新品开发迭代周期。引导园区中小企业主动加入国家和北京市各类产业联盟和行业协会，促进园区中小企业进入大型国央企、民营企业、外资企业的供应链体系。鼓励园区科技服务平台和机构加强大中小企业供需对接、场景对接撮合服务、跨领域融合创新专业服务，助力园区大中小企业融通发展。</w:t>
      </w:r>
      <w:r>
        <w:rPr>
          <w:rFonts w:ascii="仿宋_GB2312" w:hAnsi="仿宋_GB2312" w:eastAsia="仿宋_GB2312" w:cs="仿宋_GB2312"/>
          <w:color w:val="000000"/>
          <w:sz w:val="32"/>
          <w:szCs w:val="32"/>
        </w:rPr>
        <w:t>推动大企业支持配合上下游中小企业开展供应链融资，助力缓解中小企业融资难融资贵。</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2" w:name="_Toc24418"/>
      <w:r>
        <w:rPr>
          <w:rFonts w:hint="eastAsia" w:ascii="楷体_GB2312" w:hAnsi="楷体_GB2312" w:eastAsia="楷体_GB2312" w:cs="楷体_GB2312"/>
          <w:b w:val="0"/>
          <w:bCs w:val="0"/>
          <w:color w:val="000000"/>
          <w:sz w:val="32"/>
          <w:szCs w:val="32"/>
        </w:rPr>
        <w:t>（四）</w:t>
      </w:r>
      <w:r>
        <w:rPr>
          <w:rFonts w:ascii="楷体_GB2312" w:hAnsi="楷体_GB2312" w:eastAsia="楷体_GB2312" w:cs="楷体_GB2312"/>
          <w:b w:val="0"/>
          <w:bCs w:val="0"/>
          <w:color w:val="000000"/>
          <w:sz w:val="32"/>
          <w:szCs w:val="32"/>
        </w:rPr>
        <w:t>加强园区中小企业服务体系建设</w:t>
      </w:r>
      <w:bookmarkEnd w:id="22"/>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对标全市中小企业服务载体建设要求，构建特色产业集群治理机制、未来产业育新平台、专精特新服务站三位一体中小企业服务载体体系。依托园区现有资源要素，加力培育新能源智能汽车、</w:t>
      </w:r>
      <w:r>
        <w:rPr>
          <w:rFonts w:hint="eastAsia" w:ascii="仿宋_GB2312" w:hAnsi="仿宋_GB2312" w:eastAsia="仿宋_GB2312" w:cs="仿宋_GB2312"/>
          <w:color w:val="000000"/>
          <w:sz w:val="32"/>
          <w:szCs w:val="32"/>
        </w:rPr>
        <w:t>生命</w:t>
      </w:r>
      <w:r>
        <w:rPr>
          <w:rFonts w:ascii="仿宋_GB2312" w:hAnsi="仿宋_GB2312" w:eastAsia="仿宋_GB2312" w:cs="仿宋_GB2312"/>
          <w:color w:val="000000"/>
          <w:sz w:val="32"/>
          <w:szCs w:val="32"/>
        </w:rPr>
        <w:t>健康等</w:t>
      </w:r>
      <w:r>
        <w:rPr>
          <w:rFonts w:hint="eastAsia" w:ascii="仿宋_GB2312" w:hAnsi="仿宋_GB2312" w:eastAsia="仿宋_GB2312" w:cs="仿宋_GB2312"/>
          <w:color w:val="000000"/>
          <w:sz w:val="32"/>
          <w:szCs w:val="32"/>
        </w:rPr>
        <w:t>领域特色</w:t>
      </w:r>
      <w:r>
        <w:rPr>
          <w:rFonts w:ascii="仿宋_GB2312" w:hAnsi="仿宋_GB2312" w:eastAsia="仿宋_GB2312" w:cs="仿宋_GB2312"/>
          <w:color w:val="000000"/>
          <w:sz w:val="32"/>
          <w:szCs w:val="32"/>
        </w:rPr>
        <w:t>产业集群，完善集群治理与协同发展机制，将优质中小企业梯度培育与集群建设深度结合。布局建设未来产业育新平台，集聚创新、科研、金融、人才等核心要素，为前沿产业企业提供全周期培育赋能。规范推进专精特新服务站建设，聚焦政策对接、融资促进、科技创新、数字化转型、市场拓展、知识产权、法律服务等领域，提供精准化、专业化、便利化服务，整合多方服务资源，完善企业全生命周期服务链条，全面提升园区服务支撑能力。</w:t>
      </w:r>
    </w:p>
    <w:p>
      <w:pPr>
        <w:adjustRightInd w:val="0"/>
        <w:snapToGrid w:val="0"/>
        <w:spacing w:line="560" w:lineRule="exact"/>
        <w:ind w:firstLine="640" w:firstLineChars="200"/>
        <w:textAlignment w:val="center"/>
        <w:outlineLvl w:val="0"/>
        <w:rPr>
          <w:rFonts w:hint="eastAsia" w:ascii="楷体_GB2312" w:hAnsi="楷体_GB2312" w:eastAsia="楷体_GB2312" w:cs="楷体_GB2312"/>
          <w:b w:val="0"/>
          <w:bCs w:val="0"/>
          <w:color w:val="000000"/>
          <w:sz w:val="32"/>
          <w:szCs w:val="32"/>
        </w:rPr>
      </w:pPr>
      <w:bookmarkStart w:id="23" w:name="_Toc26407"/>
      <w:r>
        <w:rPr>
          <w:rFonts w:hint="eastAsia" w:ascii="黑体" w:hAnsi="黑体" w:eastAsia="黑体" w:cs="黑体"/>
          <w:b w:val="0"/>
          <w:bCs w:val="0"/>
          <w:color w:val="000000"/>
          <w:sz w:val="32"/>
          <w:szCs w:val="32"/>
        </w:rPr>
        <w:t>五、全力打造特色园区，构筑“四区”协同发展格局</w:t>
      </w:r>
      <w:bookmarkEnd w:id="23"/>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以集约高效利用空间为目标，以特色产业园建设为抓手，有序推动低效产业用地“腾笼换鸟”，打造高品质、低成本产业空间，引导园区产业差异化集中布局，促进各功能分区协同联动发展。</w:t>
      </w:r>
    </w:p>
    <w:p>
      <w:pPr>
        <w:jc w:val="center"/>
        <w:textAlignment w:val="center"/>
        <w:rPr>
          <w:rFonts w:hint="eastAsia" w:ascii="黑体" w:hAnsi="黑体" w:eastAsia="黑体" w:cs="黑体"/>
          <w:bCs/>
          <w:color w:val="000000"/>
          <w:sz w:val="28"/>
          <w:szCs w:val="28"/>
        </w:rPr>
      </w:pPr>
      <w:r>
        <w:rPr>
          <w:rFonts w:hint="eastAsia" w:ascii="黑体" w:hAnsi="黑体" w:eastAsia="黑体" w:cs="黑体"/>
          <w:bCs/>
          <w:color w:val="000000"/>
          <w:kern w:val="2"/>
          <w:sz w:val="28"/>
          <w:szCs w:val="28"/>
          <w:lang w:val="en-US" w:eastAsia="zh-CN" w:bidi="ar-SA"/>
        </w:rPr>
        <w:drawing>
          <wp:inline distT="0" distB="0" distL="114300" distR="114300">
            <wp:extent cx="5274310" cy="4097655"/>
            <wp:effectExtent l="0" t="0" r="2540" b="171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3">
                      <a:lum/>
                    </a:blip>
                    <a:stretch>
                      <a:fillRect/>
                    </a:stretch>
                  </pic:blipFill>
                  <pic:spPr>
                    <a:xfrm>
                      <a:off x="0" y="0"/>
                      <a:ext cx="5274310" cy="4097655"/>
                    </a:xfrm>
                    <a:prstGeom prst="rect">
                      <a:avLst/>
                    </a:prstGeom>
                    <a:noFill/>
                    <a:ln>
                      <a:noFill/>
                    </a:ln>
                  </pic:spPr>
                </pic:pic>
              </a:graphicData>
            </a:graphic>
          </wp:inline>
        </w:drawing>
      </w:r>
    </w:p>
    <w:p>
      <w:pPr>
        <w:jc w:val="center"/>
        <w:textAlignment w:val="center"/>
        <w:outlineLvl w:val="4"/>
        <w:rPr>
          <w:rFonts w:eastAsia="黑体"/>
          <w:color w:val="000000"/>
          <w:sz w:val="28"/>
          <w:szCs w:val="28"/>
        </w:rPr>
      </w:pPr>
      <w:r>
        <w:rPr>
          <w:rFonts w:hint="eastAsia" w:eastAsia="黑体"/>
          <w:color w:val="000000"/>
          <w:sz w:val="28"/>
          <w:szCs w:val="28"/>
        </w:rPr>
        <w:t>图5-1  密云园功能分区示意图</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4" w:name="_Toc23776"/>
      <w:r>
        <w:rPr>
          <w:rFonts w:hint="eastAsia" w:ascii="楷体_GB2312" w:hAnsi="楷体_GB2312" w:eastAsia="楷体_GB2312" w:cs="楷体_GB2312"/>
          <w:b w:val="0"/>
          <w:bCs w:val="0"/>
          <w:color w:val="000000"/>
          <w:sz w:val="32"/>
          <w:szCs w:val="32"/>
        </w:rPr>
        <w:t>（一）高端智造区重点打造先进制造业集中承载区</w:t>
      </w:r>
      <w:bookmarkEnd w:id="24"/>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聚焦园区主导产业和特色产业，优化产业空间布局，强化产业集群发展，提高土地集约利用水平，统筹推进增强园区先进制造业规模集聚效能。</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推动低效建设用地城市更新。</w:t>
      </w:r>
      <w:r>
        <w:rPr>
          <w:rFonts w:hint="eastAsia" w:ascii="仿宋_GB2312" w:hAnsi="仿宋_GB2312" w:eastAsia="仿宋_GB2312" w:cs="仿宋_GB2312"/>
          <w:bCs/>
          <w:color w:val="000000"/>
          <w:sz w:val="32"/>
          <w:szCs w:val="32"/>
        </w:rPr>
        <w:t>加强老旧厂房、低效楼宇、传统商业设施等既有建筑改造利用，推动建筑功能转换和混合利用，根据建筑主导功能依法依规合理转换土地用途。鼓励以市场化方式推动低效建设用地“腾笼换鸟”、更新改造，支持园区平台公司利用已收回的低效建设用地建设高标准工业厂房、物流仓储设施等载体，引导产业化项目按照产业集群模式实现相对集中连片布局。以龙头企业为核心打造“15分钟产业生态圈”，引导产业链上下游企业、公共技术服务平台、中试基地、科技成果转化基地、孵化器等载体集中布局，缩短产业链上下游企业间的产业分工协作距离，增强产业集群规模效应。</w:t>
      </w:r>
    </w:p>
    <w:p>
      <w:pPr>
        <w:spacing w:line="560" w:lineRule="exact"/>
        <w:ind w:firstLine="643" w:firstLineChars="200"/>
        <w:textAlignment w:val="center"/>
        <w:rPr>
          <w:rFonts w:hint="eastAsia" w:ascii="仿宋_GB2312" w:hAnsi="楷体_GB2312" w:eastAsia="仿宋_GB2312" w:cs="楷体_GB2312"/>
          <w:b/>
          <w:bCs/>
          <w:color w:val="000000"/>
          <w:sz w:val="32"/>
          <w:szCs w:val="32"/>
        </w:rPr>
      </w:pPr>
      <w:r>
        <w:rPr>
          <w:rFonts w:hint="eastAsia" w:ascii="仿宋_GB2312" w:hAnsi="楷体_GB2312" w:eastAsia="仿宋_GB2312" w:cs="楷体_GB2312"/>
          <w:b/>
          <w:bCs/>
          <w:color w:val="000000"/>
          <w:sz w:val="32"/>
          <w:szCs w:val="32"/>
        </w:rPr>
        <w:t>高标准建设北大医学科技园。</w:t>
      </w:r>
      <w:r>
        <w:rPr>
          <w:rFonts w:hint="eastAsia" w:ascii="仿宋_GB2312" w:hAnsi="楷体_GB2312" w:eastAsia="仿宋_GB2312" w:cs="楷体_GB2312"/>
          <w:color w:val="000000"/>
          <w:sz w:val="32"/>
          <w:szCs w:val="32"/>
        </w:rPr>
        <w:t>积极探索地方与高校共建大学科技园新模式，建立健全“一组两办”、成果转化收益反哺等特色管理机制，规划建设研发实验区、孵化转化区、产业承载区，打造集研发实验、孵化转化、熟化中试、生产制造功能于一体的大学科技园。在研发实验区集中布局各类实验室、公共技术平台等研发平台，开展基础研究和关键核心技术攻关，促进产生一批前沿技术创新成果。在创业孵化区建设孵化器、加速器、北大医学科技园技术转移中心等一批孵化转化载体，积极引导北大医学部及附属医院产出的具备明确市场化前景和转化价值的优质科技成果转化落地。在产业承载区按项目需求建设标准化厂房，完善园区道路、水电气暖、人才公寓、商业休闲等基础设施，为企业提供高品质物业服务。</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支持中关村（密云）生命健康服务产业园建设高品质园区。</w:t>
      </w:r>
      <w:r>
        <w:rPr>
          <w:rFonts w:hint="eastAsia" w:ascii="仿宋_GB2312" w:hAnsi="仿宋_GB2312" w:eastAsia="仿宋_GB2312" w:cs="仿宋_GB2312"/>
          <w:color w:val="000000"/>
          <w:sz w:val="32"/>
          <w:szCs w:val="32"/>
        </w:rPr>
        <w:t>推动园区运营管理机构改革，实现“轻重资产”分离，</w:t>
      </w:r>
      <w:r>
        <w:rPr>
          <w:rFonts w:ascii="仿宋_GB2312" w:hAnsi="仿宋_GB2312" w:eastAsia="仿宋_GB2312" w:cs="仿宋_GB2312"/>
          <w:color w:val="000000"/>
          <w:sz w:val="32"/>
          <w:szCs w:val="32"/>
        </w:rPr>
        <w:t>提升园区资源配置效率和运营管理效能</w:t>
      </w:r>
      <w:r>
        <w:rPr>
          <w:rFonts w:hint="eastAsia" w:ascii="仿宋_GB2312" w:hAnsi="仿宋_GB2312" w:eastAsia="仿宋_GB2312" w:cs="仿宋_GB2312"/>
          <w:color w:val="000000"/>
          <w:sz w:val="32"/>
          <w:szCs w:val="32"/>
        </w:rPr>
        <w:t>。着力</w:t>
      </w:r>
      <w:r>
        <w:rPr>
          <w:rFonts w:ascii="仿宋_GB2312" w:hAnsi="仿宋_GB2312" w:eastAsia="仿宋_GB2312" w:cs="仿宋_GB2312"/>
          <w:color w:val="000000"/>
          <w:sz w:val="32"/>
          <w:szCs w:val="32"/>
        </w:rPr>
        <w:t>提升</w:t>
      </w:r>
      <w:r>
        <w:rPr>
          <w:rFonts w:hint="eastAsia" w:ascii="仿宋_GB2312" w:hAnsi="仿宋_GB2312" w:eastAsia="仿宋_GB2312" w:cs="仿宋_GB2312"/>
          <w:color w:val="000000"/>
          <w:sz w:val="32"/>
          <w:szCs w:val="32"/>
        </w:rPr>
        <w:t>园区</w:t>
      </w:r>
      <w:r>
        <w:rPr>
          <w:rFonts w:ascii="仿宋_GB2312" w:hAnsi="仿宋_GB2312" w:eastAsia="仿宋_GB2312" w:cs="仿宋_GB2312"/>
          <w:color w:val="000000"/>
          <w:sz w:val="32"/>
          <w:szCs w:val="32"/>
        </w:rPr>
        <w:t>运营团队</w:t>
      </w:r>
      <w:r>
        <w:rPr>
          <w:rFonts w:hint="eastAsia" w:ascii="仿宋_GB2312" w:hAnsi="仿宋_GB2312" w:eastAsia="仿宋_GB2312" w:cs="仿宋_GB2312"/>
          <w:color w:val="000000"/>
          <w:sz w:val="32"/>
          <w:szCs w:val="32"/>
        </w:rPr>
        <w:t>专业化</w:t>
      </w:r>
      <w:r>
        <w:rPr>
          <w:rFonts w:ascii="仿宋_GB2312" w:hAnsi="仿宋_GB2312" w:eastAsia="仿宋_GB2312" w:cs="仿宋_GB2312"/>
          <w:color w:val="000000"/>
          <w:sz w:val="32"/>
          <w:szCs w:val="32"/>
        </w:rPr>
        <w:t>服务能力</w:t>
      </w:r>
      <w:r>
        <w:rPr>
          <w:rFonts w:hint="eastAsia" w:ascii="仿宋_GB2312" w:hAnsi="仿宋_GB2312" w:eastAsia="仿宋_GB2312" w:cs="仿宋_GB2312"/>
          <w:color w:val="000000"/>
          <w:sz w:val="32"/>
          <w:szCs w:val="32"/>
        </w:rPr>
        <w:t>，积极</w:t>
      </w:r>
      <w:r>
        <w:rPr>
          <w:rFonts w:ascii="仿宋_GB2312" w:hAnsi="仿宋_GB2312" w:eastAsia="仿宋_GB2312" w:cs="仿宋_GB2312"/>
          <w:color w:val="000000"/>
          <w:sz w:val="32"/>
          <w:szCs w:val="32"/>
        </w:rPr>
        <w:t>引入</w:t>
      </w:r>
      <w:r>
        <w:rPr>
          <w:rFonts w:hint="eastAsia" w:ascii="仿宋_GB2312" w:hAnsi="仿宋_GB2312" w:eastAsia="仿宋_GB2312" w:cs="仿宋_GB2312"/>
          <w:color w:val="000000"/>
          <w:sz w:val="32"/>
          <w:szCs w:val="32"/>
        </w:rPr>
        <w:t>技术经理人、职业经理人等专业服务人才，</w:t>
      </w:r>
      <w:r>
        <w:rPr>
          <w:rFonts w:ascii="仿宋_GB2312" w:hAnsi="仿宋_GB2312" w:eastAsia="仿宋_GB2312" w:cs="仿宋_GB2312"/>
          <w:color w:val="000000"/>
          <w:sz w:val="32"/>
          <w:szCs w:val="32"/>
        </w:rPr>
        <w:t>赋能园区高质量运营</w:t>
      </w:r>
      <w:r>
        <w:rPr>
          <w:rFonts w:hint="eastAsia" w:ascii="仿宋_GB2312" w:hAnsi="仿宋_GB2312" w:eastAsia="仿宋_GB2312" w:cs="仿宋_GB2312"/>
          <w:color w:val="000000"/>
          <w:sz w:val="32"/>
          <w:szCs w:val="32"/>
        </w:rPr>
        <w:t>。谋划建设共享实验室、GMP车间、第三方专业检验检测平台、医疗器械样机制作平台等产业公共服务平台，增强对生命健康领域科技型中小企业的吸引力。积极拓展链接各类生命健康产业联盟和行业协会、科技成果转化服务机构、投融资机构、企业出海服务机构资源，提高为园区企业提供“一站式”服务的能力。</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5" w:name="_Toc29194"/>
      <w:r>
        <w:rPr>
          <w:rFonts w:hint="eastAsia" w:ascii="楷体_GB2312" w:hAnsi="楷体_GB2312" w:eastAsia="楷体_GB2312" w:cs="楷体_GB2312"/>
          <w:b w:val="0"/>
          <w:bCs w:val="0"/>
          <w:color w:val="000000"/>
          <w:sz w:val="32"/>
          <w:szCs w:val="32"/>
        </w:rPr>
        <w:t>（二）科技创新区重点打造研发和成果转化承载区</w:t>
      </w:r>
      <w:bookmarkEnd w:id="25"/>
    </w:p>
    <w:p>
      <w:pPr>
        <w:spacing w:line="560" w:lineRule="exact"/>
        <w:ind w:firstLine="640" w:firstLineChars="200"/>
        <w:textAlignment w:val="center"/>
        <w:rPr>
          <w:rFonts w:hint="eastAsia" w:ascii="仿宋_GB2312" w:hAnsi="楷体_GB2312" w:cs="楷体_GB2312"/>
          <w:color w:val="000000"/>
          <w:sz w:val="32"/>
          <w:szCs w:val="32"/>
        </w:rPr>
      </w:pPr>
      <w:r>
        <w:rPr>
          <w:rFonts w:hint="eastAsia" w:ascii="仿宋_GB2312" w:hAnsi="楷体_GB2312" w:eastAsia="仿宋_GB2312" w:cs="楷体_GB2312"/>
          <w:color w:val="000000"/>
          <w:sz w:val="32"/>
          <w:szCs w:val="32"/>
        </w:rPr>
        <w:t>高标准打造产业和科技创新空间载体，推动科技创新和产业创新融合发展，强化产业集聚和产业生态培育，着力提升密云园创新发展水平和竞争力。</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打造教育科技人才一体化发展基地。</w:t>
      </w:r>
      <w:r>
        <w:rPr>
          <w:rFonts w:hint="eastAsia" w:ascii="仿宋_GB2312" w:hAnsi="楷体_GB2312" w:eastAsia="仿宋_GB2312" w:cs="楷体_GB2312"/>
          <w:color w:val="000000"/>
          <w:sz w:val="32"/>
          <w:szCs w:val="32"/>
        </w:rPr>
        <w:t>依托地球系统数值模拟装置、北京大学怀密医学中心，持续吸引推进地球系统科学、生命科学领域相关科教基础设施、交叉研究平台落地，以设施运行保障为牵引，培养一批兼具科学理论深度与工程实践能力的复合型人才。依托</w:t>
      </w:r>
      <w:r>
        <w:rPr>
          <w:rFonts w:ascii="仿宋_GB2312" w:hAnsi="楷体_GB2312" w:eastAsia="仿宋_GB2312" w:cs="楷体_GB2312"/>
          <w:color w:val="000000"/>
          <w:sz w:val="32"/>
          <w:szCs w:val="32"/>
        </w:rPr>
        <w:t>设施</w:t>
      </w:r>
      <w:r>
        <w:rPr>
          <w:rFonts w:hint="eastAsia" w:ascii="仿宋_GB2312" w:hAnsi="楷体_GB2312" w:eastAsia="仿宋_GB2312" w:cs="楷体_GB2312"/>
          <w:color w:val="000000"/>
          <w:sz w:val="32"/>
          <w:szCs w:val="32"/>
        </w:rPr>
        <w:t>平台</w:t>
      </w:r>
      <w:r>
        <w:rPr>
          <w:rFonts w:ascii="仿宋_GB2312" w:hAnsi="楷体_GB2312" w:eastAsia="仿宋_GB2312" w:cs="楷体_GB2312"/>
          <w:color w:val="000000"/>
          <w:sz w:val="32"/>
          <w:szCs w:val="32"/>
        </w:rPr>
        <w:t>开放</w:t>
      </w:r>
      <w:r>
        <w:rPr>
          <w:rFonts w:hint="eastAsia" w:ascii="仿宋_GB2312" w:hAnsi="楷体_GB2312" w:eastAsia="仿宋_GB2312" w:cs="楷体_GB2312"/>
          <w:color w:val="000000"/>
          <w:sz w:val="32"/>
          <w:szCs w:val="32"/>
        </w:rPr>
        <w:t>共享，吸引相关领域高校、院所共建科教融合基地，推动科研项目进课堂、设施平台向学生开放，促进建制化科研力量、教育资源与设施平台有机融合。吸引高校、院所与企业、园区共建产教融合基地，推动产学研融通创新。</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建设前沿领域科技成果转化基地。</w:t>
      </w:r>
      <w:r>
        <w:rPr>
          <w:rFonts w:ascii="仿宋_GB2312" w:hAnsi="仿宋_GB2312" w:eastAsia="仿宋_GB2312" w:cs="仿宋_GB2312"/>
          <w:color w:val="000000"/>
          <w:sz w:val="32"/>
          <w:szCs w:val="32"/>
        </w:rPr>
        <w:t>强化科技设施对产业发展支撑作用，重点发展</w:t>
      </w:r>
      <w:r>
        <w:rPr>
          <w:rFonts w:hint="eastAsia" w:ascii="仿宋_GB2312" w:hAnsi="仿宋_GB2312" w:eastAsia="仿宋_GB2312" w:cs="仿宋_GB2312"/>
          <w:color w:val="000000"/>
          <w:sz w:val="32"/>
          <w:szCs w:val="32"/>
        </w:rPr>
        <w:t>以</w:t>
      </w:r>
      <w:r>
        <w:rPr>
          <w:rFonts w:ascii="仿宋_GB2312" w:hAnsi="仿宋_GB2312" w:eastAsia="仿宋_GB2312" w:cs="仿宋_GB2312"/>
          <w:color w:val="000000"/>
          <w:sz w:val="32"/>
          <w:szCs w:val="32"/>
        </w:rPr>
        <w:t>“小而美、小而精”为特征的小批量、多品种、示范线、微工厂的生产模式</w:t>
      </w:r>
      <w:r>
        <w:rPr>
          <w:rFonts w:hint="eastAsia" w:ascii="宋体" w:hAnsi="宋体" w:cs="仿宋_GB2312"/>
          <w:color w:val="000000"/>
          <w:sz w:val="32"/>
          <w:szCs w:val="32"/>
        </w:rPr>
        <w:t>。</w:t>
      </w:r>
      <w:r>
        <w:rPr>
          <w:rFonts w:ascii="仿宋_GB2312" w:hAnsi="仿宋_GB2312" w:eastAsia="仿宋_GB2312" w:cs="仿宋_GB2312"/>
          <w:color w:val="000000"/>
          <w:sz w:val="32"/>
          <w:szCs w:val="32"/>
        </w:rPr>
        <w:t>加快布局建设一批工程熟化、小试中试等共性技术平台，</w:t>
      </w:r>
      <w:r>
        <w:rPr>
          <w:rFonts w:hint="eastAsia" w:ascii="仿宋_GB2312" w:hAnsi="仿宋_GB2312" w:eastAsia="仿宋_GB2312" w:cs="仿宋_GB2312"/>
          <w:color w:val="000000"/>
          <w:sz w:val="32"/>
          <w:szCs w:val="32"/>
        </w:rPr>
        <w:t>推</w:t>
      </w:r>
      <w:r>
        <w:rPr>
          <w:rFonts w:ascii="仿宋_GB2312" w:hAnsi="仿宋_GB2312" w:eastAsia="仿宋_GB2312" w:cs="仿宋_GB2312"/>
          <w:color w:val="000000"/>
          <w:sz w:val="32"/>
          <w:szCs w:val="32"/>
        </w:rPr>
        <w:t>动创新成果高效落地转化、产业化应用。</w:t>
      </w:r>
      <w:r>
        <w:rPr>
          <w:rFonts w:hint="eastAsia" w:ascii="仿宋_GB2312" w:hAnsi="仿宋_GB2312" w:eastAsia="仿宋_GB2312" w:cs="仿宋_GB2312"/>
          <w:color w:val="000000"/>
          <w:sz w:val="32"/>
          <w:szCs w:val="32"/>
        </w:rPr>
        <w:t>发挥北京大学医学综合优势，辐射带动生命健康科学小镇规划建设。谋划</w:t>
      </w:r>
      <w:r>
        <w:rPr>
          <w:rFonts w:ascii="仿宋_GB2312" w:hAnsi="仿宋_GB2312" w:eastAsia="仿宋_GB2312" w:cs="仿宋_GB2312"/>
          <w:color w:val="000000"/>
          <w:sz w:val="32"/>
          <w:szCs w:val="32"/>
        </w:rPr>
        <w:t>建设</w:t>
      </w:r>
      <w:r>
        <w:rPr>
          <w:rFonts w:hint="eastAsia" w:ascii="仿宋_GB2312" w:hAnsi="仿宋_GB2312" w:eastAsia="仿宋_GB2312" w:cs="仿宋_GB2312"/>
          <w:color w:val="000000"/>
          <w:sz w:val="32"/>
          <w:szCs w:val="32"/>
        </w:rPr>
        <w:t>生态环保领域的</w:t>
      </w:r>
      <w:r>
        <w:rPr>
          <w:rFonts w:ascii="仿宋_GB2312" w:hAnsi="仿宋_GB2312" w:eastAsia="仿宋_GB2312" w:cs="仿宋_GB2312"/>
          <w:color w:val="000000"/>
          <w:sz w:val="32"/>
          <w:szCs w:val="32"/>
        </w:rPr>
        <w:t>中试基地</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标准化生产车间等载体，为国家水生态环境智慧监测业务与实验平台</w:t>
      </w:r>
      <w:r>
        <w:rPr>
          <w:rFonts w:hint="eastAsia" w:ascii="仿宋_GB2312" w:hAnsi="仿宋_GB2312" w:eastAsia="仿宋_GB2312" w:cs="仿宋_GB2312"/>
          <w:color w:val="000000"/>
          <w:sz w:val="32"/>
          <w:szCs w:val="32"/>
        </w:rPr>
        <w:t>等创新平台产出的科技</w:t>
      </w:r>
      <w:r>
        <w:rPr>
          <w:rFonts w:ascii="仿宋_GB2312" w:hAnsi="仿宋_GB2312" w:eastAsia="仿宋_GB2312" w:cs="仿宋_GB2312"/>
          <w:color w:val="000000"/>
          <w:sz w:val="32"/>
          <w:szCs w:val="32"/>
        </w:rPr>
        <w:t>成果中试放大、工艺优化、产品定型提供全流程支撑</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做好成果转化与产业承接。支持新能源智能汽车产业链上下游企业建立联合创新中心，开展高附加值汽车零部件产品的联合研发</w:t>
      </w:r>
      <w:r>
        <w:rPr>
          <w:rFonts w:hint="eastAsia" w:ascii="仿宋_GB2312" w:hAnsi="仿宋_GB2312" w:eastAsia="仿宋_GB2312" w:cs="仿宋_GB2312"/>
          <w:color w:val="000000"/>
          <w:sz w:val="32"/>
          <w:szCs w:val="32"/>
        </w:rPr>
        <w:t>与成果转化</w:t>
      </w:r>
      <w:r>
        <w:rPr>
          <w:rFonts w:ascii="仿宋_GB2312" w:hAnsi="仿宋_GB2312" w:eastAsia="仿宋_GB2312" w:cs="仿宋_GB2312"/>
          <w:color w:val="000000"/>
          <w:sz w:val="32"/>
          <w:szCs w:val="32"/>
        </w:rPr>
        <w:t>。</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b/>
          <w:bCs/>
          <w:color w:val="000000"/>
          <w:sz w:val="32"/>
          <w:szCs w:val="32"/>
        </w:rPr>
        <w:t>持续推动</w:t>
      </w:r>
      <w:r>
        <w:rPr>
          <w:rFonts w:hint="eastAsia" w:ascii="仿宋_GB2312" w:hAnsi="宋体" w:eastAsia="仿宋_GB2312" w:cs="楷体_GB2312"/>
          <w:b/>
          <w:bCs/>
          <w:color w:val="000000"/>
          <w:sz w:val="32"/>
          <w:szCs w:val="32"/>
        </w:rPr>
        <w:t>怀柔</w:t>
      </w:r>
      <w:r>
        <w:rPr>
          <w:rFonts w:hint="eastAsia" w:ascii="仿宋_GB2312" w:hAnsi="楷体_GB2312" w:eastAsia="仿宋_GB2312" w:cs="楷体_GB2312"/>
          <w:b/>
          <w:bCs/>
          <w:color w:val="000000"/>
          <w:sz w:val="32"/>
          <w:szCs w:val="32"/>
        </w:rPr>
        <w:t>科学城东区“科学+城”融合发展。</w:t>
      </w:r>
      <w:r>
        <w:rPr>
          <w:rFonts w:hint="eastAsia" w:ascii="仿宋_GB2312" w:hAnsi="楷体_GB2312" w:eastAsia="仿宋_GB2312" w:cs="楷体_GB2312"/>
          <w:color w:val="000000"/>
          <w:sz w:val="32"/>
          <w:szCs w:val="32"/>
        </w:rPr>
        <w:t>结合在建及未来新增项目落地需求，做好重大项目建设用地服务保障工作，为项目落地提供稳定的用地和硬件基础设施条件。持续完善怀柔科学城东区路网布局，推进云西三路、云西四路南延、密新路改扩建等道路工程建设，加快畅通内部交通微循环。强化城市基础设施建设，推进</w:t>
      </w:r>
      <w:r>
        <w:rPr>
          <w:rFonts w:ascii="仿宋_GB2312" w:hAnsi="楷体_GB2312" w:eastAsia="仿宋_GB2312" w:cs="楷体_GB2312"/>
          <w:color w:val="000000"/>
          <w:sz w:val="32"/>
          <w:szCs w:val="32"/>
        </w:rPr>
        <w:t>实施云西河治理</w:t>
      </w:r>
      <w:r>
        <w:rPr>
          <w:rFonts w:hint="eastAsia" w:ascii="仿宋_GB2312" w:hAnsi="楷体_GB2312" w:eastAsia="仿宋_GB2312" w:cs="楷体_GB2312"/>
          <w:color w:val="000000"/>
          <w:sz w:val="32"/>
          <w:szCs w:val="32"/>
        </w:rPr>
        <w:t>、</w:t>
      </w:r>
      <w:r>
        <w:rPr>
          <w:rFonts w:ascii="仿宋_GB2312" w:hAnsi="楷体_GB2312" w:eastAsia="仿宋_GB2312" w:cs="楷体_GB2312"/>
          <w:color w:val="000000"/>
          <w:sz w:val="32"/>
          <w:szCs w:val="32"/>
        </w:rPr>
        <w:t>大辛庄110千伏输变电</w:t>
      </w:r>
      <w:r>
        <w:rPr>
          <w:rFonts w:hint="eastAsia" w:ascii="仿宋_GB2312" w:hAnsi="楷体_GB2312" w:eastAsia="仿宋_GB2312" w:cs="楷体_GB2312"/>
          <w:color w:val="000000"/>
          <w:sz w:val="32"/>
          <w:szCs w:val="32"/>
        </w:rPr>
        <w:t>等项目</w:t>
      </w:r>
      <w:r>
        <w:rPr>
          <w:rFonts w:ascii="仿宋_GB2312" w:hAnsi="楷体_GB2312" w:eastAsia="仿宋_GB2312" w:cs="楷体_GB2312"/>
          <w:color w:val="000000"/>
          <w:sz w:val="32"/>
          <w:szCs w:val="32"/>
        </w:rPr>
        <w:t>工程</w:t>
      </w:r>
      <w:r>
        <w:rPr>
          <w:rFonts w:hint="eastAsia" w:ascii="仿宋_GB2312" w:hAnsi="楷体_GB2312" w:eastAsia="仿宋_GB2312" w:cs="楷体_GB2312"/>
          <w:color w:val="000000"/>
          <w:sz w:val="32"/>
          <w:szCs w:val="32"/>
        </w:rPr>
        <w:t>。</w:t>
      </w:r>
      <w:r>
        <w:rPr>
          <w:rFonts w:hint="eastAsia" w:ascii="仿宋_GB2312" w:hAnsi="仿宋_GB2312" w:eastAsia="仿宋_GB2312" w:cs="仿宋_GB2312"/>
          <w:bCs/>
          <w:color w:val="000000"/>
          <w:sz w:val="32"/>
          <w:szCs w:val="32"/>
        </w:rPr>
        <w:t>做好入驻人员服务保障工作，加紧实施</w:t>
      </w:r>
      <w:r>
        <w:rPr>
          <w:rFonts w:hint="eastAsia" w:ascii="仿宋_GB2312" w:hAnsi="宋体" w:eastAsia="仿宋_GB2312" w:cs="仿宋_GB2312"/>
          <w:bCs/>
          <w:color w:val="000000"/>
          <w:sz w:val="32"/>
          <w:szCs w:val="32"/>
        </w:rPr>
        <w:t>怀柔</w:t>
      </w:r>
      <w:r>
        <w:rPr>
          <w:rFonts w:hint="eastAsia" w:ascii="仿宋_GB2312" w:hAnsi="仿宋_GB2312" w:eastAsia="仿宋_GB2312" w:cs="仿宋_GB2312"/>
          <w:bCs/>
          <w:color w:val="000000"/>
          <w:sz w:val="32"/>
          <w:szCs w:val="32"/>
        </w:rPr>
        <w:t>科学城东区集租房、内部环境提升工程，统筹推进中国科学院宿舍食堂、文体中心等项目规划建设，让科研人员在密云</w:t>
      </w:r>
      <w:r>
        <w:rPr>
          <w:rFonts w:hint="eastAsia" w:ascii="仿宋_GB2312" w:hAnsi="仿宋_GB2312" w:eastAsia="仿宋_GB2312" w:cs="仿宋_GB2312"/>
          <w:color w:val="000000"/>
          <w:sz w:val="32"/>
          <w:szCs w:val="32"/>
        </w:rPr>
        <w:t>区</w:t>
      </w:r>
      <w:r>
        <w:rPr>
          <w:rFonts w:hint="eastAsia" w:ascii="仿宋_GB2312" w:hAnsi="仿宋_GB2312" w:eastAsia="仿宋_GB2312" w:cs="仿宋_GB2312"/>
          <w:bCs/>
          <w:color w:val="000000"/>
          <w:sz w:val="32"/>
          <w:szCs w:val="32"/>
        </w:rPr>
        <w:t>安心工作、舒心生活、长期发展。</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6" w:name="_Toc14138"/>
      <w:r>
        <w:rPr>
          <w:rFonts w:hint="eastAsia" w:ascii="楷体_GB2312" w:hAnsi="楷体_GB2312" w:eastAsia="楷体_GB2312" w:cs="楷体_GB2312"/>
          <w:b w:val="0"/>
          <w:bCs w:val="0"/>
          <w:color w:val="000000"/>
          <w:sz w:val="32"/>
          <w:szCs w:val="32"/>
        </w:rPr>
        <w:t>（三）生态商务区重点打造企业总部和现代服务业集聚区</w:t>
      </w:r>
      <w:bookmarkEnd w:id="26"/>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聚焦“2+2”产业领域，重点吸引科技型中小企业、专精特新企业设立总部，吸引大型龙头企业设立区域总部及研发总部、营销总部等功能性总部，打造科技型中小企业总部集聚区。引导检验检测、标准认证、知识产权服务、科技推广服务、科技金融服务等机构集聚布局，打造密云区科技服务业集聚区。推动口腔医疗、医疗美容、健康管理、运动健身等健康服务机构集聚发展，积极</w:t>
      </w:r>
      <w:r>
        <w:rPr>
          <w:rFonts w:ascii="仿宋_GB2312" w:hAnsi="仿宋_GB2312" w:eastAsia="仿宋_GB2312" w:cs="仿宋_GB2312"/>
          <w:bCs/>
          <w:color w:val="000000"/>
          <w:sz w:val="32"/>
          <w:szCs w:val="32"/>
        </w:rPr>
        <w:t>培育健康服务业</w:t>
      </w:r>
      <w:r>
        <w:rPr>
          <w:rFonts w:hint="eastAsia" w:ascii="仿宋_GB2312" w:hAnsi="仿宋_GB2312" w:eastAsia="仿宋_GB2312" w:cs="仿宋_GB2312"/>
          <w:bCs/>
          <w:color w:val="000000"/>
          <w:sz w:val="32"/>
          <w:szCs w:val="32"/>
        </w:rPr>
        <w:t>集群。围绕园区企业智能化绿色化融合化发展需求，引导人工智能、算力、大数据、物联网、低碳数智技术等领域的信息技术服务业企业集聚，推动数字经济产业发展。</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7" w:name="_Toc25234"/>
      <w:r>
        <w:rPr>
          <w:rFonts w:hint="eastAsia" w:ascii="楷体_GB2312" w:hAnsi="楷体_GB2312" w:eastAsia="楷体_GB2312" w:cs="楷体_GB2312"/>
          <w:b w:val="0"/>
          <w:bCs w:val="0"/>
          <w:color w:val="000000"/>
          <w:sz w:val="32"/>
          <w:szCs w:val="32"/>
        </w:rPr>
        <w:t>（四）推进市级高新区与密云园产业联动发展</w:t>
      </w:r>
      <w:bookmarkEnd w:id="27"/>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hint="eastAsia" w:ascii="仿宋_GB2312" w:hAnsi="楷体_GB2312" w:eastAsia="仿宋_GB2312" w:cs="楷体_GB2312"/>
          <w:color w:val="000000"/>
          <w:sz w:val="32"/>
          <w:szCs w:val="32"/>
        </w:rPr>
        <w:t>统筹滨河工业开发区、隆源就业产业基地A区、西田各庄镇环保工业园等各区块基础设施建设和园区管理，积极承接密云园产业链配套项目落地，培育新兴产业和高新技术企业，与密云园主导产业发展形成有机衔接，共同打造密云区培育新质生产力、实现高质量发展的重要阵地。</w:t>
      </w:r>
      <w:r>
        <w:rPr>
          <w:rFonts w:ascii="仿宋_GB2312" w:hAnsi="楷体_GB2312" w:eastAsia="仿宋_GB2312" w:cs="楷体_GB2312"/>
          <w:color w:val="000000"/>
          <w:sz w:val="32"/>
          <w:szCs w:val="32"/>
        </w:rPr>
        <w:t>鼓励引导社会力量多渠道、多形式参与市级高新区建设发展，</w:t>
      </w:r>
      <w:r>
        <w:rPr>
          <w:rFonts w:hint="eastAsia" w:ascii="仿宋_GB2312" w:hAnsi="楷体_GB2312" w:eastAsia="仿宋_GB2312" w:cs="楷体_GB2312"/>
          <w:color w:val="000000"/>
          <w:sz w:val="32"/>
          <w:szCs w:val="32"/>
        </w:rPr>
        <w:t>切实提升园区市场化、专业化运营服务管理能力。统筹考虑市级高新区各区块及周边区域整体发展条件，实施各区块用地动态管理，为密云园扩容提质做好空间储备。</w:t>
      </w:r>
    </w:p>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28" w:name="_Toc5378"/>
      <w:r>
        <w:rPr>
          <w:rFonts w:hint="eastAsia" w:ascii="黑体" w:hAnsi="黑体" w:eastAsia="黑体" w:cs="黑体"/>
          <w:b w:val="0"/>
          <w:bCs w:val="0"/>
          <w:color w:val="000000"/>
          <w:sz w:val="32"/>
          <w:szCs w:val="32"/>
        </w:rPr>
        <w:t>六、持续深化机制改革，完善全链条创新创业生态</w:t>
      </w:r>
      <w:bookmarkEnd w:id="28"/>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围绕园区高质量发展目标，以企业和人才发展需求为导向，优机制、补短板、强服务，建立与园区企业和人才发展需求相适应的服务体系，持续完善园区全链条创新创业生态，增强园区吸引力。</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29" w:name="_Toc12472"/>
      <w:r>
        <w:rPr>
          <w:rFonts w:hint="eastAsia" w:ascii="楷体_GB2312" w:hAnsi="楷体_GB2312" w:eastAsia="楷体_GB2312" w:cs="楷体_GB2312"/>
          <w:b w:val="0"/>
          <w:bCs w:val="0"/>
          <w:color w:val="000000"/>
          <w:sz w:val="32"/>
          <w:szCs w:val="32"/>
        </w:rPr>
        <w:t>（一）强化改革创新探索</w:t>
      </w:r>
      <w:bookmarkEnd w:id="29"/>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以改革创新为根本动力，不断提高政府管理服务效能，完善资源要素市场化配置机制，健全园区政策体系，构建权责清晰、科学规范、运行高效的园区管理体制机制。</w:t>
      </w:r>
    </w:p>
    <w:p>
      <w:pPr>
        <w:spacing w:line="560" w:lineRule="exact"/>
        <w:ind w:firstLine="643" w:firstLineChars="200"/>
        <w:textAlignment w:val="center"/>
        <w:rPr>
          <w:rFonts w:ascii="仿宋_GB2312" w:eastAsia="仿宋_GB2312"/>
          <w:color w:val="000000"/>
          <w:sz w:val="32"/>
          <w:szCs w:val="32"/>
          <w:highlight w:val="yellow"/>
        </w:rPr>
      </w:pPr>
      <w:r>
        <w:rPr>
          <w:rFonts w:hint="eastAsia" w:ascii="仿宋_GB2312" w:hAnsi="仿宋_GB2312" w:eastAsia="仿宋_GB2312" w:cs="仿宋_GB2312"/>
          <w:b/>
          <w:bCs/>
          <w:color w:val="000000"/>
          <w:sz w:val="32"/>
          <w:szCs w:val="32"/>
        </w:rPr>
        <w:t>持续深化园区管理体制改革。</w:t>
      </w:r>
      <w:r>
        <w:rPr>
          <w:rFonts w:hint="eastAsia" w:ascii="仿宋_GB2312" w:eastAsia="仿宋_GB2312"/>
          <w:color w:val="000000"/>
          <w:sz w:val="32"/>
          <w:szCs w:val="32"/>
        </w:rPr>
        <w:t>进一步完善“管委会+平台公司”管理制度，优化内设机构和职能，推动机构设置和职能配置协同、高效。管委会重点强化规划和政策制定、重大项目谋划等行政管理职能，以及与其他区级部门统筹协调、对平台公司的监督和考核职能。平台公司“因业制宜”明确职责分工，结合园区运营管理需求，在产业促进、投资促进、企业服务、创新创业等方面构建园区专业服务体系，增强区属国有资本投资效能。建立各部门协同联动的全员招商引资工作机制，制定园区产业链招商图谱、招商地图和重点招商清单，统筹开展产业链招商、科技资源招商、应用场景招商、定点招商、市场化招商，形成招商引资工作合力。</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eastAsia="仿宋_GB2312"/>
          <w:b/>
          <w:bCs/>
          <w:color w:val="000000"/>
          <w:sz w:val="32"/>
          <w:szCs w:val="32"/>
        </w:rPr>
        <w:t>持续优化园区运营管理机制。</w:t>
      </w:r>
      <w:r>
        <w:rPr>
          <w:rFonts w:hint="eastAsia" w:ascii="仿宋_GB2312" w:eastAsia="仿宋_GB2312"/>
          <w:color w:val="000000"/>
          <w:sz w:val="32"/>
          <w:szCs w:val="32"/>
        </w:rPr>
        <w:t>推动平台公司持续提升专业化服务水平，围绕园区“2+2”产业逐步构建起“一个产业+一个特色园+一个生态服务港+一批专业服务平台+一个品牌活动”的“五个一”专业服务体系。聚焦招商引资、腾退盘活、服务保障、科技服务、开发建设、投资孵化等核心业务领域，引入社会力量，不断增强市场化运营能力与综合服务效能。规范平台公司市场化选人用人机制，广泛采取“公开招聘、竞争上岗”等形式，积极开展高素质人才市场化选聘竞聘，全面推行任期制和契约化管理，打造一支能战斗、敢担当、善作为的人才队伍。进一步健全平台公司绩效考核机制，围绕企业主业主责建立差异化的分类考核评价和薪酬激励制度，构建“干部能上能下、员工能进能出、收入能增能减”的管理机制。</w:t>
      </w:r>
    </w:p>
    <w:p>
      <w:pPr>
        <w:spacing w:line="560" w:lineRule="exact"/>
        <w:ind w:firstLine="643" w:firstLineChars="200"/>
        <w:textAlignment w:val="center"/>
        <w:rPr>
          <w:rFonts w:ascii="仿宋_GB2312" w:eastAsia="仿宋_GB2312"/>
          <w:bCs/>
          <w:color w:val="000000"/>
          <w:sz w:val="32"/>
          <w:szCs w:val="32"/>
        </w:rPr>
      </w:pPr>
      <w:r>
        <w:rPr>
          <w:rFonts w:hint="eastAsia" w:ascii="仿宋_GB2312" w:hAnsi="仿宋_GB2312" w:eastAsia="仿宋_GB2312" w:cs="仿宋_GB2312"/>
          <w:b/>
          <w:bCs/>
          <w:color w:val="000000"/>
          <w:sz w:val="32"/>
          <w:szCs w:val="32"/>
        </w:rPr>
        <w:t>持续完善园区政策体系。</w:t>
      </w:r>
      <w:r>
        <w:rPr>
          <w:rFonts w:hint="eastAsia" w:ascii="仿宋_GB2312" w:hAnsi="仿宋_GB2312" w:eastAsia="仿宋_GB2312" w:cs="仿宋_GB2312"/>
          <w:color w:val="000000"/>
          <w:sz w:val="32"/>
          <w:szCs w:val="32"/>
        </w:rPr>
        <w:t>因地制宜落实</w:t>
      </w:r>
      <w:r>
        <w:rPr>
          <w:rFonts w:hint="eastAsia" w:ascii="仿宋_GB2312" w:eastAsia="仿宋_GB2312"/>
          <w:bCs/>
          <w:color w:val="000000"/>
          <w:sz w:val="32"/>
          <w:szCs w:val="32"/>
        </w:rPr>
        <w:t>中关村新一轮先行先试改革工作方案举措，在生命健康、生态环保等领域争取中关村先行先试</w:t>
      </w:r>
      <w:r>
        <w:rPr>
          <w:rFonts w:ascii="仿宋_GB2312" w:eastAsia="仿宋_GB2312"/>
          <w:bCs/>
          <w:color w:val="000000"/>
          <w:sz w:val="32"/>
          <w:szCs w:val="32"/>
        </w:rPr>
        <w:t>政策</w:t>
      </w:r>
      <w:r>
        <w:rPr>
          <w:rFonts w:hint="eastAsia" w:ascii="仿宋_GB2312" w:eastAsia="仿宋_GB2312"/>
          <w:bCs/>
          <w:color w:val="000000"/>
          <w:sz w:val="32"/>
          <w:szCs w:val="32"/>
        </w:rPr>
        <w:t>、“两区”制度创新在密云园率先试点，</w:t>
      </w:r>
      <w:r>
        <w:rPr>
          <w:rFonts w:ascii="仿宋_GB2312" w:eastAsia="仿宋_GB2312"/>
          <w:bCs/>
          <w:color w:val="000000"/>
          <w:sz w:val="32"/>
          <w:szCs w:val="32"/>
        </w:rPr>
        <w:t>高质量推进改革措施</w:t>
      </w:r>
      <w:r>
        <w:rPr>
          <w:rFonts w:hint="eastAsia" w:ascii="仿宋_GB2312" w:eastAsia="仿宋_GB2312"/>
          <w:bCs/>
          <w:color w:val="000000"/>
          <w:sz w:val="32"/>
          <w:szCs w:val="32"/>
        </w:rPr>
        <w:t>有效</w:t>
      </w:r>
      <w:r>
        <w:rPr>
          <w:rFonts w:ascii="仿宋_GB2312" w:eastAsia="仿宋_GB2312"/>
          <w:bCs/>
          <w:color w:val="000000"/>
          <w:sz w:val="32"/>
          <w:szCs w:val="32"/>
        </w:rPr>
        <w:t>落地</w:t>
      </w:r>
      <w:r>
        <w:rPr>
          <w:rFonts w:hint="eastAsia" w:ascii="仿宋_GB2312" w:eastAsia="仿宋_GB2312"/>
          <w:bCs/>
          <w:color w:val="000000"/>
          <w:sz w:val="32"/>
          <w:szCs w:val="32"/>
        </w:rPr>
        <w:t>。积极落实好关于中关村科技型中小微企业关键技术创新、高品质高科技园区建设、概念验证平台和共性技术平台建设等方面的市级支持政策，</w:t>
      </w:r>
      <w:r>
        <w:rPr>
          <w:rFonts w:hint="eastAsia" w:ascii="仿宋_GB2312" w:hAnsi="仿宋_GB2312" w:eastAsia="仿宋_GB2312" w:cs="仿宋_GB2312"/>
          <w:color w:val="000000"/>
          <w:sz w:val="32"/>
          <w:szCs w:val="32"/>
        </w:rPr>
        <w:t>根据政策落地需求配套制定园区实施细则，及时做好相关政策的解读和宣传推介，确保园区企业对各类可申请政策“应申尽申、应享尽享”。定期制定并迭代优化区级、园区产业、企业和人才支持政策，</w:t>
      </w:r>
      <w:r>
        <w:rPr>
          <w:rFonts w:hint="eastAsia" w:ascii="仿宋_GB2312" w:eastAsia="仿宋_GB2312"/>
          <w:bCs/>
          <w:color w:val="000000"/>
          <w:sz w:val="32"/>
          <w:szCs w:val="32"/>
        </w:rPr>
        <w:t>构建与园区专业化服务体系相匹配的政策体系，助力园区企业更好开展研发创新、产线升级、设备更新、厂房改造、人员招聘等，促进园区产业和企业发展壮大。</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0" w:name="_Toc4921"/>
      <w:r>
        <w:rPr>
          <w:rFonts w:hint="eastAsia" w:ascii="楷体_GB2312" w:hAnsi="楷体_GB2312" w:eastAsia="楷体_GB2312" w:cs="楷体_GB2312"/>
          <w:b w:val="0"/>
          <w:bCs w:val="0"/>
          <w:color w:val="000000"/>
          <w:sz w:val="32"/>
          <w:szCs w:val="32"/>
        </w:rPr>
        <w:t>（二）健全专业服务体系</w:t>
      </w:r>
      <w:bookmarkEnd w:id="30"/>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围绕企业发展需求，围绕科技创新和产业创新融合发展需求，构建覆盖企业全生命周期的“空间+服务+基金”的专业服务体系，增强密云园对优质企业的吸引力。</w:t>
      </w:r>
    </w:p>
    <w:p>
      <w:pPr>
        <w:spacing w:line="560" w:lineRule="exact"/>
        <w:ind w:firstLine="643" w:firstLineChars="200"/>
        <w:textAlignment w:val="center"/>
        <w:rPr>
          <w:rFonts w:hint="eastAsia" w:ascii="仿宋_GB2312" w:hAnsi="楷体_GB2312" w:eastAsia="仿宋_GB2312" w:cs="楷体_GB2312"/>
          <w:color w:val="000000"/>
          <w:sz w:val="32"/>
          <w:szCs w:val="32"/>
        </w:rPr>
      </w:pPr>
      <w:r>
        <w:rPr>
          <w:rFonts w:hint="eastAsia" w:ascii="仿宋_GB2312" w:hAnsi="仿宋_GB2312" w:eastAsia="仿宋_GB2312" w:cs="仿宋_GB2312"/>
          <w:b/>
          <w:bCs/>
          <w:color w:val="000000"/>
          <w:sz w:val="32"/>
          <w:szCs w:val="32"/>
        </w:rPr>
        <w:t>引进和培育创业孵化载体。</w:t>
      </w:r>
      <w:r>
        <w:rPr>
          <w:rFonts w:hint="eastAsia" w:ascii="仿宋_GB2312" w:hAnsi="仿宋_GB2312" w:eastAsia="仿宋_GB2312" w:cs="仿宋_GB2312"/>
          <w:color w:val="000000"/>
          <w:sz w:val="32"/>
          <w:szCs w:val="32"/>
        </w:rPr>
        <w:t>通过自主运营或引入专业团队委托运营等方式，支持园区平台公司、龙头企业建设细分产业领域的众创空间、孵化器和加速器，加快构建密云园在细分产业领域的孵化服务能力。推动园区孵化器提质升级，提升运营团队的专业化、职业化水平，拓展创新链产业链资金链资源链接能力，设立早期孵化创投基金或使用自有资金股权投资在孵企业，争创市级、国家级孵化器。推动孵化器与北大医学科技园、特色产业园等共建创新服务平台，形成资源共享、服务互联、高效畅通的“孵化+加速+产业化”接力机制，接续培育硬科技企业及优质项目。深化与国家、市级高品质孵化器的对接合作，鼓励孵化器按照产业细分领域定期梳理在孵企业发展情况和空间需求情况，及时为园区输送创业企业及优质项目。</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打造园区专业服务平台矩阵。</w:t>
      </w:r>
      <w:r>
        <w:rPr>
          <w:rFonts w:hint="eastAsia" w:ascii="仿宋_GB2312" w:hAnsi="仿宋_GB2312" w:eastAsia="仿宋_GB2312" w:cs="仿宋_GB2312"/>
          <w:color w:val="000000"/>
          <w:sz w:val="32"/>
          <w:szCs w:val="32"/>
        </w:rPr>
        <w:t>支持园区平台公司、龙头企业自建或共建中试熟化平台，为行业细分领域、特殊应用场景提供环境搭建、产品试制、工艺创新、试验检测等专业化中试服务，有效满足行业发展及特殊场景应用需求。聚焦新能源智能汽车、生命健康等重点产业发展需求，布局建设安全性检测、适配验证、质量检测、认证公共服务等检验检测服务平台，构建专业领域的检验检测服务体系。建立产业服务平台对接机制，采用市场化方式提供集成式资源对接服务，为园区企业链接中关村各类知识产权、科技咨询、人力资源、法律税务等专业服务机构资源。</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eastAsia="仿宋_GB2312"/>
          <w:b/>
          <w:bCs/>
          <w:color w:val="000000"/>
          <w:sz w:val="32"/>
          <w:szCs w:val="32"/>
        </w:rPr>
        <w:t>强化算力与数据高效供给能力。</w:t>
      </w:r>
      <w:r>
        <w:rPr>
          <w:rFonts w:hint="eastAsia" w:ascii="仿宋_GB2312" w:eastAsia="仿宋_GB2312"/>
          <w:color w:val="000000"/>
          <w:sz w:val="32"/>
          <w:szCs w:val="32"/>
        </w:rPr>
        <w:t>高效推进算力基础设施建设，</w:t>
      </w:r>
      <w:r>
        <w:rPr>
          <w:rFonts w:ascii="仿宋_GB2312" w:eastAsia="仿宋_GB2312"/>
          <w:color w:val="000000"/>
          <w:sz w:val="32"/>
          <w:szCs w:val="32"/>
        </w:rPr>
        <w:t>加快推动</w:t>
      </w:r>
      <w:r>
        <w:rPr>
          <w:rFonts w:hint="eastAsia" w:ascii="仿宋_GB2312" w:eastAsia="仿宋_GB2312"/>
          <w:color w:val="000000"/>
          <w:sz w:val="32"/>
          <w:szCs w:val="32"/>
        </w:rPr>
        <w:t>方恒科技超算与金融云计算基地、中联数据密云智算产业园、智信方圆算力中心等项目落地见效，持续扩容优质算力供给。积极响应国家“数据要素</w:t>
      </w:r>
      <w:r>
        <w:rPr>
          <w:rFonts w:ascii="Arial" w:hAnsi="Arial" w:eastAsia="仿宋_GB2312" w:cs="Arial"/>
          <w:color w:val="000000"/>
          <w:sz w:val="32"/>
          <w:szCs w:val="32"/>
        </w:rPr>
        <w:t>×</w:t>
      </w:r>
      <w:r>
        <w:rPr>
          <w:rFonts w:hint="eastAsia" w:ascii="仿宋_GB2312" w:eastAsia="仿宋_GB2312"/>
          <w:color w:val="000000"/>
          <w:sz w:val="32"/>
          <w:szCs w:val="32"/>
        </w:rPr>
        <w:t>”行动计划，鼓励企业、高校、科研院所发掘开放数据，推动建立开放性行业大数据训练库、标准测试数据集等，</w:t>
      </w:r>
      <w:r>
        <w:rPr>
          <w:rFonts w:hint="eastAsia" w:eastAsia="仿宋_GB2312"/>
          <w:color w:val="000000"/>
          <w:sz w:val="32"/>
          <w:szCs w:val="32"/>
        </w:rPr>
        <w:t>鼓励园区制造业企业探索数据授权使用新模式，探索脱敏数据合规交易和流通，构建细分产业领域的高质量数据生态。构建数字基础设施全维度、多层次安全综合防御体系，全面强化算力与数据基础设施、重点信息系统安全防护能力，筑牢园区数字安全屏障。</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bCs/>
          <w:color w:val="000000"/>
          <w:sz w:val="32"/>
          <w:szCs w:val="32"/>
        </w:rPr>
        <w:t>构建多层次科技金融服务体系。</w:t>
      </w:r>
      <w:r>
        <w:rPr>
          <w:rFonts w:hint="eastAsia" w:ascii="仿宋_GB2312" w:hAnsi="仿宋_GB2312" w:eastAsia="仿宋_GB2312" w:cs="仿宋_GB2312"/>
          <w:bCs/>
          <w:color w:val="000000"/>
          <w:sz w:val="32"/>
          <w:szCs w:val="32"/>
        </w:rPr>
        <w:t>积极争取国家级、市级政府投资引导基金支持，及时做好国家、市级投资基金项目推荐工作。研究成立产业基金，采取项目直投、股权投资等形式，重点投资园区科技型中小企业，拓展园区科技型中小企业融资渠道。搭建园区金融服务平台，主动对接银行、保险、担保、融资租赁、创投风投机构等金融机构资源，通过组织银企对接会、企业项目路演活动、投融资政策宣讲会等形式，为园区企业提供多层次金融服务。鼓励金融机构在密云园开展科技研发贷、供应链贷、</w:t>
      </w:r>
      <w:r>
        <w:rPr>
          <w:rFonts w:hint="eastAsia" w:ascii="仿宋_GB2312" w:eastAsia="仿宋_GB2312"/>
          <w:color w:val="000000"/>
          <w:sz w:val="32"/>
          <w:szCs w:val="32"/>
        </w:rPr>
        <w:t>人才贷</w:t>
      </w:r>
      <w:r>
        <w:rPr>
          <w:rFonts w:hint="eastAsia" w:ascii="仿宋_GB2312" w:hAnsi="仿宋_GB2312" w:eastAsia="仿宋_GB2312" w:cs="仿宋_GB2312"/>
          <w:bCs/>
          <w:color w:val="000000"/>
          <w:sz w:val="32"/>
          <w:szCs w:val="32"/>
        </w:rPr>
        <w:t>等特色金融业务，</w:t>
      </w:r>
      <w:r>
        <w:rPr>
          <w:rFonts w:ascii="仿宋_GB2312" w:hAnsi="仿宋_GB2312" w:eastAsia="仿宋_GB2312" w:cs="仿宋_GB2312"/>
          <w:bCs/>
          <w:color w:val="000000"/>
          <w:sz w:val="32"/>
          <w:szCs w:val="32"/>
        </w:rPr>
        <w:t>精准匹配园区企业融资需求。</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1" w:name="_Toc7864"/>
      <w:r>
        <w:rPr>
          <w:rFonts w:hint="eastAsia" w:ascii="楷体_GB2312" w:hAnsi="楷体_GB2312" w:eastAsia="楷体_GB2312" w:cs="楷体_GB2312"/>
          <w:b w:val="0"/>
          <w:bCs w:val="0"/>
          <w:color w:val="000000"/>
          <w:sz w:val="32"/>
          <w:szCs w:val="32"/>
        </w:rPr>
        <w:t>（三）加强人才队伍建设</w:t>
      </w:r>
      <w:bookmarkEnd w:id="31"/>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坚持引进人才和企业自主培养相结合，持续完善覆盖人才引育留用全链条的平台体系，创新人才培养模式，打造支撑园区产业高质量发展的人才队伍。</w:t>
      </w:r>
    </w:p>
    <w:p>
      <w:pPr>
        <w:spacing w:line="560" w:lineRule="exact"/>
        <w:ind w:firstLine="643" w:firstLineChars="200"/>
        <w:textAlignment w:val="center"/>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b/>
          <w:bCs/>
          <w:color w:val="000000"/>
          <w:sz w:val="32"/>
          <w:szCs w:val="32"/>
        </w:rPr>
        <w:t>构建多层次人才梯队。</w:t>
      </w:r>
      <w:r>
        <w:rPr>
          <w:rFonts w:hint="eastAsia" w:eastAsia="仿宋_GB2312"/>
          <w:color w:val="000000"/>
          <w:sz w:val="32"/>
          <w:szCs w:val="32"/>
        </w:rPr>
        <w:t>坚持全职引进与柔性用才相结合，</w:t>
      </w:r>
      <w:r>
        <w:rPr>
          <w:rFonts w:hint="eastAsia" w:ascii="仿宋_GB2312" w:hAnsi="仿宋_GB2312" w:eastAsia="仿宋_GB2312" w:cs="仿宋_GB2312"/>
          <w:color w:val="000000"/>
          <w:sz w:val="32"/>
          <w:szCs w:val="32"/>
        </w:rPr>
        <w:t>通过大科学装置、</w:t>
      </w:r>
      <w:r>
        <w:rPr>
          <w:rFonts w:hint="eastAsia" w:ascii="仿宋_GB2312" w:eastAsia="仿宋_GB2312"/>
          <w:color w:val="000000"/>
          <w:sz w:val="32"/>
          <w:szCs w:val="32"/>
        </w:rPr>
        <w:t>交叉研究平台</w:t>
      </w:r>
      <w:r>
        <w:rPr>
          <w:rFonts w:hint="eastAsia" w:ascii="仿宋_GB2312" w:hAnsi="仿宋_GB2312" w:eastAsia="仿宋_GB2312" w:cs="仿宋_GB2312"/>
          <w:color w:val="000000"/>
          <w:sz w:val="32"/>
          <w:szCs w:val="32"/>
        </w:rPr>
        <w:t>、院士工作站等高能级创新平台，力争引进国内外战略科学家、科技领军人才及团队。聚焦“2+2”产业发展需求，通过企业博士后工作站、技能大师工作室等平台，重点引进一批企业急需紧缺的科技创新人才和工程师。支持园区企业与</w:t>
      </w:r>
      <w:r>
        <w:rPr>
          <w:rFonts w:ascii="仿宋_GB2312" w:hAnsi="仿宋_GB2312" w:eastAsia="仿宋_GB2312" w:cs="仿宋_GB2312"/>
          <w:color w:val="000000"/>
          <w:sz w:val="32"/>
          <w:szCs w:val="32"/>
        </w:rPr>
        <w:t>本科高校</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职业（技工）院校</w:t>
      </w:r>
      <w:r>
        <w:rPr>
          <w:rFonts w:hint="eastAsia" w:ascii="仿宋_GB2312" w:hAnsi="仿宋_GB2312" w:eastAsia="仿宋_GB2312" w:cs="仿宋_GB2312"/>
          <w:color w:val="000000"/>
          <w:sz w:val="32"/>
          <w:szCs w:val="32"/>
        </w:rPr>
        <w:t>合作建设现代化产业人才培养培训基地，通过联合培养、定向委托培养、项目合作等方式，加快培养一批符合企业岗位需求的技术工人</w:t>
      </w:r>
      <w:r>
        <w:rPr>
          <w:rFonts w:hint="eastAsia" w:eastAsia="仿宋_GB2312"/>
          <w:color w:val="000000"/>
          <w:sz w:val="32"/>
          <w:szCs w:val="32"/>
        </w:rPr>
        <w:t>。</w:t>
      </w:r>
      <w:r>
        <w:rPr>
          <w:rFonts w:hint="eastAsia" w:ascii="仿宋_GB2312" w:hAnsi="仿宋_GB2312" w:eastAsia="仿宋_GB2312" w:cs="仿宋_GB2312"/>
          <w:color w:val="000000"/>
          <w:sz w:val="32"/>
          <w:szCs w:val="32"/>
        </w:rPr>
        <w:t>统筹利用园区各类孵化器、概念验证中心、中试基地等平台，引进和培育一批技术经理人、基金从业人员等专业服务人才。</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eastAsia="仿宋_GB2312"/>
          <w:b/>
          <w:bCs/>
          <w:color w:val="000000"/>
          <w:sz w:val="32"/>
          <w:szCs w:val="32"/>
        </w:rPr>
        <w:t>打造青年人才创新创业沃土。</w:t>
      </w:r>
      <w:r>
        <w:rPr>
          <w:rFonts w:hint="eastAsia" w:ascii="仿宋_GB2312" w:hAnsi="仿宋_GB2312" w:eastAsia="仿宋_GB2312" w:cs="仿宋_GB2312"/>
          <w:color w:val="000000"/>
          <w:sz w:val="32"/>
          <w:szCs w:val="32"/>
        </w:rPr>
        <w:t>紧抓北京青年人才创新创业生态示范区建设契机，打造具有新兴产业活力、青年友好设施、</w:t>
      </w:r>
      <w:r>
        <w:rPr>
          <w:rFonts w:ascii="仿宋_GB2312" w:hAnsi="仿宋_GB2312" w:eastAsia="仿宋_GB2312" w:cs="仿宋_GB2312"/>
          <w:color w:val="000000"/>
          <w:sz w:val="32"/>
          <w:szCs w:val="32"/>
        </w:rPr>
        <w:t>包容性城市服务</w:t>
      </w:r>
      <w:r>
        <w:rPr>
          <w:rFonts w:hint="eastAsia" w:ascii="仿宋_GB2312" w:hAnsi="仿宋_GB2312" w:eastAsia="仿宋_GB2312" w:cs="仿宋_GB2312"/>
          <w:color w:val="000000"/>
          <w:sz w:val="32"/>
          <w:szCs w:val="32"/>
        </w:rPr>
        <w:t>的示范园区。实施“青年乐业”行动，</w:t>
      </w:r>
      <w:r>
        <w:rPr>
          <w:rFonts w:hint="eastAsia" w:ascii="仿宋_GB2312" w:hAnsi="仿宋_GB2312" w:eastAsia="仿宋_GB2312" w:cs="仿宋_GB2312"/>
          <w:color w:val="000000"/>
          <w:sz w:val="32"/>
          <w:szCs w:val="32"/>
          <w:shd w:val="clear" w:color="080000" w:fill="FFFFFF"/>
        </w:rPr>
        <w:t>打造“低负担创业、高聚合创新、全方位赋能”的青年人才创新创业基地，</w:t>
      </w:r>
      <w:r>
        <w:rPr>
          <w:rFonts w:hint="eastAsia" w:ascii="仿宋_GB2312" w:hAnsi="仿宋_GB2312" w:eastAsia="仿宋_GB2312" w:cs="仿宋_GB2312"/>
          <w:color w:val="000000"/>
          <w:sz w:val="32"/>
          <w:szCs w:val="32"/>
        </w:rPr>
        <w:t>综合运用扩岗补助、科创型中小企业引进毕业生等支持政策，拓展应届毕业生和青年人才求职渠道，设立青年就业驿站，</w:t>
      </w:r>
      <w:r>
        <w:rPr>
          <w:rFonts w:ascii="仿宋_GB2312" w:hAnsi="仿宋_GB2312" w:eastAsia="仿宋_GB2312" w:cs="仿宋_GB2312"/>
          <w:color w:val="000000"/>
          <w:sz w:val="32"/>
          <w:szCs w:val="32"/>
        </w:rPr>
        <w:t>持续</w:t>
      </w:r>
      <w:r>
        <w:rPr>
          <w:rFonts w:hint="eastAsia" w:ascii="仿宋_GB2312" w:hAnsi="仿宋_GB2312" w:eastAsia="仿宋_GB2312" w:cs="仿宋_GB2312"/>
          <w:color w:val="000000"/>
          <w:sz w:val="32"/>
          <w:szCs w:val="32"/>
        </w:rPr>
        <w:t>完善</w:t>
      </w:r>
      <w:r>
        <w:rPr>
          <w:rFonts w:ascii="仿宋_GB2312" w:hAnsi="仿宋_GB2312" w:eastAsia="仿宋_GB2312" w:cs="仿宋_GB2312"/>
          <w:color w:val="000000"/>
          <w:sz w:val="32"/>
          <w:szCs w:val="32"/>
        </w:rPr>
        <w:t>青年人才创新创业支持</w:t>
      </w:r>
      <w:r>
        <w:rPr>
          <w:rFonts w:hint="eastAsia" w:ascii="仿宋_GB2312" w:hAnsi="仿宋_GB2312" w:eastAsia="仿宋_GB2312" w:cs="仿宋_GB2312"/>
          <w:color w:val="000000"/>
          <w:sz w:val="32"/>
          <w:szCs w:val="32"/>
        </w:rPr>
        <w:t>体系。建设青年人才科创会客厅，积极承办中关村创新创业活动，策划举办密云区青年人才创新创业大赛，采用“以赛代评、赛投联动”机制，吸引青年创新型人才创业项目落地。用足用好“云水英才”人才支持政策和</w:t>
      </w:r>
      <w:r>
        <w:rPr>
          <w:rFonts w:hint="eastAsia" w:ascii="仿宋_GB2312" w:eastAsia="仿宋_GB2312"/>
          <w:color w:val="000000"/>
          <w:sz w:val="32"/>
          <w:szCs w:val="32"/>
        </w:rPr>
        <w:t>“人才之家”服务资源，</w:t>
      </w:r>
      <w:r>
        <w:rPr>
          <w:rFonts w:hint="eastAsia" w:ascii="仿宋_GB2312" w:hAnsi="仿宋_GB2312" w:eastAsia="仿宋_GB2312" w:cs="仿宋_GB2312"/>
          <w:color w:val="000000"/>
          <w:sz w:val="32"/>
          <w:szCs w:val="32"/>
        </w:rPr>
        <w:t>逐步构建涵盖创业辅导、企业咨询、投融资对接、市场推广、法律咨询等创新创业全流程的人才服务体系</w:t>
      </w:r>
      <w:r>
        <w:rPr>
          <w:rFonts w:hint="eastAsia" w:ascii="仿宋_GB2312" w:eastAsia="仿宋_GB2312"/>
          <w:color w:val="000000"/>
          <w:sz w:val="32"/>
          <w:szCs w:val="32"/>
        </w:rPr>
        <w:t>。</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2" w:name="_Toc10081"/>
      <w:r>
        <w:rPr>
          <w:rFonts w:hint="eastAsia" w:ascii="楷体_GB2312" w:hAnsi="楷体_GB2312" w:eastAsia="楷体_GB2312" w:cs="楷体_GB2312"/>
          <w:b w:val="0"/>
          <w:bCs w:val="0"/>
          <w:color w:val="000000"/>
          <w:sz w:val="32"/>
          <w:szCs w:val="32"/>
        </w:rPr>
        <w:t>（四）优化提升营商环境</w:t>
      </w:r>
      <w:bookmarkEnd w:id="32"/>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围绕企业从开办到注销全生命周期，</w:t>
      </w:r>
      <w:r>
        <w:rPr>
          <w:rFonts w:ascii="仿宋_GB2312" w:hAnsi="仿宋_GB2312" w:eastAsia="仿宋_GB2312" w:cs="仿宋_GB2312"/>
          <w:color w:val="000000"/>
          <w:sz w:val="32"/>
          <w:szCs w:val="32"/>
        </w:rPr>
        <w:t>迭代升级涉企服务举措与惠企政策供给</w:t>
      </w:r>
      <w:r>
        <w:rPr>
          <w:rFonts w:hint="eastAsia" w:ascii="仿宋_GB2312" w:hAnsi="仿宋_GB2312" w:eastAsia="仿宋_GB2312" w:cs="仿宋_GB2312"/>
          <w:color w:val="000000"/>
          <w:sz w:val="32"/>
          <w:szCs w:val="32"/>
        </w:rPr>
        <w:t>，持续健全高效便捷的政务服务体系，</w:t>
      </w:r>
      <w:r>
        <w:rPr>
          <w:rFonts w:ascii="仿宋_GB2312" w:hAnsi="仿宋_GB2312" w:eastAsia="仿宋_GB2312" w:cs="仿宋_GB2312"/>
          <w:color w:val="000000"/>
          <w:sz w:val="32"/>
          <w:szCs w:val="32"/>
        </w:rPr>
        <w:t>全方位</w:t>
      </w:r>
      <w:r>
        <w:rPr>
          <w:rFonts w:hint="eastAsia" w:ascii="仿宋_GB2312" w:hAnsi="仿宋_GB2312" w:eastAsia="仿宋_GB2312" w:cs="仿宋_GB2312"/>
          <w:color w:val="000000"/>
          <w:sz w:val="32"/>
          <w:szCs w:val="32"/>
        </w:rPr>
        <w:t>优化</w:t>
      </w:r>
      <w:r>
        <w:rPr>
          <w:rFonts w:ascii="仿宋_GB2312" w:hAnsi="仿宋_GB2312" w:eastAsia="仿宋_GB2312" w:cs="仿宋_GB2312"/>
          <w:color w:val="000000"/>
          <w:sz w:val="32"/>
          <w:szCs w:val="32"/>
        </w:rPr>
        <w:t>园区</w:t>
      </w:r>
      <w:r>
        <w:rPr>
          <w:rFonts w:hint="eastAsia" w:ascii="仿宋_GB2312" w:hAnsi="仿宋_GB2312" w:eastAsia="仿宋_GB2312" w:cs="仿宋_GB2312"/>
          <w:color w:val="000000"/>
          <w:sz w:val="32"/>
          <w:szCs w:val="32"/>
        </w:rPr>
        <w:t>市场化</w:t>
      </w:r>
      <w:r>
        <w:rPr>
          <w:rFonts w:ascii="仿宋_GB2312" w:hAnsi="仿宋_GB2312" w:eastAsia="仿宋_GB2312" w:cs="仿宋_GB2312"/>
          <w:color w:val="000000"/>
          <w:sz w:val="32"/>
          <w:szCs w:val="32"/>
        </w:rPr>
        <w:t>环境，</w:t>
      </w:r>
      <w:r>
        <w:rPr>
          <w:rFonts w:hint="eastAsia" w:ascii="仿宋_GB2312" w:hAnsi="仿宋_GB2312" w:eastAsia="仿宋_GB2312" w:cs="仿宋_GB2312"/>
          <w:color w:val="000000"/>
          <w:sz w:val="32"/>
          <w:szCs w:val="32"/>
        </w:rPr>
        <w:t>切实增强企业获得感。</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完善企业“服务包”制度。</w:t>
      </w:r>
      <w:r>
        <w:rPr>
          <w:rFonts w:hint="eastAsia" w:ascii="仿宋_GB2312" w:eastAsia="仿宋_GB2312"/>
          <w:color w:val="000000"/>
          <w:sz w:val="32"/>
          <w:szCs w:val="32"/>
        </w:rPr>
        <w:t>深化落实区领导联系重点企业制度，</w:t>
      </w:r>
      <w:r>
        <w:rPr>
          <w:rFonts w:hint="eastAsia" w:ascii="仿宋_GB2312" w:hAnsi="仿宋_GB2312" w:eastAsia="仿宋_GB2312" w:cs="仿宋_GB2312"/>
          <w:color w:val="000000"/>
          <w:sz w:val="32"/>
          <w:szCs w:val="32"/>
        </w:rPr>
        <w:t>掌握企业发展诉求和政策需求，靶向解决企业发展堵点难点问题，推动企业发展和成长壮大。强化企业服务包“区-园区-企业”联动机制，进一步规范服务流程、创新工作方式，积极推进重大项目落地和重要服务事项落实，夯实诉求预警、企业外迁预警、信息报送、考评通报等工作机制保障。建立企业诉求解决闭环管理机制，及时归纳总结、积极宣传推广服务企业过程中的典型经验、典型做法、典型案例，不断拓展为企服务深度。</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bCs/>
          <w:color w:val="000000"/>
          <w:sz w:val="32"/>
          <w:szCs w:val="32"/>
        </w:rPr>
        <w:t>持续提升政务服务水平。</w:t>
      </w:r>
      <w:r>
        <w:rPr>
          <w:rFonts w:hint="eastAsia" w:ascii="仿宋_GB2312" w:hAnsi="仿宋_GB2312" w:eastAsia="仿宋_GB2312" w:cs="仿宋_GB2312"/>
          <w:color w:val="000000"/>
          <w:sz w:val="32"/>
          <w:szCs w:val="32"/>
        </w:rPr>
        <w:t>建立健全“高效办成一件事”重点事项常态化推进机制，结合园区经营主体在企业经营、产业发展、项目落地等领域的场景服务需求，制定密云园“高效办成一件事”重点事项清单，并推动从解决“一件事”向办好“一类事”延伸拓展，进一步加强部门协同和服务集成，为审批服务减环节、减材料、减时限、减费用，打造企业身边的集成式服务管家。推动园区政务服务站功能提升，主动</w:t>
      </w:r>
      <w:r>
        <w:rPr>
          <w:rFonts w:ascii="仿宋_GB2312" w:hAnsi="仿宋_GB2312" w:eastAsia="仿宋_GB2312" w:cs="仿宋_GB2312"/>
          <w:color w:val="000000"/>
          <w:sz w:val="32"/>
          <w:szCs w:val="32"/>
        </w:rPr>
        <w:t>对接需求、靠前提供服务，</w:t>
      </w:r>
      <w:r>
        <w:rPr>
          <w:rFonts w:hint="eastAsia" w:ascii="仿宋_GB2312" w:hAnsi="仿宋_GB2312" w:eastAsia="仿宋_GB2312" w:cs="仿宋_GB2312"/>
          <w:color w:val="000000"/>
          <w:sz w:val="32"/>
          <w:szCs w:val="32"/>
        </w:rPr>
        <w:t>由“被动响应”向“主动问需”转变，</w:t>
      </w:r>
      <w:r>
        <w:rPr>
          <w:rFonts w:ascii="仿宋_GB2312" w:hAnsi="仿宋_GB2312" w:eastAsia="仿宋_GB2312" w:cs="仿宋_GB2312"/>
          <w:color w:val="000000"/>
          <w:sz w:val="32"/>
          <w:szCs w:val="32"/>
        </w:rPr>
        <w:t>针对</w:t>
      </w:r>
      <w:r>
        <w:rPr>
          <w:rFonts w:hint="eastAsia" w:ascii="仿宋_GB2312" w:hAnsi="仿宋_GB2312" w:eastAsia="仿宋_GB2312" w:cs="仿宋_GB2312"/>
          <w:color w:val="000000"/>
          <w:sz w:val="32"/>
          <w:szCs w:val="32"/>
        </w:rPr>
        <w:t>企业</w:t>
      </w:r>
      <w:r>
        <w:rPr>
          <w:rFonts w:ascii="仿宋_GB2312" w:hAnsi="仿宋_GB2312" w:eastAsia="仿宋_GB2312" w:cs="仿宋_GB2312"/>
          <w:color w:val="000000"/>
          <w:sz w:val="32"/>
          <w:szCs w:val="32"/>
        </w:rPr>
        <w:t>高频政务服务事项</w:t>
      </w:r>
      <w:r>
        <w:rPr>
          <w:rFonts w:hint="eastAsia" w:ascii="仿宋_GB2312" w:hAnsi="仿宋_GB2312" w:eastAsia="仿宋_GB2312" w:cs="仿宋_GB2312"/>
          <w:color w:val="000000"/>
          <w:sz w:val="32"/>
          <w:szCs w:val="32"/>
        </w:rPr>
        <w:t>采取“流动窗口”方式进企业提供零距离服务。增强政务数据跨部门共享供需对接，推动更多惠企政策实现免申即享，加强“首都之窗-政策兑现专区”平台宣传，促进</w:t>
      </w:r>
      <w:r>
        <w:rPr>
          <w:rFonts w:ascii="仿宋_GB2312" w:hAnsi="仿宋_GB2312" w:eastAsia="仿宋_GB2312" w:cs="仿宋_GB2312"/>
          <w:color w:val="000000"/>
          <w:sz w:val="32"/>
          <w:szCs w:val="32"/>
        </w:rPr>
        <w:t>政务服务</w:t>
      </w:r>
      <w:r>
        <w:rPr>
          <w:rFonts w:hint="eastAsia" w:ascii="仿宋_GB2312" w:hAnsi="仿宋_GB2312" w:eastAsia="仿宋_GB2312" w:cs="仿宋_GB2312"/>
          <w:color w:val="000000"/>
          <w:sz w:val="32"/>
          <w:szCs w:val="32"/>
        </w:rPr>
        <w:t>更加高效便捷</w:t>
      </w:r>
      <w:r>
        <w:rPr>
          <w:rFonts w:ascii="仿宋_GB2312" w:hAnsi="仿宋_GB2312" w:eastAsia="仿宋_GB2312" w:cs="仿宋_GB2312"/>
          <w:color w:val="000000"/>
          <w:sz w:val="32"/>
          <w:szCs w:val="32"/>
        </w:rPr>
        <w:t>。</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提升园区市场化环境。</w:t>
      </w:r>
      <w:r>
        <w:rPr>
          <w:rFonts w:hint="eastAsia" w:ascii="仿宋_GB2312" w:hAnsi="仿宋_GB2312" w:eastAsia="仿宋_GB2312" w:cs="仿宋_GB2312"/>
          <w:color w:val="000000"/>
          <w:sz w:val="32"/>
          <w:szCs w:val="32"/>
        </w:rPr>
        <w:t>加快主动融入和服务全国统一大市场建设，严格落实“全国一张清单”管理模式，全面落实公平竞争审查制度。</w:t>
      </w:r>
      <w:r>
        <w:rPr>
          <w:rFonts w:ascii="仿宋_GB2312" w:hAnsi="仿宋_GB2312" w:eastAsia="仿宋_GB2312" w:cs="仿宋_GB2312"/>
          <w:color w:val="000000"/>
          <w:sz w:val="32"/>
          <w:szCs w:val="32"/>
        </w:rPr>
        <w:t>落实市级全面推行非现场监管要求，强化条件保障，推动更多企业纳入“无事不扰”企业清单，进一步提高非现场检查比例。</w:t>
      </w:r>
      <w:r>
        <w:rPr>
          <w:rFonts w:hint="eastAsia" w:ascii="仿宋_GB2312" w:hAnsi="仿宋_GB2312" w:eastAsia="仿宋_GB2312" w:cs="仿宋_GB2312"/>
          <w:color w:val="000000"/>
          <w:sz w:val="32"/>
          <w:szCs w:val="32"/>
        </w:rPr>
        <w:t>强化社会信用体系建设，积极推广诚信理念、弘扬诚信文化，引导企业诚信经营、守信践诺，推动形成重信守诺的良好社会风尚。</w:t>
      </w:r>
    </w:p>
    <w:p>
      <w:pPr>
        <w:keepNext/>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3" w:name="_Toc32612"/>
      <w:r>
        <w:rPr>
          <w:rFonts w:hint="eastAsia" w:ascii="楷体_GB2312" w:hAnsi="楷体_GB2312" w:eastAsia="楷体_GB2312" w:cs="楷体_GB2312"/>
          <w:b w:val="0"/>
          <w:bCs w:val="0"/>
          <w:color w:val="000000"/>
          <w:sz w:val="32"/>
          <w:szCs w:val="32"/>
        </w:rPr>
        <w:t>（五）提升宜业宜居品质</w:t>
      </w:r>
      <w:bookmarkEnd w:id="33"/>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实施园区基础设施建设提升行动，不断完善园区居住和公共服务设施配套，持续提升园区综合承载力，</w:t>
      </w:r>
      <w:r>
        <w:rPr>
          <w:rFonts w:ascii="仿宋_GB2312" w:hAnsi="仿宋_GB2312" w:eastAsia="仿宋_GB2312" w:cs="仿宋_GB2312"/>
          <w:bCs/>
          <w:color w:val="000000"/>
          <w:sz w:val="32"/>
          <w:szCs w:val="32"/>
        </w:rPr>
        <w:t>打造</w:t>
      </w:r>
      <w:r>
        <w:rPr>
          <w:rFonts w:hint="eastAsia" w:ascii="仿宋_GB2312" w:hAnsi="仿宋_GB2312" w:eastAsia="仿宋_GB2312" w:cs="仿宋_GB2312"/>
          <w:bCs/>
          <w:color w:val="000000"/>
          <w:sz w:val="32"/>
          <w:szCs w:val="32"/>
        </w:rPr>
        <w:t>产城融合、职住平衡、功能完善、</w:t>
      </w:r>
      <w:r>
        <w:rPr>
          <w:rFonts w:ascii="仿宋_GB2312" w:hAnsi="仿宋_GB2312" w:eastAsia="仿宋_GB2312" w:cs="仿宋_GB2312"/>
          <w:bCs/>
          <w:color w:val="000000"/>
          <w:sz w:val="32"/>
          <w:szCs w:val="32"/>
        </w:rPr>
        <w:t>宜业宜居的现代化</w:t>
      </w:r>
      <w:r>
        <w:rPr>
          <w:rFonts w:hint="eastAsia" w:ascii="仿宋_GB2312" w:hAnsi="仿宋_GB2312" w:eastAsia="仿宋_GB2312" w:cs="仿宋_GB2312"/>
          <w:bCs/>
          <w:color w:val="000000"/>
          <w:sz w:val="32"/>
          <w:szCs w:val="32"/>
        </w:rPr>
        <w:t>科技园</w:t>
      </w:r>
      <w:r>
        <w:rPr>
          <w:rFonts w:ascii="仿宋_GB2312" w:hAnsi="仿宋_GB2312" w:eastAsia="仿宋_GB2312" w:cs="仿宋_GB2312"/>
          <w:bCs/>
          <w:color w:val="000000"/>
          <w:sz w:val="32"/>
          <w:szCs w:val="32"/>
        </w:rPr>
        <w:t>区</w:t>
      </w:r>
      <w:r>
        <w:rPr>
          <w:rFonts w:hint="eastAsia" w:ascii="仿宋_GB2312" w:hAnsi="仿宋_GB2312" w:eastAsia="仿宋_GB2312" w:cs="仿宋_GB2312"/>
          <w:bCs/>
          <w:color w:val="000000"/>
          <w:sz w:val="32"/>
          <w:szCs w:val="32"/>
        </w:rPr>
        <w:t>。</w:t>
      </w:r>
    </w:p>
    <w:p>
      <w:pPr>
        <w:spacing w:line="560" w:lineRule="exact"/>
        <w:ind w:firstLine="643" w:firstLineChars="200"/>
        <w:textAlignment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color w:val="000000"/>
          <w:sz w:val="32"/>
          <w:szCs w:val="32"/>
        </w:rPr>
        <w:t>推动基础设施提质升级。</w:t>
      </w:r>
      <w:r>
        <w:rPr>
          <w:rFonts w:hint="eastAsia" w:eastAsia="仿宋_GB2312"/>
          <w:color w:val="000000"/>
          <w:sz w:val="32"/>
          <w:szCs w:val="32"/>
        </w:rPr>
        <w:t>实施一批基础设施更新、平急两用应急设施项目，系统推进燃气管网、供排水设施、供电线路等老旧设施设备隐患排查与淘汰更新工作。</w:t>
      </w:r>
      <w:r>
        <w:rPr>
          <w:rFonts w:ascii="仿宋_GB2312" w:eastAsia="仿宋_GB2312"/>
          <w:color w:val="000000"/>
          <w:sz w:val="32"/>
          <w:szCs w:val="32"/>
        </w:rPr>
        <w:t>统筹优化园区内部交通路网布局，加密与中心城区、周边重点片区的公共交通接驳线路，完善共享单车、通勤班车等多元化出行服务供给，构建高效便捷、绿色低碳的园区综合交通体系</w:t>
      </w:r>
      <w:r>
        <w:rPr>
          <w:rFonts w:hint="eastAsia" w:ascii="仿宋_GB2312" w:eastAsia="仿宋_GB2312"/>
          <w:color w:val="000000"/>
          <w:sz w:val="32"/>
          <w:szCs w:val="32"/>
        </w:rPr>
        <w:t>，提升园区通勤出行便利化水平</w:t>
      </w:r>
      <w:r>
        <w:rPr>
          <w:rFonts w:ascii="仿宋_GB2312" w:eastAsia="仿宋_GB2312"/>
          <w:color w:val="000000"/>
          <w:sz w:val="32"/>
          <w:szCs w:val="32"/>
        </w:rPr>
        <w:t>。</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着力提升人才安居体验。</w:t>
      </w:r>
      <w:r>
        <w:rPr>
          <w:rFonts w:hint="eastAsia" w:ascii="仿宋_GB2312" w:hAnsi="仿宋_GB2312" w:eastAsia="仿宋_GB2312" w:cs="仿宋_GB2312"/>
          <w:color w:val="000000"/>
          <w:sz w:val="32"/>
          <w:szCs w:val="32"/>
        </w:rPr>
        <w:t>坚持以人才需求为导向，系统构建层次分明、供给多元、保障有力的人才居住服务体系。</w:t>
      </w:r>
      <w:r>
        <w:rPr>
          <w:rFonts w:ascii="仿宋_GB2312" w:hAnsi="仿宋_GB2312" w:eastAsia="仿宋_GB2312" w:cs="仿宋_GB2312"/>
          <w:color w:val="000000"/>
          <w:sz w:val="32"/>
          <w:szCs w:val="32"/>
        </w:rPr>
        <w:t>聚焦</w:t>
      </w:r>
      <w:r>
        <w:rPr>
          <w:rFonts w:hint="eastAsia" w:ascii="仿宋_GB2312" w:hAnsi="仿宋_GB2312" w:eastAsia="仿宋_GB2312" w:cs="仿宋_GB2312"/>
          <w:color w:val="000000"/>
          <w:sz w:val="32"/>
          <w:szCs w:val="32"/>
        </w:rPr>
        <w:t>科技领军</w:t>
      </w:r>
      <w:r>
        <w:rPr>
          <w:rFonts w:ascii="仿宋_GB2312" w:hAnsi="仿宋_GB2312" w:eastAsia="仿宋_GB2312" w:cs="仿宋_GB2312"/>
          <w:color w:val="000000"/>
          <w:sz w:val="32"/>
          <w:szCs w:val="32"/>
        </w:rPr>
        <w:t>人才</w:t>
      </w:r>
      <w:r>
        <w:rPr>
          <w:rFonts w:hint="eastAsia" w:ascii="仿宋_GB2312" w:hAnsi="仿宋_GB2312" w:eastAsia="仿宋_GB2312" w:cs="仿宋_GB2312"/>
          <w:color w:val="000000"/>
          <w:sz w:val="32"/>
          <w:szCs w:val="32"/>
        </w:rPr>
        <w:t>及团队对多功能空间的现实</w:t>
      </w:r>
      <w:r>
        <w:rPr>
          <w:rFonts w:ascii="仿宋_GB2312" w:hAnsi="仿宋_GB2312" w:eastAsia="仿宋_GB2312" w:cs="仿宋_GB2312"/>
          <w:color w:val="000000"/>
          <w:sz w:val="32"/>
          <w:szCs w:val="32"/>
        </w:rPr>
        <w:t>需求，</w:t>
      </w:r>
      <w:r>
        <w:rPr>
          <w:rFonts w:hint="eastAsia" w:ascii="仿宋_GB2312" w:hAnsi="仿宋_GB2312" w:eastAsia="仿宋_GB2312" w:cs="仿宋_GB2312"/>
          <w:color w:val="000000"/>
          <w:sz w:val="32"/>
          <w:szCs w:val="32"/>
        </w:rPr>
        <w:t>采用“人才培养、科技创新、社会服务”三位一体的模式，</w:t>
      </w:r>
      <w:r>
        <w:rPr>
          <w:rFonts w:ascii="仿宋_GB2312" w:hAnsi="仿宋_GB2312" w:eastAsia="仿宋_GB2312" w:cs="仿宋_GB2312"/>
          <w:color w:val="000000"/>
          <w:sz w:val="32"/>
          <w:szCs w:val="32"/>
        </w:rPr>
        <w:t>高标准规划改造建设一批科学家小院</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扩大普惠性人才住房供给，持续建设升级高品质人才公寓，优化公租房配租管理，</w:t>
      </w:r>
      <w:r>
        <w:rPr>
          <w:rFonts w:hint="eastAsia" w:ascii="仿宋_GB2312" w:hAnsi="仿宋_GB2312" w:eastAsia="仿宋_GB2312" w:cs="仿宋_GB2312"/>
          <w:color w:val="000000"/>
          <w:sz w:val="32"/>
          <w:szCs w:val="32"/>
        </w:rPr>
        <w:t>完善企业集体宿舍的建设标准与运营服务规范</w:t>
      </w:r>
      <w:r>
        <w:rPr>
          <w:rFonts w:ascii="仿宋_GB2312" w:hAnsi="仿宋_GB2312" w:eastAsia="仿宋_GB2312" w:cs="仿宋_GB2312"/>
          <w:color w:val="000000"/>
          <w:sz w:val="32"/>
          <w:szCs w:val="32"/>
        </w:rPr>
        <w:t>，持续提升各类人才住房的物业服务与精细化管理水平，完善社区便民服务配套，切实增强人才</w:t>
      </w:r>
      <w:r>
        <w:rPr>
          <w:rFonts w:hint="eastAsia" w:ascii="仿宋_GB2312" w:hAnsi="仿宋_GB2312" w:eastAsia="仿宋_GB2312" w:cs="仿宋_GB2312"/>
          <w:color w:val="000000"/>
          <w:sz w:val="32"/>
          <w:szCs w:val="32"/>
        </w:rPr>
        <w:t>安居密云</w:t>
      </w:r>
      <w:r>
        <w:rPr>
          <w:rFonts w:ascii="仿宋_GB2312" w:hAnsi="仿宋_GB2312" w:eastAsia="仿宋_GB2312" w:cs="仿宋_GB2312"/>
          <w:color w:val="000000"/>
          <w:sz w:val="32"/>
          <w:szCs w:val="32"/>
        </w:rPr>
        <w:t>的归属感与幸福感。</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优化提升公共服务功能。</w:t>
      </w:r>
      <w:r>
        <w:rPr>
          <w:rFonts w:hint="eastAsia" w:ascii="仿宋_GB2312" w:hAnsi="仿宋_GB2312" w:eastAsia="仿宋_GB2312" w:cs="仿宋_GB2312"/>
          <w:color w:val="000000"/>
          <w:sz w:val="32"/>
          <w:szCs w:val="32"/>
        </w:rPr>
        <w:t>聚焦商务办公和来访人员长短期停留等商务接待、会议培训需求</w:t>
      </w:r>
      <w:r>
        <w:rPr>
          <w:rFonts w:hint="eastAsia" w:ascii="仿宋_GB2312" w:hAnsi="宋体" w:eastAsia="仿宋_GB2312" w:cs="仿宋_GB2312"/>
          <w:color w:val="000000"/>
          <w:sz w:val="32"/>
          <w:szCs w:val="32"/>
        </w:rPr>
        <w:t>，</w:t>
      </w:r>
      <w:r>
        <w:rPr>
          <w:rFonts w:hint="eastAsia" w:ascii="仿宋_GB2312" w:hAnsi="仿宋_GB2312" w:eastAsia="仿宋_GB2312" w:cs="仿宋_GB2312"/>
          <w:color w:val="000000"/>
          <w:sz w:val="32"/>
          <w:szCs w:val="32"/>
        </w:rPr>
        <w:t>科学布局建设星级酒店、特色商业综合体、咖啡馆、图书馆等高品质商业设施，完善园区商务配套服务功能。构建优质基础教育服务体系，加快推动北京第二实验学校建设，着力提升</w:t>
      </w:r>
      <w:r>
        <w:rPr>
          <w:rFonts w:ascii="仿宋_GB2312" w:hAnsi="仿宋_GB2312" w:eastAsia="仿宋_GB2312" w:cs="仿宋_GB2312"/>
          <w:color w:val="000000"/>
          <w:sz w:val="32"/>
          <w:szCs w:val="32"/>
        </w:rPr>
        <w:t>师资配备标准、办学管理水平</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切实解决园区居民子女就学需求</w:t>
      </w:r>
      <w:r>
        <w:rPr>
          <w:rFonts w:hint="eastAsia" w:ascii="仿宋_GB2312" w:hAnsi="仿宋_GB2312" w:eastAsia="仿宋_GB2312" w:cs="仿宋_GB2312"/>
          <w:color w:val="000000"/>
          <w:sz w:val="32"/>
          <w:szCs w:val="32"/>
        </w:rPr>
        <w:t>。</w:t>
      </w:r>
      <w:r>
        <w:rPr>
          <w:rFonts w:hint="eastAsia" w:ascii="仿宋_GB2312" w:eastAsia="仿宋_GB2312"/>
          <w:color w:val="000000"/>
          <w:sz w:val="32"/>
          <w:szCs w:val="32"/>
        </w:rPr>
        <w:t>提升</w:t>
      </w:r>
      <w:r>
        <w:rPr>
          <w:rFonts w:ascii="仿宋_GB2312" w:eastAsia="仿宋_GB2312"/>
          <w:color w:val="000000"/>
          <w:sz w:val="32"/>
          <w:szCs w:val="32"/>
        </w:rPr>
        <w:t>医疗</w:t>
      </w:r>
      <w:r>
        <w:rPr>
          <w:rFonts w:hint="eastAsia" w:ascii="仿宋_GB2312" w:eastAsia="仿宋_GB2312"/>
          <w:color w:val="000000"/>
          <w:sz w:val="32"/>
          <w:szCs w:val="32"/>
        </w:rPr>
        <w:t>服务保障能力，</w:t>
      </w:r>
      <w:r>
        <w:rPr>
          <w:rFonts w:ascii="仿宋_GB2312" w:eastAsia="仿宋_GB2312"/>
          <w:color w:val="000000"/>
          <w:sz w:val="32"/>
          <w:szCs w:val="32"/>
        </w:rPr>
        <w:t>加快推进</w:t>
      </w:r>
      <w:r>
        <w:rPr>
          <w:rFonts w:hint="eastAsia" w:ascii="仿宋_GB2312" w:eastAsia="仿宋_GB2312"/>
          <w:color w:val="000000"/>
          <w:sz w:val="32"/>
          <w:szCs w:val="32"/>
        </w:rPr>
        <w:t>北京大学怀密医学中心配套医院、</w:t>
      </w:r>
      <w:r>
        <w:rPr>
          <w:rFonts w:ascii="仿宋_GB2312" w:eastAsia="仿宋_GB2312"/>
          <w:color w:val="000000"/>
          <w:sz w:val="32"/>
          <w:szCs w:val="32"/>
        </w:rPr>
        <w:t>社区卫生服务中心等医疗设施建设与升级改造，提升</w:t>
      </w:r>
      <w:r>
        <w:rPr>
          <w:rFonts w:hint="eastAsia" w:ascii="仿宋_GB2312" w:eastAsia="仿宋_GB2312"/>
          <w:color w:val="000000"/>
          <w:sz w:val="32"/>
          <w:szCs w:val="32"/>
        </w:rPr>
        <w:t>园区</w:t>
      </w:r>
      <w:r>
        <w:rPr>
          <w:rFonts w:ascii="仿宋_GB2312" w:eastAsia="仿宋_GB2312"/>
          <w:color w:val="000000"/>
          <w:sz w:val="32"/>
          <w:szCs w:val="32"/>
        </w:rPr>
        <w:t>医疗服务水平</w:t>
      </w:r>
      <w:r>
        <w:rPr>
          <w:rFonts w:hint="eastAsia" w:ascii="仿宋_GB2312" w:eastAsia="仿宋_GB2312"/>
          <w:color w:val="000000"/>
          <w:sz w:val="32"/>
          <w:szCs w:val="32"/>
        </w:rPr>
        <w:t>。持续完善</w:t>
      </w:r>
      <w:r>
        <w:rPr>
          <w:rFonts w:hint="eastAsia" w:ascii="仿宋_GB2312" w:hAnsi="仿宋_GB2312" w:eastAsia="仿宋_GB2312" w:cs="仿宋_GB2312"/>
          <w:color w:val="000000"/>
          <w:sz w:val="32"/>
          <w:szCs w:val="32"/>
        </w:rPr>
        <w:t>生活服务配套设施，推进连锁商超、品牌餐饮、便利店、体育馆、电影院等商业文体设施配套落地运营，打造“15分钟便民生活圈”。</w:t>
      </w:r>
    </w:p>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34" w:name="_Toc1812"/>
      <w:r>
        <w:rPr>
          <w:rFonts w:hint="eastAsia" w:ascii="黑体" w:hAnsi="黑体" w:eastAsia="黑体" w:cs="黑体"/>
          <w:b w:val="0"/>
          <w:bCs w:val="0"/>
          <w:color w:val="000000"/>
          <w:sz w:val="32"/>
          <w:szCs w:val="32"/>
        </w:rPr>
        <w:t>七、</w:t>
      </w:r>
      <w:bookmarkStart w:id="35" w:name="OLE_LINK2"/>
      <w:r>
        <w:rPr>
          <w:rFonts w:hint="eastAsia" w:ascii="黑体" w:hAnsi="黑体" w:eastAsia="黑体" w:cs="黑体"/>
          <w:b w:val="0"/>
          <w:bCs w:val="0"/>
          <w:color w:val="000000"/>
          <w:sz w:val="32"/>
          <w:szCs w:val="32"/>
        </w:rPr>
        <w:t>协同共建区域产业链</w:t>
      </w:r>
      <w:bookmarkEnd w:id="35"/>
      <w:r>
        <w:rPr>
          <w:rFonts w:hint="eastAsia" w:ascii="黑体" w:hAnsi="黑体" w:eastAsia="黑体" w:cs="黑体"/>
          <w:b w:val="0"/>
          <w:bCs w:val="0"/>
          <w:color w:val="000000"/>
          <w:sz w:val="32"/>
          <w:szCs w:val="32"/>
        </w:rPr>
        <w:t>，推进更高水平开放发展</w:t>
      </w:r>
      <w:bookmarkEnd w:id="34"/>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深化落实北京市现代化产业体系布局，积极承接三大科学城科技成果转化，协同推进京津冀“六链五群”跨区域产业协作，充分利用现有资源稳步推动园区国际化开放合作，积极参与更广范围更深层次的产业链分工协作。</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6" w:name="_Toc20430"/>
      <w:r>
        <w:rPr>
          <w:rFonts w:hint="eastAsia" w:ascii="楷体_GB2312" w:hAnsi="楷体_GB2312" w:eastAsia="楷体_GB2312" w:cs="楷体_GB2312"/>
          <w:b w:val="0"/>
          <w:bCs w:val="0"/>
          <w:color w:val="000000"/>
          <w:sz w:val="32"/>
          <w:szCs w:val="32"/>
        </w:rPr>
        <w:t>（一）积极承接三大科学城科技成果转化</w:t>
      </w:r>
      <w:bookmarkEnd w:id="36"/>
    </w:p>
    <w:p>
      <w:pPr>
        <w:spacing w:line="560" w:lineRule="exact"/>
        <w:ind w:firstLine="640"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聚焦“2+2”产业，主动对接三大科学城的高校、科研院所和企业，积极承接各类创新主体的科技成果转化和产业化项目落地。重点对接怀柔科学城生命科学、科学仪器和传感器领域科研单位，争取其独立建设或与企业联合共建的实验室、研发中心、科技成果转化项目落地。重点对接中关村科学城智能装备、生物医药、节能环保领域的企业、孵化器，积极承接中试转化项目、初创企业团队项目等落地。重点对接未来科学城生命科学领域的企业、科技服务机构，积极承接相关科技成果转化项目落地。</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7" w:name="_Toc26992"/>
      <w:r>
        <w:rPr>
          <w:rFonts w:hint="eastAsia" w:ascii="楷体_GB2312" w:hAnsi="楷体_GB2312" w:eastAsia="楷体_GB2312" w:cs="楷体_GB2312"/>
          <w:b w:val="0"/>
          <w:bCs w:val="0"/>
          <w:color w:val="000000"/>
          <w:sz w:val="32"/>
          <w:szCs w:val="32"/>
        </w:rPr>
        <w:t>（二）深度参与京津冀产业链群建设</w:t>
      </w:r>
      <w:bookmarkEnd w:id="37"/>
    </w:p>
    <w:p>
      <w:pPr>
        <w:spacing w:line="560" w:lineRule="exact"/>
        <w:ind w:firstLine="640"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深化细化跨区域产业链协作，以产业协作促进区域协作，实现更大范围内的要素流动和资源共享，与京津冀其他地区共同推动产业链、产业集群高质量发展。</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持续深化朝密结对协作。</w:t>
      </w:r>
      <w:r>
        <w:rPr>
          <w:rFonts w:hint="eastAsia" w:ascii="仿宋_GB2312" w:hAnsi="仿宋_GB2312" w:eastAsia="仿宋_GB2312" w:cs="仿宋_GB2312"/>
          <w:color w:val="000000"/>
          <w:sz w:val="32"/>
          <w:szCs w:val="32"/>
        </w:rPr>
        <w:t>充分发挥朝密双创中心的协同创新纽带作用，联合孵化一批生命健康、生态环保高端前沿项目。重点围绕朝阳区数字医疗、具身智能等产业，构建“研发设计在朝阳、中试量产在密云”的跨区域产业协同范式，积极推动密云区传统产业升级和新兴产业培育。建立常态化企业需求对接机制，由朝阳区创新主体提出精准需求，密云园企业配套提供中试熟化平台、供应链资源对接及场景开放等专项服务，系统承接产品样机定制、小批量定制生产、规模产业化项目落地，打造两区产业协作标杆示范项目。</w:t>
      </w:r>
    </w:p>
    <w:p>
      <w:pPr>
        <w:spacing w:line="560" w:lineRule="exact"/>
        <w:ind w:firstLine="643" w:firstLineChars="200"/>
        <w:textAlignment w:val="center"/>
        <w:rPr>
          <w:rFonts w:hint="eastAsia" w:ascii="仿宋_GB2312" w:hAnsi="仿宋_GB2312" w:eastAsia="仿宋_GB2312" w:cs="仿宋_GB2312"/>
          <w:b/>
          <w:bCs/>
          <w:color w:val="000000"/>
          <w:sz w:val="32"/>
          <w:szCs w:val="32"/>
          <w:highlight w:val="yellow"/>
        </w:rPr>
      </w:pPr>
      <w:r>
        <w:rPr>
          <w:rFonts w:hint="eastAsia" w:ascii="仿宋_GB2312" w:hAnsi="仿宋_GB2312" w:eastAsia="仿宋_GB2312" w:cs="仿宋_GB2312"/>
          <w:b/>
          <w:bCs/>
          <w:color w:val="000000"/>
          <w:sz w:val="32"/>
          <w:szCs w:val="32"/>
        </w:rPr>
        <w:t>协同推进京津冀智能网联新能源汽车产业集群建设。</w:t>
      </w:r>
      <w:r>
        <w:rPr>
          <w:rFonts w:hint="eastAsia" w:ascii="仿宋_GB2312" w:hAnsi="仿宋_GB2312" w:eastAsia="仿宋_GB2312" w:cs="仿宋_GB2312"/>
          <w:color w:val="000000"/>
          <w:sz w:val="32"/>
          <w:szCs w:val="32"/>
        </w:rPr>
        <w:t>强化与顺义、亦庄产业差异化发展，</w:t>
      </w:r>
      <w:r>
        <w:rPr>
          <w:rFonts w:ascii="仿宋_GB2312" w:hAnsi="仿宋_GB2312" w:eastAsia="仿宋_GB2312" w:cs="仿宋_GB2312"/>
          <w:color w:val="000000"/>
          <w:sz w:val="32"/>
          <w:szCs w:val="32"/>
        </w:rPr>
        <w:t>聚力做优做强旅行车、MPV等特色车型，持续提升细分领域核心竞争优势</w:t>
      </w:r>
      <w:r>
        <w:rPr>
          <w:rFonts w:hint="eastAsia" w:ascii="仿宋_GB2312" w:hAnsi="仿宋_GB2312" w:eastAsia="仿宋_GB2312" w:cs="仿宋_GB2312"/>
          <w:color w:val="000000"/>
          <w:sz w:val="32"/>
          <w:szCs w:val="32"/>
        </w:rPr>
        <w:t>。落实京津冀汽车产业整零协同任务部署，以汽车底盘、车身及结构件、汽车配件为重点，深化与顺义、亦庄以及天津武清、河北廊坊等重点区域的产业联动与协作配套，打造京津冀汽车零部件“</w:t>
      </w:r>
      <w:r>
        <w:rPr>
          <w:rFonts w:hint="eastAsia" w:ascii="仿宋_GB2312" w:hAnsi="仿宋_GB2312" w:eastAsia="仿宋_GB2312" w:cs="仿宋_GB2312"/>
          <w:bCs/>
          <w:color w:val="000000"/>
          <w:sz w:val="32"/>
          <w:szCs w:val="32"/>
        </w:rPr>
        <w:t>2小时配套圈</w:t>
      </w:r>
      <w:r>
        <w:rPr>
          <w:rFonts w:hint="eastAsia" w:ascii="仿宋_GB2312" w:hAnsi="仿宋_GB2312" w:eastAsia="仿宋_GB2312" w:cs="仿宋_GB2312"/>
          <w:color w:val="000000"/>
          <w:sz w:val="32"/>
          <w:szCs w:val="32"/>
        </w:rPr>
        <w:t>”。积极参与京津冀新能源和智能网联汽车主题对接活动，共同做大做强京津冀智能网联新能源汽车产业集群。</w:t>
      </w:r>
    </w:p>
    <w:p>
      <w:pPr>
        <w:spacing w:line="560" w:lineRule="exact"/>
        <w:ind w:firstLine="643" w:firstLineChars="200"/>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协同推进京津冀生命健康产业集群升级扩容。</w:t>
      </w:r>
      <w:r>
        <w:rPr>
          <w:rFonts w:hint="eastAsia" w:ascii="仿宋_GB2312" w:hAnsi="仿宋_GB2312" w:eastAsia="仿宋_GB2312" w:cs="仿宋_GB2312"/>
          <w:color w:val="000000"/>
          <w:sz w:val="32"/>
          <w:szCs w:val="32"/>
        </w:rPr>
        <w:t>依托北大医学科技园建设，</w:t>
      </w:r>
      <w:r>
        <w:rPr>
          <w:rFonts w:hint="eastAsia" w:ascii="仿宋_GB2312" w:hAnsi="仿宋_GB2312" w:eastAsia="仿宋_GB2312" w:cs="仿宋_GB2312"/>
          <w:bCs/>
          <w:color w:val="000000"/>
          <w:sz w:val="32"/>
          <w:szCs w:val="32"/>
        </w:rPr>
        <w:t>支持中关村（密云）生命健康服务产业园加强与中关村科学城国际医谷、中关村生命科学园等专业园区联动发展，</w:t>
      </w:r>
      <w:r>
        <w:rPr>
          <w:rFonts w:hint="eastAsia" w:ascii="仿宋_GB2312" w:hAnsi="仿宋_GB2312" w:eastAsia="仿宋_GB2312" w:cs="仿宋_GB2312"/>
          <w:color w:val="000000"/>
          <w:sz w:val="32"/>
          <w:szCs w:val="32"/>
        </w:rPr>
        <w:t>吸引生命健康企业和规模化生产项目落地</w:t>
      </w:r>
      <w:r>
        <w:rPr>
          <w:rFonts w:hint="eastAsia" w:ascii="仿宋_GB2312" w:hAnsi="仿宋_GB2312" w:eastAsia="仿宋_GB2312" w:cs="仿宋_GB2312"/>
          <w:bCs/>
          <w:color w:val="000000"/>
          <w:sz w:val="32"/>
          <w:szCs w:val="32"/>
        </w:rPr>
        <w:t>。强化与亦庄、大兴、昌平</w:t>
      </w:r>
      <w:r>
        <w:rPr>
          <w:rFonts w:ascii="仿宋_GB2312" w:hAnsi="仿宋_GB2312" w:eastAsia="仿宋_GB2312" w:cs="仿宋_GB2312"/>
          <w:bCs/>
          <w:color w:val="000000"/>
          <w:sz w:val="32"/>
          <w:szCs w:val="32"/>
        </w:rPr>
        <w:t>及</w:t>
      </w:r>
      <w:r>
        <w:rPr>
          <w:rFonts w:hint="eastAsia" w:ascii="仿宋_GB2312" w:hAnsi="仿宋_GB2312" w:eastAsia="仿宋_GB2312" w:cs="仿宋_GB2312"/>
          <w:bCs/>
          <w:color w:val="000000"/>
          <w:sz w:val="32"/>
          <w:szCs w:val="32"/>
        </w:rPr>
        <w:t>天津滨海新区、河北石家庄等地产业协作，聚焦医疗器械、生物制造等重点领域发展需求，联合开展关键技术攻关与行业标准创制，</w:t>
      </w:r>
      <w:r>
        <w:rPr>
          <w:rFonts w:hint="eastAsia" w:ascii="仿宋_GB2312" w:hAnsi="仿宋_GB2312" w:eastAsia="仿宋_GB2312" w:cs="仿宋_GB2312"/>
          <w:color w:val="000000"/>
          <w:sz w:val="32"/>
          <w:szCs w:val="32"/>
        </w:rPr>
        <w:t>积极</w:t>
      </w:r>
      <w:r>
        <w:rPr>
          <w:rFonts w:hint="eastAsia" w:ascii="仿宋_GB2312" w:eastAsia="仿宋_GB2312"/>
          <w:color w:val="000000"/>
          <w:sz w:val="32"/>
          <w:szCs w:val="32"/>
        </w:rPr>
        <w:t>推动科技成果在园区转化落地，精准</w:t>
      </w:r>
      <w:r>
        <w:rPr>
          <w:rFonts w:hint="eastAsia" w:ascii="仿宋_GB2312" w:hAnsi="仿宋_GB2312" w:eastAsia="仿宋_GB2312" w:cs="仿宋_GB2312"/>
          <w:color w:val="000000"/>
          <w:sz w:val="32"/>
          <w:szCs w:val="32"/>
        </w:rPr>
        <w:t>承接区域内研发型企业生产外包需求。</w:t>
      </w:r>
    </w:p>
    <w:p>
      <w:pPr>
        <w:spacing w:line="560" w:lineRule="exact"/>
        <w:ind w:firstLine="640" w:firstLineChars="200"/>
        <w:textAlignment w:val="center"/>
        <w:outlineLvl w:val="1"/>
        <w:rPr>
          <w:rFonts w:hint="eastAsia" w:ascii="楷体_GB2312" w:hAnsi="楷体_GB2312" w:eastAsia="楷体_GB2312" w:cs="楷体_GB2312"/>
          <w:b w:val="0"/>
          <w:bCs w:val="0"/>
          <w:color w:val="000000"/>
          <w:sz w:val="32"/>
          <w:szCs w:val="32"/>
        </w:rPr>
      </w:pPr>
      <w:bookmarkStart w:id="38" w:name="_Toc18317"/>
      <w:r>
        <w:rPr>
          <w:rFonts w:hint="eastAsia" w:ascii="楷体_GB2312" w:hAnsi="楷体_GB2312" w:eastAsia="楷体_GB2312" w:cs="楷体_GB2312"/>
          <w:b w:val="0"/>
          <w:bCs w:val="0"/>
          <w:color w:val="000000"/>
          <w:sz w:val="32"/>
          <w:szCs w:val="32"/>
        </w:rPr>
        <w:t>（三）稳步推进国际化开放合作</w:t>
      </w:r>
      <w:bookmarkEnd w:id="38"/>
    </w:p>
    <w:p>
      <w:pPr>
        <w:spacing w:line="560" w:lineRule="exact"/>
        <w:ind w:firstLine="640" w:firstLineChars="200"/>
        <w:textAlignment w:val="center"/>
        <w:rPr>
          <w:rFonts w:hint="eastAsia" w:ascii="仿宋_GB2312" w:hAnsi="仿宋_GB2312" w:eastAsia="仿宋_GB2312" w:cs="仿宋_GB2312"/>
          <w:bCs/>
          <w:color w:val="000000"/>
          <w:sz w:val="32"/>
          <w:szCs w:val="32"/>
        </w:rPr>
      </w:pPr>
      <w:bookmarkStart w:id="39" w:name="OLE_LINK1"/>
      <w:r>
        <w:rPr>
          <w:rFonts w:hint="eastAsia" w:ascii="仿宋_GB2312" w:hAnsi="仿宋_GB2312" w:eastAsia="仿宋_GB2312" w:cs="仿宋_GB2312"/>
          <w:bCs/>
          <w:color w:val="000000"/>
          <w:sz w:val="32"/>
          <w:szCs w:val="32"/>
        </w:rPr>
        <w:t>充分利用驻区科研单位的国际影响力，以科研国际合作为牵引，带动吸引国际高端要素资源集聚，支持园区企业“走出去”，逐步推动园区人才和企业的国际化交流合作。</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强化全球高端要素资源集聚。</w:t>
      </w:r>
      <w:r>
        <w:rPr>
          <w:rFonts w:hint="eastAsia" w:ascii="仿宋_GB2312" w:hAnsi="仿宋_GB2312" w:eastAsia="仿宋_GB2312" w:cs="仿宋_GB2312"/>
          <w:bCs/>
          <w:color w:val="000000"/>
          <w:sz w:val="32"/>
          <w:szCs w:val="32"/>
        </w:rPr>
        <w:t>充分发挥怀柔科学城东区驻区科研单位在业内的国际资源链接优势，</w:t>
      </w:r>
      <w:r>
        <w:rPr>
          <w:rFonts w:ascii="仿宋_GB2312" w:hAnsi="仿宋_GB2312" w:eastAsia="仿宋_GB2312" w:cs="仿宋_GB2312"/>
          <w:bCs/>
          <w:color w:val="000000"/>
          <w:sz w:val="32"/>
          <w:szCs w:val="32"/>
        </w:rPr>
        <w:t>聚焦</w:t>
      </w:r>
      <w:r>
        <w:rPr>
          <w:rFonts w:hint="eastAsia" w:ascii="仿宋_GB2312" w:hAnsi="仿宋_GB2312" w:eastAsia="仿宋_GB2312" w:cs="仿宋_GB2312"/>
          <w:bCs/>
          <w:color w:val="000000"/>
          <w:sz w:val="32"/>
          <w:szCs w:val="32"/>
        </w:rPr>
        <w:t>生命健康、生态环保等领域，吸引国际高层次人才及创新项目团队落地集聚。支持全球高水平研发机构等外资主体在密云园布局国际联合实验室、研发中心、企业开放创新平台。依托国际联合实验室、研发中心等创新平台，吸引世界500强企业、跨国公司、外资独角兽企业、外资隐形冠军企业在园区建设绿色工厂、智能工厂，就近实现科技成果转化项目产业化落地。</w:t>
      </w:r>
    </w:p>
    <w:p>
      <w:pPr>
        <w:spacing w:line="560" w:lineRule="exact"/>
        <w:ind w:firstLine="643" w:firstLineChars="200"/>
        <w:textAlignment w:val="center"/>
        <w:rPr>
          <w:rFonts w:eastAsia="仿宋_GB2312"/>
          <w:color w:val="000000"/>
          <w:sz w:val="32"/>
          <w:szCs w:val="32"/>
        </w:rPr>
      </w:pPr>
      <w:r>
        <w:rPr>
          <w:rFonts w:hint="eastAsia" w:ascii="仿宋_GB2312" w:hAnsi="仿宋_GB2312" w:eastAsia="仿宋_GB2312" w:cs="仿宋_GB2312"/>
          <w:b/>
          <w:color w:val="000000"/>
          <w:sz w:val="32"/>
          <w:szCs w:val="32"/>
        </w:rPr>
        <w:t>深入链接全球创新和经贸网络。</w:t>
      </w:r>
      <w:r>
        <w:rPr>
          <w:rFonts w:hint="eastAsia" w:ascii="仿宋_GB2312" w:hAnsi="仿宋_GB2312" w:eastAsia="仿宋_GB2312" w:cs="仿宋_GB2312"/>
          <w:bCs/>
          <w:color w:val="000000"/>
          <w:sz w:val="32"/>
          <w:szCs w:val="32"/>
        </w:rPr>
        <w:t>依托北京大学怀密医学中心、“1+5”科学设施等创新平台，聚焦生命科学、气候变化、地球系统科学等全球前沿科技与解决人类共同问题的基础科学领域，支持驻区科研单位发起国际大科学计划和大科学工程。</w:t>
      </w:r>
      <w:r>
        <w:rPr>
          <w:rFonts w:hint="eastAsia" w:eastAsia="仿宋_GB2312"/>
          <w:bCs/>
          <w:color w:val="000000"/>
          <w:sz w:val="32"/>
          <w:szCs w:val="32"/>
        </w:rPr>
        <w:t>通过共建海外联合实验室、联合研究中心等方式，支持园区主体与“一带一路”共建国家创新主体开展国际创新合作。</w:t>
      </w:r>
      <w:r>
        <w:rPr>
          <w:rFonts w:hint="eastAsia" w:ascii="仿宋_GB2312" w:hAnsi="仿宋_GB2312" w:eastAsia="仿宋_GB2312" w:cs="仿宋_GB2312"/>
          <w:color w:val="000000"/>
          <w:sz w:val="32"/>
          <w:szCs w:val="32"/>
        </w:rPr>
        <w:t>组织企业积极参展进博会、广交会等境内外知名展会，</w:t>
      </w:r>
      <w:r>
        <w:rPr>
          <w:rFonts w:hint="eastAsia" w:eastAsia="仿宋_GB2312"/>
          <w:bCs/>
          <w:color w:val="000000"/>
          <w:sz w:val="32"/>
          <w:szCs w:val="32"/>
        </w:rPr>
        <w:t>助力</w:t>
      </w:r>
      <w:r>
        <w:rPr>
          <w:rFonts w:hint="eastAsia" w:ascii="仿宋_GB2312" w:hAnsi="仿宋_GB2312" w:eastAsia="仿宋_GB2312" w:cs="仿宋_GB2312"/>
          <w:color w:val="000000"/>
          <w:sz w:val="32"/>
          <w:szCs w:val="32"/>
        </w:rPr>
        <w:t>园区企业“走出去”拓展海外市场。鼓励符合条件的园区企业赴境外上市，充分利用国际资本市场资源，切实增强企业参与全球市场竞争能力。</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强化密云园品牌形象国际宣传。</w:t>
      </w:r>
      <w:r>
        <w:rPr>
          <w:rFonts w:hint="eastAsia" w:ascii="仿宋_GB2312" w:hAnsi="仿宋_GB2312" w:eastAsia="仿宋_GB2312" w:cs="仿宋_GB2312"/>
          <w:bCs/>
          <w:color w:val="000000"/>
          <w:sz w:val="32"/>
          <w:szCs w:val="32"/>
        </w:rPr>
        <w:t>积极协助驻区</w:t>
      </w:r>
      <w:bookmarkStart w:id="40" w:name="_Hlk219725630"/>
      <w:r>
        <w:rPr>
          <w:rFonts w:hint="eastAsia" w:ascii="仿宋_GB2312" w:hAnsi="仿宋_GB2312" w:eastAsia="仿宋_GB2312" w:cs="仿宋_GB2312"/>
          <w:bCs/>
          <w:color w:val="000000"/>
          <w:sz w:val="32"/>
          <w:szCs w:val="32"/>
        </w:rPr>
        <w:t>科研单位</w:t>
      </w:r>
      <w:bookmarkEnd w:id="40"/>
      <w:r>
        <w:rPr>
          <w:rFonts w:hint="eastAsia" w:ascii="仿宋_GB2312" w:hAnsi="仿宋_GB2312" w:eastAsia="仿宋_GB2312" w:cs="仿宋_GB2312"/>
          <w:bCs/>
          <w:color w:val="000000"/>
          <w:sz w:val="32"/>
          <w:szCs w:val="32"/>
        </w:rPr>
        <w:t>主办或承办专业领域的高水平国际学术会议、国际论坛，支持园区平台公司承办细分产业领域的创新创业大赛，逐步构建密云园在行业细分领域的知名度。</w:t>
      </w:r>
      <w:r>
        <w:rPr>
          <w:rFonts w:hint="eastAsia" w:ascii="仿宋_GB2312" w:hAnsi="仿宋_GB2312" w:eastAsia="仿宋_GB2312" w:cs="仿宋_GB2312"/>
          <w:color w:val="000000"/>
          <w:sz w:val="32"/>
          <w:szCs w:val="22"/>
        </w:rPr>
        <w:t>积极参与中关村论坛、服贸会等国家级平台活动，积极争取将部分园区活动纳入国家级平台的常态化系列活动，宣传密云园投资环境和发展机遇，提升园区国际知名度。拓宽企业、社会组织、民间力量、海内外社交平台等多维度传播渠道，构建立体化国际传播矩阵，全面提升密云园国际传播效能。</w:t>
      </w:r>
    </w:p>
    <w:bookmarkEnd w:id="39"/>
    <w:p>
      <w:pPr>
        <w:adjustRightInd w:val="0"/>
        <w:snapToGrid w:val="0"/>
        <w:spacing w:line="560" w:lineRule="exact"/>
        <w:ind w:firstLine="640" w:firstLineChars="200"/>
        <w:textAlignment w:val="center"/>
        <w:outlineLvl w:val="0"/>
        <w:rPr>
          <w:rFonts w:hint="eastAsia" w:ascii="黑体" w:hAnsi="黑体" w:eastAsia="黑体" w:cs="黑体"/>
          <w:b w:val="0"/>
          <w:bCs w:val="0"/>
          <w:color w:val="000000"/>
          <w:sz w:val="32"/>
          <w:szCs w:val="32"/>
        </w:rPr>
      </w:pPr>
      <w:bookmarkStart w:id="41" w:name="_Toc22748"/>
      <w:r>
        <w:rPr>
          <w:rFonts w:hint="eastAsia" w:ascii="黑体" w:hAnsi="黑体" w:eastAsia="黑体" w:cs="黑体"/>
          <w:b w:val="0"/>
          <w:bCs w:val="0"/>
          <w:color w:val="000000"/>
          <w:sz w:val="32"/>
          <w:szCs w:val="32"/>
        </w:rPr>
        <w:t>八、加强规划组织实施，筑牢园区创新发展保障体系</w:t>
      </w:r>
      <w:bookmarkEnd w:id="41"/>
    </w:p>
    <w:p>
      <w:pPr>
        <w:widowControl w:val="0"/>
        <w:wordWrap/>
        <w:topLinePunct/>
        <w:autoSpaceDE w:val="0"/>
        <w:adjustRightInd/>
        <w:snapToGrid/>
        <w:spacing w:line="600" w:lineRule="exact"/>
        <w:ind w:left="0" w:leftChars="0" w:firstLine="640" w:firstLineChars="200"/>
        <w:jc w:val="both"/>
        <w:textAlignment w:val="center"/>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强化规划衔接联动，确保与上位规划、其他专项规划内容衔接贯通、同向发力。加强组织统筹协调，强化市区两级统筹、央地统筹，保障规划任务有序推进、全面落实。夯实资源要素保障，在土地、资金等方面建立与规划实施进度相协调的重大项目资源要素服务保障机制。筑牢园区安全防线，加强韧性城市、海绵城市建设，强化园镇村协同治理，持续做好城乡环境治理和社会治理工作。建立规划重大项目库，实施项目清单化、节点化、责任化管理，做好重大项目谋划储备，确保重大项目按期竣工投用。做好规划实施和评估，明确规划任务牵头部门和责任部门及完成时限，落实规划中期评估和总结评估机制。</w:t>
      </w:r>
    </w:p>
    <w:p>
      <w:pPr>
        <w:spacing w:line="560" w:lineRule="exact"/>
        <w:ind w:firstLine="640" w:firstLineChars="200"/>
        <w:textAlignment w:val="center"/>
        <w:rPr>
          <w:rFonts w:hint="eastAsia" w:ascii="仿宋_GB2312" w:hAnsi="楷体_GB2312" w:eastAsia="仿宋_GB2312" w:cs="楷体_GB2312"/>
          <w:color w:val="000000"/>
          <w:sz w:val="32"/>
          <w:szCs w:val="32"/>
        </w:rPr>
      </w:pPr>
      <w:r>
        <w:rPr>
          <w:rFonts w:ascii="仿宋_GB2312" w:hAnsi="仿宋_GB2312" w:eastAsia="仿宋_GB2312" w:cs="仿宋_GB2312"/>
          <w:bCs/>
          <w:color w:val="000000"/>
          <w:sz w:val="32"/>
          <w:szCs w:val="32"/>
        </w:rPr>
        <w:br w:type="page"/>
      </w:r>
    </w:p>
    <w:p>
      <w:pPr>
        <w:spacing w:line="560" w:lineRule="exact"/>
        <w:ind w:firstLine="640" w:firstLineChars="200"/>
        <w:textAlignment w:val="center"/>
        <w:outlineLvl w:val="0"/>
        <w:rPr>
          <w:rFonts w:hint="eastAsia" w:ascii="黑体" w:hAnsi="黑体" w:eastAsia="黑体" w:cs="黑体"/>
          <w:bCs/>
          <w:color w:val="000000"/>
          <w:sz w:val="32"/>
          <w:szCs w:val="32"/>
        </w:rPr>
      </w:pPr>
      <w:bookmarkStart w:id="42" w:name="_Toc23533"/>
      <w:bookmarkStart w:id="43" w:name="_Toc228348163"/>
      <w:r>
        <w:rPr>
          <w:rFonts w:hint="eastAsia" w:ascii="黑体" w:hAnsi="黑体" w:eastAsia="黑体" w:cs="黑体"/>
          <w:bCs/>
          <w:color w:val="000000"/>
          <w:sz w:val="32"/>
          <w:szCs w:val="32"/>
        </w:rPr>
        <w:t>附件：名词解释</w:t>
      </w:r>
      <w:bookmarkEnd w:id="42"/>
      <w:bookmarkEnd w:id="43"/>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1.“两山”理念：</w:t>
      </w:r>
      <w:r>
        <w:rPr>
          <w:rFonts w:hint="eastAsia" w:ascii="仿宋_GB2312" w:hAnsi="仿宋_GB2312" w:eastAsia="仿宋_GB2312" w:cs="仿宋_GB2312"/>
          <w:bCs/>
          <w:color w:val="000000"/>
          <w:sz w:val="32"/>
          <w:szCs w:val="32"/>
        </w:rPr>
        <w:t>2005年8月15日，时任浙江省委书记习近平在浙江湖州市安吉县余村考察时，首次提出“绿水青山就是金山银山”的重要论断。</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2.争当“三好生”：</w:t>
      </w:r>
      <w:r>
        <w:rPr>
          <w:rFonts w:hint="eastAsia" w:ascii="仿宋_GB2312" w:hAnsi="仿宋_GB2312" w:eastAsia="仿宋_GB2312" w:cs="仿宋_GB2312"/>
          <w:bCs/>
          <w:color w:val="000000"/>
          <w:sz w:val="32"/>
          <w:szCs w:val="32"/>
        </w:rPr>
        <w:t>争当守好密云水库、打好生态牌、走好高质量发展之路的“三好生”。</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3.京津冀“六链五群”：</w:t>
      </w:r>
      <w:r>
        <w:rPr>
          <w:rFonts w:hint="eastAsia" w:ascii="仿宋_GB2312" w:hAnsi="仿宋_GB2312" w:eastAsia="仿宋_GB2312" w:cs="仿宋_GB2312"/>
          <w:bCs/>
          <w:color w:val="000000"/>
          <w:sz w:val="32"/>
          <w:szCs w:val="32"/>
        </w:rPr>
        <w:t>是指京津冀聚焦6条重点产业链、5个具有竞争力的先进制造业集群确定的产业协同工作重点。6条重点产业链分别是机器人、新能源和智能网联汽车、氢能、生物医药、网络安全和工业互联网、高端仪器设备和工业母机，5个先进制造业集群分别为安全应急装备、电力及新能源高端装备、生命健康、集成电路、新一代信息技术应用创新（网络安全）。</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4.密云区“三区”功能定位：</w:t>
      </w:r>
      <w:r>
        <w:rPr>
          <w:rFonts w:hint="eastAsia" w:ascii="仿宋_GB2312" w:hAnsi="仿宋_GB2312" w:eastAsia="仿宋_GB2312" w:cs="仿宋_GB2312"/>
          <w:bCs/>
          <w:color w:val="000000"/>
          <w:sz w:val="32"/>
          <w:szCs w:val="32"/>
        </w:rPr>
        <w:t>是指首都最重要的水源保护地及区域生态治理协作区、国家生态文明先行示范区、特色文化旅游休闲及创新发展示范区。</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5.“1+5”科学设施：</w:t>
      </w:r>
      <w:r>
        <w:rPr>
          <w:rFonts w:hint="eastAsia" w:ascii="仿宋_GB2312" w:hAnsi="仿宋_GB2312" w:eastAsia="仿宋_GB2312" w:cs="仿宋_GB2312"/>
          <w:bCs/>
          <w:color w:val="000000"/>
          <w:sz w:val="32"/>
          <w:szCs w:val="32"/>
        </w:rPr>
        <w:t>是指怀柔科学城东区已投入使用的大科学装置，分别是地球系统数值模拟装置、京津冀大气环境与物理化学前沿交叉研究平台、环境污染物识别与控制协同创新平台、深部资源探测技术装备研发平台、泛第三极环境综合探测平台、空地一体化环境感知与智能响应研究平台。</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6.科学智能（AI4S）</w:t>
      </w:r>
      <w:r>
        <w:rPr>
          <w:rFonts w:hint="eastAsia" w:ascii="仿宋_GB2312" w:hAnsi="仿宋_GB2312" w:eastAsia="仿宋_GB2312" w:cs="仿宋_GB2312"/>
          <w:bCs/>
          <w:color w:val="000000"/>
          <w:sz w:val="32"/>
          <w:szCs w:val="32"/>
        </w:rPr>
        <w:t>：是指人工智能驱动的科学研究，是以人工智能（AI）手段辅助或独立完成科学研究任务的一种模式，代表着新的科研范式发展趋势。</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7.气象科技成果转化应用和区域性气象灾害防御示范区：</w:t>
      </w:r>
      <w:r>
        <w:rPr>
          <w:rFonts w:hint="eastAsia" w:ascii="仿宋_GB2312" w:hAnsi="仿宋_GB2312" w:eastAsia="仿宋_GB2312" w:cs="仿宋_GB2312"/>
          <w:color w:val="000000"/>
          <w:sz w:val="32"/>
          <w:szCs w:val="32"/>
        </w:rPr>
        <w:t>是指《密云区加快推进气象事业高质量发展实施方案》（密政发〔2023〕6号）提出的发展目标，密云区到2035年，建成气象科技成果转化应用和区域性气象灾害防御示范区，智慧气象服务能力、气象科技创新能力、城市安全气象保障能力达到先进水平。</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8.智改数转网联：</w:t>
      </w:r>
      <w:r>
        <w:rPr>
          <w:rFonts w:hint="eastAsia" w:ascii="仿宋_GB2312" w:hAnsi="仿宋_GB2312" w:eastAsia="仿宋_GB2312" w:cs="仿宋_GB2312"/>
          <w:bCs/>
          <w:color w:val="000000"/>
          <w:sz w:val="32"/>
          <w:szCs w:val="32"/>
        </w:rPr>
        <w:t>是指利用智能化改造、数字化转型技术，推动企业在网络化联接方面进行深度转型。其中，‌智能化改造‌是通过引入人工智能、机器学习等技术，提升生产设备的智能化水平，实现生产过程的自动化和优化。‌数字化转型‌是利用大数据、云计算等技术，对企业的生产、管理、销售等各个环节进行数字化改造，提高效率和精准度。‌网络化联接‌是通过互联网和物联网技术，实现设备、系统和用户之间的互联互通，促进信息的共享和协同工作。</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9.低效建设用地“腾笼换鸟”：</w:t>
      </w:r>
      <w:r>
        <w:rPr>
          <w:rFonts w:hint="eastAsia" w:ascii="仿宋_GB2312" w:hAnsi="仿宋_GB2312" w:eastAsia="仿宋_GB2312" w:cs="仿宋_GB2312"/>
          <w:bCs/>
          <w:color w:val="000000"/>
          <w:sz w:val="32"/>
          <w:szCs w:val="32"/>
        </w:rPr>
        <w:t>是指将低效土地和厂房通过更换经营主体的方式招引高产出项目和企业。</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10.企业“服务包”制度：</w:t>
      </w:r>
      <w:r>
        <w:rPr>
          <w:rFonts w:hint="eastAsia" w:ascii="仿宋_GB2312" w:hAnsi="仿宋_GB2312" w:eastAsia="仿宋_GB2312" w:cs="仿宋_GB2312"/>
          <w:bCs/>
          <w:color w:val="000000"/>
          <w:sz w:val="32"/>
          <w:szCs w:val="32"/>
        </w:rPr>
        <w:t>是指一项针对企业发展的服务制度，旨在为企业提供更加全面、便捷、高效的服务支持。</w:t>
      </w:r>
    </w:p>
    <w:p>
      <w:pPr>
        <w:spacing w:line="560" w:lineRule="exact"/>
        <w:ind w:firstLine="643" w:firstLineChars="200"/>
        <w:textAlignment w:val="center"/>
        <w:rPr>
          <w:rFonts w:hint="eastAsia"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11.生态服务港：</w:t>
      </w:r>
      <w:r>
        <w:rPr>
          <w:rFonts w:eastAsia="仿宋_GB2312"/>
          <w:color w:val="000000"/>
          <w:kern w:val="0"/>
          <w:sz w:val="32"/>
          <w:szCs w:val="32"/>
          <w:shd w:val="clear" w:color="auto" w:fill="FFFFFF"/>
        </w:rPr>
        <w:t>是</w:t>
      </w:r>
      <w:r>
        <w:rPr>
          <w:rFonts w:hint="eastAsia" w:eastAsia="仿宋_GB2312"/>
          <w:color w:val="000000"/>
          <w:kern w:val="0"/>
          <w:sz w:val="32"/>
          <w:szCs w:val="32"/>
          <w:shd w:val="clear" w:color="auto" w:fill="FFFFFF"/>
        </w:rPr>
        <w:t>指</w:t>
      </w:r>
      <w:r>
        <w:rPr>
          <w:rFonts w:eastAsia="仿宋_GB2312"/>
          <w:color w:val="000000"/>
          <w:kern w:val="0"/>
          <w:sz w:val="32"/>
          <w:szCs w:val="32"/>
          <w:shd w:val="clear" w:color="auto" w:fill="FFFFFF"/>
        </w:rPr>
        <w:t>设于特色产业园的集成式生态服务枢纽</w:t>
      </w:r>
      <w:r>
        <w:rPr>
          <w:rFonts w:hint="eastAsia" w:eastAsia="仿宋_GB2312"/>
          <w:color w:val="000000"/>
          <w:kern w:val="0"/>
          <w:sz w:val="32"/>
          <w:szCs w:val="32"/>
          <w:shd w:val="clear" w:color="auto" w:fill="FFFFFF"/>
        </w:rPr>
        <w:t>，</w:t>
      </w:r>
      <w:r>
        <w:rPr>
          <w:rFonts w:eastAsia="仿宋_GB2312"/>
          <w:color w:val="000000"/>
          <w:kern w:val="0"/>
          <w:sz w:val="32"/>
          <w:szCs w:val="32"/>
          <w:shd w:val="clear" w:color="auto" w:fill="FFFFFF"/>
        </w:rPr>
        <w:t>以</w:t>
      </w:r>
      <w:r>
        <w:rPr>
          <w:rFonts w:hint="eastAsia" w:eastAsia="仿宋_GB2312"/>
          <w:color w:val="000000"/>
          <w:kern w:val="0"/>
          <w:sz w:val="32"/>
          <w:szCs w:val="32"/>
          <w:shd w:val="clear" w:color="auto" w:fill="FFFFFF"/>
        </w:rPr>
        <w:t>“</w:t>
      </w:r>
      <w:r>
        <w:rPr>
          <w:rFonts w:eastAsia="仿宋_GB2312"/>
          <w:color w:val="000000"/>
          <w:kern w:val="0"/>
          <w:sz w:val="32"/>
          <w:szCs w:val="32"/>
          <w:shd w:val="clear" w:color="auto" w:fill="FFFFFF"/>
        </w:rPr>
        <w:t>实体空间+</w:t>
      </w:r>
      <w:r>
        <w:rPr>
          <w:rFonts w:hint="eastAsia" w:eastAsia="仿宋_GB2312"/>
          <w:color w:val="000000"/>
          <w:kern w:val="0"/>
          <w:sz w:val="32"/>
          <w:szCs w:val="32"/>
          <w:shd w:val="clear" w:color="auto" w:fill="FFFFFF"/>
        </w:rPr>
        <w:t>集成</w:t>
      </w:r>
      <w:r>
        <w:rPr>
          <w:rFonts w:eastAsia="仿宋_GB2312"/>
          <w:color w:val="000000"/>
          <w:kern w:val="0"/>
          <w:sz w:val="32"/>
          <w:szCs w:val="32"/>
          <w:shd w:val="clear" w:color="auto" w:fill="FFFFFF"/>
        </w:rPr>
        <w:t>服务</w:t>
      </w:r>
      <w:r>
        <w:rPr>
          <w:rFonts w:hint="eastAsia" w:eastAsia="仿宋_GB2312"/>
          <w:color w:val="000000"/>
          <w:kern w:val="0"/>
          <w:sz w:val="32"/>
          <w:szCs w:val="32"/>
          <w:shd w:val="clear" w:color="auto" w:fill="FFFFFF"/>
        </w:rPr>
        <w:t>”</w:t>
      </w:r>
      <w:r>
        <w:rPr>
          <w:rFonts w:eastAsia="仿宋_GB2312"/>
          <w:color w:val="000000"/>
          <w:kern w:val="0"/>
          <w:sz w:val="32"/>
          <w:szCs w:val="32"/>
          <w:shd w:val="clear" w:color="auto" w:fill="FFFFFF"/>
        </w:rPr>
        <w:t>为核心，打造集资源对接、专业服务、交流碰撞等于一体的“微生态样板”</w:t>
      </w:r>
      <w:r>
        <w:rPr>
          <w:rFonts w:hint="eastAsia" w:eastAsia="仿宋_GB2312"/>
          <w:color w:val="000000"/>
          <w:kern w:val="0"/>
          <w:sz w:val="32"/>
          <w:szCs w:val="32"/>
          <w:shd w:val="clear" w:color="auto" w:fill="FFFFFF"/>
        </w:rPr>
        <w:t>，重点构建政策服务、金融服务、人才服务等服务体系。</w:t>
      </w:r>
    </w:p>
    <w:sectPr>
      <w:headerReference r:id="rId10" w:type="default"/>
      <w:footerReference r:id="rId11"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3810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rect id="文本框 2" o:spid="_x0000_s1026" o:spt="1" style="position:absolute;left:0pt;margin-top:0.3pt;height:144pt;width:144pt;mso-position-horizontal:center;mso-position-horizontal-relative:margin;mso-wrap-style:none;z-index:251659264;mso-width-relative:page;mso-height-relative:page;" filled="f" stroked="f" coordsize="21600,21600" o:gfxdata="UEsDBAoAAAAAAIdO4kAAAAAAAAAAAAAAAAAEAAAAZHJzL1BLAwQUAAAACACHTuJAagCne9EAAAAF&#10;AQAADwAAAGRycy9kb3ducmV2LnhtbE2PzU7DMBCE70i8g7VI3KjdHKIojdMDUiVAXJryAG68+RH2&#10;OrLdprw9Cxe4zWhWM982+5t34ooxzYE0bDcKBFIf7Eyjho/T4akCkbIha1wg1PCFCfbt/V1jahtW&#10;OuK1y6PgEkq10TDlvNRSpn5Cb9ImLEicDSF6k9nGUdpoVi73ThZKldKbmXhhMgs+T9h/dhevQZ66&#10;w1p1LqrwVgzv7vXlOGDQ+vFhq3YgMt7y3zH84DM6tMx0DheySTgN/EjWUILgrKgqtudfUYJsG/mf&#10;vv0GUEsDBBQAAAAIAIdO4kA2BHy1qAEAAEEDAAAOAAAAZHJzL2Uyb0RvYy54bWytUktu2zAQ3RfI&#10;HQjuY8paBIZgOQgQJChQpAHSHoCmSIsAfxjSlnyB9gZdddN9z+VzdEhLTtPuim6omeHozXuPs74d&#10;rSEHCVF719LloqJEOuE77XYt/fzp4XpFSUzcddx4J1t6lJHebq7erYfQyNr33nQSCIK42AyhpX1K&#10;oWEsil5aHhc+SIeXyoPlCVPYsQ74gOjWsLqqbtjgoQvghYwRq/fnS7op+EpJkT4qFWUipqXILZUT&#10;yrnNJ9usebMDHnotJhr8H1hYrh0OvUDd88TJHvRfUFYL8NGrtBDeMq+UFrJoQDXL6g81Lz0PsmhB&#10;c2K42BT/H6x4OjwD0V1La0oct/hEp29fT99/nn58IXW2Zwixwa6X8AxTFjHMWkcFNn9RBRmLpceL&#10;pXJMRGBxuapXqwqdF3g3J4jDXn8PENOj9JbkoKWAb1as5IcPMZ1b55Y8zfkHbQzWeWPcmwJi5grL&#10;jM8cc5TG7TgR3/ruiGoHfO6WOtxHSsx7h27mzZgDmIPtHOwD6F1fVifPi+Fun5BE4ZYnnGGnwfhO&#10;Rd20U3kRfs9L1+vmb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gCne9EAAAAFAQAADwAAAAAA&#10;AAABACAAAAAiAAAAZHJzL2Rvd25yZXYueG1sUEsBAhQAFAAAAAgAh07iQDYEfLWoAQAAQQMAAA4A&#10;AAAAAAAAAQAgAAAAIAEAAGRycy9lMm9Eb2MueG1sUEsFBgAAAAAGAAYAWQEAADo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18</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3810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rect id="文本框 3" o:spid="_x0000_s1026" o:spt="1" style="position:absolute;left:0pt;margin-top:0.3pt;height:144pt;width:144pt;mso-position-horizontal:center;mso-position-horizontal-relative:margin;mso-wrap-style:none;z-index:251661312;mso-width-relative:page;mso-height-relative:page;" filled="f" stroked="f" coordsize="21600,21600" o:gfxdata="UEsDBAoAAAAAAIdO4kAAAAAAAAAAAAAAAAAEAAAAZHJzL1BLAwQUAAAACACHTuJAagCne9EAAAAF&#10;AQAADwAAAGRycy9kb3ducmV2LnhtbE2PzU7DMBCE70i8g7VI3KjdHKIojdMDUiVAXJryAG68+RH2&#10;OrLdprw9Cxe4zWhWM982+5t34ooxzYE0bDcKBFIf7Eyjho/T4akCkbIha1wg1PCFCfbt/V1jahtW&#10;OuK1y6PgEkq10TDlvNRSpn5Cb9ImLEicDSF6k9nGUdpoVi73ThZKldKbmXhhMgs+T9h/dhevQZ66&#10;w1p1LqrwVgzv7vXlOGDQ+vFhq3YgMt7y3zH84DM6tMx0DheySTgN/EjWUILgrKgqtudfUYJsG/mf&#10;vv0GUEsDBBQAAAAIAIdO4kCvry/gqQEAAEEDAAAOAAAAZHJzL2Uyb0RvYy54bWytUktu2zAQ3Rfo&#10;HQjua8puEBiC5aBAkKJAkQRIewCaIi0C/GFIW/IFkhtklU33PZfP0SEtOWm7K7qhZoajN+89zupq&#10;sIbsJUTtXUPns4oS6YRvtds29Pu3mw9LSmLiruXGO9nQg4z0av3+3aoPtVz4zptWAkEQF+s+NLRL&#10;KdSMRdFJy+PMB+nwUnmwPGEKW9YC7xHdGraoqkvWe2gDeCFjxOr16ZKuC75SUqQ7paJMxDQUuaVy&#10;Qjk3+WTrFa+3wEOnxUiD/wMLy7XDoWeoa5442YH+C8pqAT56lWbCW+aV0kIWDahmXv2h5qHjQRYt&#10;aE4MZ5vi/4MVt/t7ILpt6AUljlt8ouPz0/Hl5/HHI/mY7elDrLHrIdzDmEUMs9ZBgc1fVEGGYunh&#10;bKkcEhFYnC8Xy2WFzgu8mxLEYa+/B4jps/SW5KChgG9WrOT7rzGdWqeWPM35G20M1nlt3G8FxMwV&#10;lhmfOOYoDZthJL7x7QHV9vjcDXW4j5SYLw7dzJsxBTAFmynYBdDbrqxOnhfDp11CEoVbnnCCHQfj&#10;OxV1407lRXibl67Xz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oAp3vRAAAABQEAAA8AAAAA&#10;AAAAAQAgAAAAIgAAAGRycy9kb3ducmV2LnhtbFBLAQIUABQAAAAIAIdO4kCvry/gqQEAAEEDAAAO&#10;AAAAAAAAAAEAIAAAACABAABkcnMvZTJvRG9jLnhtbFBLBQYAAAAABgAGAFkBAAA7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I</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ascii="Times New Roman" w:hAnsi="Times New Roman"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3810</wp:posOffset>
              </wp:positionV>
              <wp:extent cx="171450" cy="1828800"/>
              <wp:effectExtent l="0" t="0" r="0" b="0"/>
              <wp:wrapNone/>
              <wp:docPr id="3" name="文本框 5"/>
              <wp:cNvGraphicFramePr/>
              <a:graphic xmlns:a="http://schemas.openxmlformats.org/drawingml/2006/main">
                <a:graphicData uri="http://schemas.microsoft.com/office/word/2010/wordprocessingShape">
                  <wps:wsp>
                    <wps:cNvSpPr/>
                    <wps:spPr>
                      <a:xfrm>
                        <a:off x="0" y="0"/>
                        <a:ext cx="171450" cy="1828800"/>
                      </a:xfrm>
                      <a:prstGeom prst="rect">
                        <a:avLst/>
                      </a:prstGeom>
                      <a:noFill/>
                      <a:ln>
                        <a:noFill/>
                      </a:ln>
                    </wps:spPr>
                    <wps:txbx>
                      <w:txbxContent>
                        <w:p>
                          <w:pPr>
                            <w:pStyle w:val="15"/>
                            <w:jc w:val="center"/>
                          </w:pPr>
                          <w:r>
                            <w:fldChar w:fldCharType="begin"/>
                          </w:r>
                          <w:r>
                            <w:instrText xml:space="preserve"> PAGE  \* MERGEFORMAT </w:instrText>
                          </w:r>
                          <w:r>
                            <w:fldChar w:fldCharType="separate"/>
                          </w:r>
                          <w:r>
                            <w:t>44</w:t>
                          </w:r>
                          <w:r>
                            <w:fldChar w:fldCharType="end"/>
                          </w:r>
                        </w:p>
                      </w:txbxContent>
                    </wps:txbx>
                    <wps:bodyPr lIns="0" tIns="0" rIns="0" bIns="0" upright="0">
                      <a:spAutoFit/>
                    </wps:bodyPr>
                  </wps:wsp>
                </a:graphicData>
              </a:graphic>
            </wp:anchor>
          </w:drawing>
        </mc:Choice>
        <mc:Fallback>
          <w:pict>
            <v:rect id="文本框 5" o:spid="_x0000_s1026" o:spt="1" style="position:absolute;left:0pt;margin-top:0.3pt;height:144pt;width:13.5pt;mso-position-horizontal:center;mso-position-horizontal-relative:margin;z-index:251660288;mso-width-relative:page;mso-height-relative:page;" filled="f" stroked="f" coordsize="21600,21600" o:gfxdata="UEsDBAoAAAAAAIdO4kAAAAAAAAAAAAAAAAAEAAAAZHJzL1BLAwQUAAAACACHTuJAVrngrNMAAAAE&#10;AQAADwAAAGRycy9kb3ducmV2LnhtbE2PMU/DMBCFdyT+g3VILIg6zRBCiNMBqRsSamAo2zU+4kB8&#10;jmK3Kfx6jgmmp6d3eu+7enP2ozrRHIfABtarDBRxF+zAvYHXl+1tCSomZItjYDLwRRE2zeVFjZUN&#10;C+/o1KZeSQnHCg24lKZK69g58hhXYSKW7D3MHpPYudd2xkXK/ajzLCu0x4FlweFEj466z/boDWyf&#10;9wPxt97d3JdL+Ojyt9Y9TcZcX62zB1CJzunvGH7xBR0aYTqEI9uoRgPySDJQgJIsvxN3EC3LAnRT&#10;6//wzQ9QSwMEFAAAAAgAh07iQOT+DVWlAQAANAMAAA4AAABkcnMvZTJvRG9jLnhtbK1SS27bMBDd&#10;F8gdCO5rSm7TGoLlIECQoEDRBkh7AJoiLQL8YUhb8gXaG3TVTfc9l8/RIS07bbMLsqGGw9Gb997M&#10;8mq0huwkRO1dS+tZRYl0wnfabVr69cvt6wUlMXHXceOdbOleRnq1uni1HEIj5773ppNAEMTFZggt&#10;7VMKDWNR9NLyOPNBOnxUHixPeIUN64APiG4Nm1fVOzZ46AJ4IWPE7M3xka4KvlJSpM9KRZmIaSly&#10;S+WEcq7zyVZL3myAh16LiQZ/BgvLtcOmZ6gbnjjZgn4CZbUAH71KM+Et80ppIYsGVFNX/6l56HmQ&#10;RQuaE8PZpvhysOLT7h6I7lr6hhLHLY7o8OP74efvw69v5DLbM4TYYNVDuIfpFjHMWkcFNn9RBRmL&#10;pfuzpXJMRGCyfl+/vUTjBT7Vi/liURXP2ePfAWK6k96SHLQUcGTFSb77GBN2xNJTSW7m/K02pozN&#10;uH8SWJgzLBM+UsxRGtfjxHvtuz2KNR8cGpiX4RTAKVifgm0AvenLtuQeMVxvEzYufDLqEWpqhqMp&#10;NKc1yrP/+16qHpd9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WueCs0wAAAAQBAAAPAAAAAAAA&#10;AAEAIAAAACIAAABkcnMvZG93bnJldi54bWxQSwECFAAUAAAACACHTuJA5P4NVaUBAAA0AwAADgAA&#10;AAAAAAABACAAAAAiAQAAZHJzL2Uyb0RvYy54bWxQSwUGAAAAAAYABgBZAQAAOQUAAAAA&#10;">
              <v:fill on="f" focussize="0,0"/>
              <v:stroke on="f"/>
              <v:imagedata o:title=""/>
              <o:lock v:ext="edit" aspectratio="f"/>
              <v:textbox inset="0mm,0mm,0mm,0mm" style="mso-fit-shape-to-text:t;">
                <w:txbxContent>
                  <w:p>
                    <w:pPr>
                      <w:pStyle w:val="15"/>
                      <w:jc w:val="center"/>
                    </w:pPr>
                    <w:r>
                      <w:fldChar w:fldCharType="begin"/>
                    </w:r>
                    <w:r>
                      <w:instrText xml:space="preserve"> PAGE  \* MERGEFORMAT </w:instrText>
                    </w:r>
                    <w:r>
                      <w:fldChar w:fldCharType="separate"/>
                    </w:r>
                    <w:r>
                      <w:t>44</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9"/>
      </w:pPr>
      <w:r>
        <w:rPr>
          <w:rStyle w:val="32"/>
        </w:rPr>
        <w:footnoteRef/>
      </w:r>
      <w:r>
        <w:t xml:space="preserve"> </w:t>
      </w:r>
      <w:r>
        <w:rPr>
          <w:rFonts w:hint="eastAsia"/>
        </w:rPr>
        <w:t>本段2024年数据在规划对外发布前均需更新为2025年数据。</w:t>
      </w:r>
    </w:p>
  </w:footnote>
  <w:footnote w:id="1">
    <w:p>
      <w:pPr>
        <w:pStyle w:val="19"/>
      </w:pPr>
      <w:r>
        <w:rPr>
          <w:rStyle w:val="32"/>
        </w:rPr>
        <w:footnoteRef/>
      </w:r>
      <w:r>
        <w:t xml:space="preserve"> </w:t>
      </w:r>
      <w:r>
        <w:rPr>
          <w:rFonts w:hint="eastAsia"/>
        </w:rPr>
        <w:t>后续需更新数据。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327616"/>
    <w:rsid w:val="000001CA"/>
    <w:rsid w:val="00000228"/>
    <w:rsid w:val="00000CC3"/>
    <w:rsid w:val="00001DBA"/>
    <w:rsid w:val="00001FE2"/>
    <w:rsid w:val="00002078"/>
    <w:rsid w:val="000022F0"/>
    <w:rsid w:val="000047C6"/>
    <w:rsid w:val="00004A2F"/>
    <w:rsid w:val="000051CE"/>
    <w:rsid w:val="000057D4"/>
    <w:rsid w:val="00005B51"/>
    <w:rsid w:val="00005D8D"/>
    <w:rsid w:val="00006A8B"/>
    <w:rsid w:val="000072CF"/>
    <w:rsid w:val="00012294"/>
    <w:rsid w:val="00012417"/>
    <w:rsid w:val="0001279C"/>
    <w:rsid w:val="00013271"/>
    <w:rsid w:val="0001385C"/>
    <w:rsid w:val="000139CC"/>
    <w:rsid w:val="00015D4E"/>
    <w:rsid w:val="00015F40"/>
    <w:rsid w:val="00017086"/>
    <w:rsid w:val="00017859"/>
    <w:rsid w:val="000203F4"/>
    <w:rsid w:val="000209F6"/>
    <w:rsid w:val="000217B1"/>
    <w:rsid w:val="0002255F"/>
    <w:rsid w:val="000228C8"/>
    <w:rsid w:val="0002449E"/>
    <w:rsid w:val="00025174"/>
    <w:rsid w:val="000254D0"/>
    <w:rsid w:val="00025976"/>
    <w:rsid w:val="000260BA"/>
    <w:rsid w:val="00026B42"/>
    <w:rsid w:val="00026C38"/>
    <w:rsid w:val="00026EE1"/>
    <w:rsid w:val="00027984"/>
    <w:rsid w:val="00027AE3"/>
    <w:rsid w:val="0003109D"/>
    <w:rsid w:val="00034EED"/>
    <w:rsid w:val="0003525F"/>
    <w:rsid w:val="0003663C"/>
    <w:rsid w:val="00037BA2"/>
    <w:rsid w:val="000401E2"/>
    <w:rsid w:val="00040252"/>
    <w:rsid w:val="000412BF"/>
    <w:rsid w:val="000429D2"/>
    <w:rsid w:val="00042CCB"/>
    <w:rsid w:val="00047922"/>
    <w:rsid w:val="000502AC"/>
    <w:rsid w:val="00050767"/>
    <w:rsid w:val="00051376"/>
    <w:rsid w:val="00051AD5"/>
    <w:rsid w:val="00054139"/>
    <w:rsid w:val="000545C0"/>
    <w:rsid w:val="00054DEB"/>
    <w:rsid w:val="000550DD"/>
    <w:rsid w:val="0005572C"/>
    <w:rsid w:val="000558B6"/>
    <w:rsid w:val="00056CCE"/>
    <w:rsid w:val="00056FF8"/>
    <w:rsid w:val="00057849"/>
    <w:rsid w:val="00057E57"/>
    <w:rsid w:val="000606F4"/>
    <w:rsid w:val="0006107C"/>
    <w:rsid w:val="00061BD1"/>
    <w:rsid w:val="00062EDE"/>
    <w:rsid w:val="0006322F"/>
    <w:rsid w:val="00063369"/>
    <w:rsid w:val="00063E16"/>
    <w:rsid w:val="000642BD"/>
    <w:rsid w:val="00064372"/>
    <w:rsid w:val="000645B0"/>
    <w:rsid w:val="00065250"/>
    <w:rsid w:val="000655B7"/>
    <w:rsid w:val="00066534"/>
    <w:rsid w:val="00070D94"/>
    <w:rsid w:val="00070EB7"/>
    <w:rsid w:val="000718E2"/>
    <w:rsid w:val="00072A8F"/>
    <w:rsid w:val="00072E01"/>
    <w:rsid w:val="00073B48"/>
    <w:rsid w:val="0007530B"/>
    <w:rsid w:val="000754C1"/>
    <w:rsid w:val="000762E9"/>
    <w:rsid w:val="00076652"/>
    <w:rsid w:val="00076C83"/>
    <w:rsid w:val="00076F77"/>
    <w:rsid w:val="0008215B"/>
    <w:rsid w:val="00084007"/>
    <w:rsid w:val="00085BA3"/>
    <w:rsid w:val="000862C4"/>
    <w:rsid w:val="0008747A"/>
    <w:rsid w:val="000877CA"/>
    <w:rsid w:val="00090342"/>
    <w:rsid w:val="000908AB"/>
    <w:rsid w:val="00090ABD"/>
    <w:rsid w:val="00090C7A"/>
    <w:rsid w:val="00090EA8"/>
    <w:rsid w:val="000928C4"/>
    <w:rsid w:val="000966B7"/>
    <w:rsid w:val="0009691E"/>
    <w:rsid w:val="00096A16"/>
    <w:rsid w:val="00096F77"/>
    <w:rsid w:val="00097416"/>
    <w:rsid w:val="00097476"/>
    <w:rsid w:val="000A0F4D"/>
    <w:rsid w:val="000A17D8"/>
    <w:rsid w:val="000A2ABA"/>
    <w:rsid w:val="000A2C13"/>
    <w:rsid w:val="000A3AF4"/>
    <w:rsid w:val="000A3B1E"/>
    <w:rsid w:val="000A4325"/>
    <w:rsid w:val="000A585E"/>
    <w:rsid w:val="000A594D"/>
    <w:rsid w:val="000B0411"/>
    <w:rsid w:val="000B0944"/>
    <w:rsid w:val="000B0A6A"/>
    <w:rsid w:val="000B15AB"/>
    <w:rsid w:val="000B1776"/>
    <w:rsid w:val="000B2921"/>
    <w:rsid w:val="000B5A2F"/>
    <w:rsid w:val="000B62F9"/>
    <w:rsid w:val="000B6AD1"/>
    <w:rsid w:val="000B70C3"/>
    <w:rsid w:val="000C1949"/>
    <w:rsid w:val="000C2180"/>
    <w:rsid w:val="000C2DF4"/>
    <w:rsid w:val="000C3188"/>
    <w:rsid w:val="000C6133"/>
    <w:rsid w:val="000C7760"/>
    <w:rsid w:val="000C79C5"/>
    <w:rsid w:val="000C7D97"/>
    <w:rsid w:val="000D020D"/>
    <w:rsid w:val="000D0A15"/>
    <w:rsid w:val="000D0C65"/>
    <w:rsid w:val="000D34E2"/>
    <w:rsid w:val="000D4C5E"/>
    <w:rsid w:val="000D5C91"/>
    <w:rsid w:val="000D68AD"/>
    <w:rsid w:val="000D6A4D"/>
    <w:rsid w:val="000E06B1"/>
    <w:rsid w:val="000E087F"/>
    <w:rsid w:val="000E0AD4"/>
    <w:rsid w:val="000E1061"/>
    <w:rsid w:val="000E1B03"/>
    <w:rsid w:val="000E23A2"/>
    <w:rsid w:val="000E2A75"/>
    <w:rsid w:val="000E2C7E"/>
    <w:rsid w:val="000E37E2"/>
    <w:rsid w:val="000E3F9F"/>
    <w:rsid w:val="000E4C5B"/>
    <w:rsid w:val="000E6604"/>
    <w:rsid w:val="000E68DD"/>
    <w:rsid w:val="000E7B2C"/>
    <w:rsid w:val="000E7B3D"/>
    <w:rsid w:val="000F0293"/>
    <w:rsid w:val="000F15DC"/>
    <w:rsid w:val="000F1EEE"/>
    <w:rsid w:val="000F2BE5"/>
    <w:rsid w:val="000F30C0"/>
    <w:rsid w:val="000F5DBB"/>
    <w:rsid w:val="000F6C56"/>
    <w:rsid w:val="000F6E3C"/>
    <w:rsid w:val="000F710E"/>
    <w:rsid w:val="000F7C11"/>
    <w:rsid w:val="00100F78"/>
    <w:rsid w:val="00101396"/>
    <w:rsid w:val="00101516"/>
    <w:rsid w:val="00102866"/>
    <w:rsid w:val="0010368A"/>
    <w:rsid w:val="00103804"/>
    <w:rsid w:val="00103848"/>
    <w:rsid w:val="001040F8"/>
    <w:rsid w:val="00104FC6"/>
    <w:rsid w:val="00105AA6"/>
    <w:rsid w:val="00105B22"/>
    <w:rsid w:val="00106A29"/>
    <w:rsid w:val="00107C4A"/>
    <w:rsid w:val="00107F30"/>
    <w:rsid w:val="0011035C"/>
    <w:rsid w:val="00110643"/>
    <w:rsid w:val="00110A9E"/>
    <w:rsid w:val="00110B51"/>
    <w:rsid w:val="00111211"/>
    <w:rsid w:val="00111C9A"/>
    <w:rsid w:val="00112246"/>
    <w:rsid w:val="00114F6D"/>
    <w:rsid w:val="00115897"/>
    <w:rsid w:val="00116903"/>
    <w:rsid w:val="00120146"/>
    <w:rsid w:val="001210D9"/>
    <w:rsid w:val="00121EBE"/>
    <w:rsid w:val="00121FE5"/>
    <w:rsid w:val="00122C42"/>
    <w:rsid w:val="001241FE"/>
    <w:rsid w:val="00125880"/>
    <w:rsid w:val="00125DA5"/>
    <w:rsid w:val="0012626A"/>
    <w:rsid w:val="00127B52"/>
    <w:rsid w:val="00127C8E"/>
    <w:rsid w:val="00130313"/>
    <w:rsid w:val="00130356"/>
    <w:rsid w:val="0013041D"/>
    <w:rsid w:val="00133683"/>
    <w:rsid w:val="001346F1"/>
    <w:rsid w:val="00134979"/>
    <w:rsid w:val="00134CCA"/>
    <w:rsid w:val="001350DE"/>
    <w:rsid w:val="00135CA7"/>
    <w:rsid w:val="00136321"/>
    <w:rsid w:val="001376F2"/>
    <w:rsid w:val="001406DC"/>
    <w:rsid w:val="00140F9F"/>
    <w:rsid w:val="00141DC7"/>
    <w:rsid w:val="00143039"/>
    <w:rsid w:val="00143E54"/>
    <w:rsid w:val="00144E0B"/>
    <w:rsid w:val="00145BEF"/>
    <w:rsid w:val="00145D7F"/>
    <w:rsid w:val="001467A5"/>
    <w:rsid w:val="0014778E"/>
    <w:rsid w:val="00150160"/>
    <w:rsid w:val="0015269E"/>
    <w:rsid w:val="001527E2"/>
    <w:rsid w:val="00154243"/>
    <w:rsid w:val="00154282"/>
    <w:rsid w:val="00154869"/>
    <w:rsid w:val="00155227"/>
    <w:rsid w:val="00155554"/>
    <w:rsid w:val="00155C96"/>
    <w:rsid w:val="0015676A"/>
    <w:rsid w:val="00156BFC"/>
    <w:rsid w:val="0015752A"/>
    <w:rsid w:val="00157789"/>
    <w:rsid w:val="001601B6"/>
    <w:rsid w:val="00160A8C"/>
    <w:rsid w:val="001618EA"/>
    <w:rsid w:val="00162786"/>
    <w:rsid w:val="00163536"/>
    <w:rsid w:val="00164680"/>
    <w:rsid w:val="00164774"/>
    <w:rsid w:val="00166D99"/>
    <w:rsid w:val="00167F0E"/>
    <w:rsid w:val="00173C63"/>
    <w:rsid w:val="001807AF"/>
    <w:rsid w:val="00181351"/>
    <w:rsid w:val="0018148D"/>
    <w:rsid w:val="00181B98"/>
    <w:rsid w:val="00182613"/>
    <w:rsid w:val="001837FB"/>
    <w:rsid w:val="001846E1"/>
    <w:rsid w:val="00184998"/>
    <w:rsid w:val="001859AE"/>
    <w:rsid w:val="001909EC"/>
    <w:rsid w:val="00190DD2"/>
    <w:rsid w:val="00191841"/>
    <w:rsid w:val="001922EC"/>
    <w:rsid w:val="0019330A"/>
    <w:rsid w:val="0019462F"/>
    <w:rsid w:val="00196150"/>
    <w:rsid w:val="001A102E"/>
    <w:rsid w:val="001A128E"/>
    <w:rsid w:val="001A139F"/>
    <w:rsid w:val="001A1732"/>
    <w:rsid w:val="001A28C6"/>
    <w:rsid w:val="001A2C22"/>
    <w:rsid w:val="001A40DF"/>
    <w:rsid w:val="001A4EB1"/>
    <w:rsid w:val="001A5394"/>
    <w:rsid w:val="001A63DF"/>
    <w:rsid w:val="001B147A"/>
    <w:rsid w:val="001B1844"/>
    <w:rsid w:val="001B1BB8"/>
    <w:rsid w:val="001B22E1"/>
    <w:rsid w:val="001B3FCD"/>
    <w:rsid w:val="001B7AB5"/>
    <w:rsid w:val="001C07B9"/>
    <w:rsid w:val="001C07E8"/>
    <w:rsid w:val="001C13AF"/>
    <w:rsid w:val="001C17D3"/>
    <w:rsid w:val="001C3AD8"/>
    <w:rsid w:val="001C460C"/>
    <w:rsid w:val="001C4867"/>
    <w:rsid w:val="001C4CD0"/>
    <w:rsid w:val="001C6009"/>
    <w:rsid w:val="001D1384"/>
    <w:rsid w:val="001D1A24"/>
    <w:rsid w:val="001D28EF"/>
    <w:rsid w:val="001D2C15"/>
    <w:rsid w:val="001D4CB0"/>
    <w:rsid w:val="001D52DB"/>
    <w:rsid w:val="001D5312"/>
    <w:rsid w:val="001D5976"/>
    <w:rsid w:val="001D5DAB"/>
    <w:rsid w:val="001D7891"/>
    <w:rsid w:val="001E1DDF"/>
    <w:rsid w:val="001E2CA6"/>
    <w:rsid w:val="001E40EC"/>
    <w:rsid w:val="001E42F4"/>
    <w:rsid w:val="001E623F"/>
    <w:rsid w:val="001E7A03"/>
    <w:rsid w:val="001F0354"/>
    <w:rsid w:val="001F1351"/>
    <w:rsid w:val="001F1DD4"/>
    <w:rsid w:val="001F1F4A"/>
    <w:rsid w:val="001F2063"/>
    <w:rsid w:val="001F28E1"/>
    <w:rsid w:val="001F3748"/>
    <w:rsid w:val="001F3C23"/>
    <w:rsid w:val="001F40DC"/>
    <w:rsid w:val="001F4578"/>
    <w:rsid w:val="001F47C5"/>
    <w:rsid w:val="001F621A"/>
    <w:rsid w:val="001F7BF9"/>
    <w:rsid w:val="00201375"/>
    <w:rsid w:val="0020271C"/>
    <w:rsid w:val="00202759"/>
    <w:rsid w:val="00203039"/>
    <w:rsid w:val="002043F8"/>
    <w:rsid w:val="002048C0"/>
    <w:rsid w:val="002056E7"/>
    <w:rsid w:val="00205772"/>
    <w:rsid w:val="00205777"/>
    <w:rsid w:val="00205B5E"/>
    <w:rsid w:val="002072DE"/>
    <w:rsid w:val="00207712"/>
    <w:rsid w:val="0021020A"/>
    <w:rsid w:val="00211B81"/>
    <w:rsid w:val="00213207"/>
    <w:rsid w:val="00213C0F"/>
    <w:rsid w:val="00213DE2"/>
    <w:rsid w:val="00213E29"/>
    <w:rsid w:val="0021445C"/>
    <w:rsid w:val="00214803"/>
    <w:rsid w:val="002149ED"/>
    <w:rsid w:val="002154ED"/>
    <w:rsid w:val="00216189"/>
    <w:rsid w:val="002169D2"/>
    <w:rsid w:val="00216CD8"/>
    <w:rsid w:val="00216EE9"/>
    <w:rsid w:val="00217953"/>
    <w:rsid w:val="00217F19"/>
    <w:rsid w:val="002209FB"/>
    <w:rsid w:val="00221A46"/>
    <w:rsid w:val="00221B6A"/>
    <w:rsid w:val="00222296"/>
    <w:rsid w:val="002247F7"/>
    <w:rsid w:val="00224FB5"/>
    <w:rsid w:val="00226303"/>
    <w:rsid w:val="00227ECE"/>
    <w:rsid w:val="0023063E"/>
    <w:rsid w:val="0023152A"/>
    <w:rsid w:val="00235129"/>
    <w:rsid w:val="00236CB7"/>
    <w:rsid w:val="002372B0"/>
    <w:rsid w:val="00237430"/>
    <w:rsid w:val="00237A44"/>
    <w:rsid w:val="00240D6C"/>
    <w:rsid w:val="00244E0B"/>
    <w:rsid w:val="00245165"/>
    <w:rsid w:val="0024533C"/>
    <w:rsid w:val="002459EF"/>
    <w:rsid w:val="002461B8"/>
    <w:rsid w:val="00246EF8"/>
    <w:rsid w:val="002471F3"/>
    <w:rsid w:val="002477AB"/>
    <w:rsid w:val="002504FB"/>
    <w:rsid w:val="0025167D"/>
    <w:rsid w:val="00251D48"/>
    <w:rsid w:val="002523A4"/>
    <w:rsid w:val="00253583"/>
    <w:rsid w:val="00253CF6"/>
    <w:rsid w:val="00254961"/>
    <w:rsid w:val="002556B3"/>
    <w:rsid w:val="00255BF9"/>
    <w:rsid w:val="00257AF0"/>
    <w:rsid w:val="002603DA"/>
    <w:rsid w:val="002608EA"/>
    <w:rsid w:val="00260DF0"/>
    <w:rsid w:val="0026117C"/>
    <w:rsid w:val="00261B94"/>
    <w:rsid w:val="002625B5"/>
    <w:rsid w:val="00263638"/>
    <w:rsid w:val="00264727"/>
    <w:rsid w:val="0026541F"/>
    <w:rsid w:val="00265B7D"/>
    <w:rsid w:val="00266998"/>
    <w:rsid w:val="00266E84"/>
    <w:rsid w:val="00267328"/>
    <w:rsid w:val="0026796E"/>
    <w:rsid w:val="002700B5"/>
    <w:rsid w:val="002723EE"/>
    <w:rsid w:val="00273843"/>
    <w:rsid w:val="002738A7"/>
    <w:rsid w:val="00273A65"/>
    <w:rsid w:val="00273B6A"/>
    <w:rsid w:val="00273EC6"/>
    <w:rsid w:val="00275B04"/>
    <w:rsid w:val="002801C7"/>
    <w:rsid w:val="00280CA4"/>
    <w:rsid w:val="0028195D"/>
    <w:rsid w:val="002826EB"/>
    <w:rsid w:val="0028271D"/>
    <w:rsid w:val="00282864"/>
    <w:rsid w:val="002904ED"/>
    <w:rsid w:val="002906DC"/>
    <w:rsid w:val="00290D8F"/>
    <w:rsid w:val="00290EDB"/>
    <w:rsid w:val="00291381"/>
    <w:rsid w:val="00291D43"/>
    <w:rsid w:val="00293D4E"/>
    <w:rsid w:val="00294596"/>
    <w:rsid w:val="00296DE0"/>
    <w:rsid w:val="002A03CC"/>
    <w:rsid w:val="002A11F9"/>
    <w:rsid w:val="002A1707"/>
    <w:rsid w:val="002A19E1"/>
    <w:rsid w:val="002A2319"/>
    <w:rsid w:val="002A26F9"/>
    <w:rsid w:val="002A2985"/>
    <w:rsid w:val="002A4DA0"/>
    <w:rsid w:val="002A52F1"/>
    <w:rsid w:val="002A58B3"/>
    <w:rsid w:val="002A74BA"/>
    <w:rsid w:val="002A7A78"/>
    <w:rsid w:val="002A7B06"/>
    <w:rsid w:val="002B16BF"/>
    <w:rsid w:val="002B2131"/>
    <w:rsid w:val="002B23FC"/>
    <w:rsid w:val="002B33D4"/>
    <w:rsid w:val="002B3943"/>
    <w:rsid w:val="002B4636"/>
    <w:rsid w:val="002B4E12"/>
    <w:rsid w:val="002B7427"/>
    <w:rsid w:val="002C0487"/>
    <w:rsid w:val="002C1510"/>
    <w:rsid w:val="002C323B"/>
    <w:rsid w:val="002C33BD"/>
    <w:rsid w:val="002C3E69"/>
    <w:rsid w:val="002C4B90"/>
    <w:rsid w:val="002C5987"/>
    <w:rsid w:val="002C73F8"/>
    <w:rsid w:val="002C7C8C"/>
    <w:rsid w:val="002D021A"/>
    <w:rsid w:val="002D1BCC"/>
    <w:rsid w:val="002D20EA"/>
    <w:rsid w:val="002D25FE"/>
    <w:rsid w:val="002D30A0"/>
    <w:rsid w:val="002D45C6"/>
    <w:rsid w:val="002D5023"/>
    <w:rsid w:val="002D72EE"/>
    <w:rsid w:val="002D7864"/>
    <w:rsid w:val="002D7CDB"/>
    <w:rsid w:val="002E0A51"/>
    <w:rsid w:val="002E0BD7"/>
    <w:rsid w:val="002E111C"/>
    <w:rsid w:val="002E12E4"/>
    <w:rsid w:val="002E3CD9"/>
    <w:rsid w:val="002E4360"/>
    <w:rsid w:val="002E4B7E"/>
    <w:rsid w:val="002E507F"/>
    <w:rsid w:val="002E593E"/>
    <w:rsid w:val="002E6120"/>
    <w:rsid w:val="002E7353"/>
    <w:rsid w:val="002E78D6"/>
    <w:rsid w:val="002F02AB"/>
    <w:rsid w:val="002F034B"/>
    <w:rsid w:val="002F046C"/>
    <w:rsid w:val="002F1053"/>
    <w:rsid w:val="002F167B"/>
    <w:rsid w:val="002F1F6C"/>
    <w:rsid w:val="002F3A6A"/>
    <w:rsid w:val="002F3B69"/>
    <w:rsid w:val="002F524C"/>
    <w:rsid w:val="002F5355"/>
    <w:rsid w:val="002F6AA1"/>
    <w:rsid w:val="002F6DBC"/>
    <w:rsid w:val="002F732E"/>
    <w:rsid w:val="002F767F"/>
    <w:rsid w:val="003029C5"/>
    <w:rsid w:val="003032C4"/>
    <w:rsid w:val="003037E5"/>
    <w:rsid w:val="0030764C"/>
    <w:rsid w:val="0031194E"/>
    <w:rsid w:val="00311B0B"/>
    <w:rsid w:val="00311CB6"/>
    <w:rsid w:val="00314405"/>
    <w:rsid w:val="003164EF"/>
    <w:rsid w:val="00316611"/>
    <w:rsid w:val="00316EF9"/>
    <w:rsid w:val="003206F3"/>
    <w:rsid w:val="00321E95"/>
    <w:rsid w:val="00323290"/>
    <w:rsid w:val="00323782"/>
    <w:rsid w:val="0032392E"/>
    <w:rsid w:val="00323BE8"/>
    <w:rsid w:val="00323CEA"/>
    <w:rsid w:val="00324588"/>
    <w:rsid w:val="0032496B"/>
    <w:rsid w:val="00326D30"/>
    <w:rsid w:val="003270E2"/>
    <w:rsid w:val="003275BC"/>
    <w:rsid w:val="00330E89"/>
    <w:rsid w:val="0033109B"/>
    <w:rsid w:val="00331723"/>
    <w:rsid w:val="0033174B"/>
    <w:rsid w:val="00331ADB"/>
    <w:rsid w:val="00331D7F"/>
    <w:rsid w:val="00331F9D"/>
    <w:rsid w:val="0033668E"/>
    <w:rsid w:val="003366AA"/>
    <w:rsid w:val="003373E4"/>
    <w:rsid w:val="003374E8"/>
    <w:rsid w:val="00340035"/>
    <w:rsid w:val="003407D0"/>
    <w:rsid w:val="003411FC"/>
    <w:rsid w:val="00343424"/>
    <w:rsid w:val="003442A8"/>
    <w:rsid w:val="00345ABA"/>
    <w:rsid w:val="003463FA"/>
    <w:rsid w:val="003507D9"/>
    <w:rsid w:val="0035086A"/>
    <w:rsid w:val="00350ED3"/>
    <w:rsid w:val="00352D3F"/>
    <w:rsid w:val="0035401D"/>
    <w:rsid w:val="00354637"/>
    <w:rsid w:val="00354ABD"/>
    <w:rsid w:val="00354F96"/>
    <w:rsid w:val="0036082E"/>
    <w:rsid w:val="00361DC0"/>
    <w:rsid w:val="0036280E"/>
    <w:rsid w:val="00364058"/>
    <w:rsid w:val="003648EA"/>
    <w:rsid w:val="00364B61"/>
    <w:rsid w:val="00365650"/>
    <w:rsid w:val="00366D2F"/>
    <w:rsid w:val="00367410"/>
    <w:rsid w:val="0037028E"/>
    <w:rsid w:val="00370554"/>
    <w:rsid w:val="00370559"/>
    <w:rsid w:val="00370C13"/>
    <w:rsid w:val="00371326"/>
    <w:rsid w:val="00371D0D"/>
    <w:rsid w:val="0037435A"/>
    <w:rsid w:val="00374991"/>
    <w:rsid w:val="00374EE2"/>
    <w:rsid w:val="003757DE"/>
    <w:rsid w:val="00375969"/>
    <w:rsid w:val="003769E7"/>
    <w:rsid w:val="0037786A"/>
    <w:rsid w:val="003800EE"/>
    <w:rsid w:val="00380241"/>
    <w:rsid w:val="003816BA"/>
    <w:rsid w:val="00382EBA"/>
    <w:rsid w:val="003832FE"/>
    <w:rsid w:val="003860FF"/>
    <w:rsid w:val="00386444"/>
    <w:rsid w:val="00386EED"/>
    <w:rsid w:val="003876C7"/>
    <w:rsid w:val="00387DF4"/>
    <w:rsid w:val="00387F78"/>
    <w:rsid w:val="00390D30"/>
    <w:rsid w:val="0039148A"/>
    <w:rsid w:val="0039255B"/>
    <w:rsid w:val="0039292C"/>
    <w:rsid w:val="003929BC"/>
    <w:rsid w:val="003929BD"/>
    <w:rsid w:val="0039367A"/>
    <w:rsid w:val="0039393D"/>
    <w:rsid w:val="00393CC7"/>
    <w:rsid w:val="003959C4"/>
    <w:rsid w:val="00397EBC"/>
    <w:rsid w:val="003A3E8A"/>
    <w:rsid w:val="003A451A"/>
    <w:rsid w:val="003A46B6"/>
    <w:rsid w:val="003A47EF"/>
    <w:rsid w:val="003A4FBD"/>
    <w:rsid w:val="003A5C55"/>
    <w:rsid w:val="003A699B"/>
    <w:rsid w:val="003A6F2E"/>
    <w:rsid w:val="003A73D4"/>
    <w:rsid w:val="003A7878"/>
    <w:rsid w:val="003B005B"/>
    <w:rsid w:val="003B025A"/>
    <w:rsid w:val="003B08AA"/>
    <w:rsid w:val="003B273E"/>
    <w:rsid w:val="003B3A33"/>
    <w:rsid w:val="003B4C21"/>
    <w:rsid w:val="003B5FD5"/>
    <w:rsid w:val="003B63B7"/>
    <w:rsid w:val="003B7CEF"/>
    <w:rsid w:val="003C023D"/>
    <w:rsid w:val="003C0354"/>
    <w:rsid w:val="003C1B93"/>
    <w:rsid w:val="003C1D23"/>
    <w:rsid w:val="003C1E04"/>
    <w:rsid w:val="003C1FFD"/>
    <w:rsid w:val="003C21F7"/>
    <w:rsid w:val="003C22C3"/>
    <w:rsid w:val="003C2B74"/>
    <w:rsid w:val="003C2D98"/>
    <w:rsid w:val="003C4815"/>
    <w:rsid w:val="003C486F"/>
    <w:rsid w:val="003C6619"/>
    <w:rsid w:val="003C72B7"/>
    <w:rsid w:val="003D3345"/>
    <w:rsid w:val="003D3A54"/>
    <w:rsid w:val="003D3ABD"/>
    <w:rsid w:val="003D43EF"/>
    <w:rsid w:val="003D44D3"/>
    <w:rsid w:val="003D4FFD"/>
    <w:rsid w:val="003D72B5"/>
    <w:rsid w:val="003D7D12"/>
    <w:rsid w:val="003E0E87"/>
    <w:rsid w:val="003E4145"/>
    <w:rsid w:val="003E4C14"/>
    <w:rsid w:val="003E5E76"/>
    <w:rsid w:val="003E5F19"/>
    <w:rsid w:val="003E60CE"/>
    <w:rsid w:val="003E68CF"/>
    <w:rsid w:val="003E6A9A"/>
    <w:rsid w:val="003E73FB"/>
    <w:rsid w:val="003E7595"/>
    <w:rsid w:val="003E78AF"/>
    <w:rsid w:val="003F21D8"/>
    <w:rsid w:val="003F22F6"/>
    <w:rsid w:val="003F278A"/>
    <w:rsid w:val="003F2BA4"/>
    <w:rsid w:val="003F417C"/>
    <w:rsid w:val="003F45F5"/>
    <w:rsid w:val="003F79C7"/>
    <w:rsid w:val="00400E2F"/>
    <w:rsid w:val="00400E4A"/>
    <w:rsid w:val="00401F9C"/>
    <w:rsid w:val="00403281"/>
    <w:rsid w:val="0040429F"/>
    <w:rsid w:val="004043D6"/>
    <w:rsid w:val="004050E8"/>
    <w:rsid w:val="00407447"/>
    <w:rsid w:val="00410556"/>
    <w:rsid w:val="004108B5"/>
    <w:rsid w:val="00410CD1"/>
    <w:rsid w:val="00410E90"/>
    <w:rsid w:val="004119CA"/>
    <w:rsid w:val="0041367A"/>
    <w:rsid w:val="00413BA2"/>
    <w:rsid w:val="00414C6D"/>
    <w:rsid w:val="00414EA0"/>
    <w:rsid w:val="0041563B"/>
    <w:rsid w:val="0041718A"/>
    <w:rsid w:val="00417B98"/>
    <w:rsid w:val="004211BF"/>
    <w:rsid w:val="00423DDA"/>
    <w:rsid w:val="00423E80"/>
    <w:rsid w:val="00423FF2"/>
    <w:rsid w:val="004248AB"/>
    <w:rsid w:val="00424C07"/>
    <w:rsid w:val="00424D2C"/>
    <w:rsid w:val="004276CD"/>
    <w:rsid w:val="00430FD5"/>
    <w:rsid w:val="00432F38"/>
    <w:rsid w:val="0043350A"/>
    <w:rsid w:val="00433768"/>
    <w:rsid w:val="00434009"/>
    <w:rsid w:val="004340EC"/>
    <w:rsid w:val="00434959"/>
    <w:rsid w:val="00435C68"/>
    <w:rsid w:val="00436A67"/>
    <w:rsid w:val="00437851"/>
    <w:rsid w:val="004408EB"/>
    <w:rsid w:val="00444547"/>
    <w:rsid w:val="0044485D"/>
    <w:rsid w:val="00445653"/>
    <w:rsid w:val="00450A90"/>
    <w:rsid w:val="00450D67"/>
    <w:rsid w:val="00450FC5"/>
    <w:rsid w:val="00453A6F"/>
    <w:rsid w:val="0045458E"/>
    <w:rsid w:val="00455E7A"/>
    <w:rsid w:val="004612E2"/>
    <w:rsid w:val="004618F1"/>
    <w:rsid w:val="004632E7"/>
    <w:rsid w:val="00463C06"/>
    <w:rsid w:val="0046526A"/>
    <w:rsid w:val="00465C89"/>
    <w:rsid w:val="004668EB"/>
    <w:rsid w:val="00467D43"/>
    <w:rsid w:val="00467ED8"/>
    <w:rsid w:val="004726C4"/>
    <w:rsid w:val="00472B7F"/>
    <w:rsid w:val="00472BC6"/>
    <w:rsid w:val="00472EE9"/>
    <w:rsid w:val="00473305"/>
    <w:rsid w:val="004739DF"/>
    <w:rsid w:val="00473D08"/>
    <w:rsid w:val="00473F94"/>
    <w:rsid w:val="0047528E"/>
    <w:rsid w:val="00475F7F"/>
    <w:rsid w:val="00476309"/>
    <w:rsid w:val="004764C0"/>
    <w:rsid w:val="00476896"/>
    <w:rsid w:val="004809F1"/>
    <w:rsid w:val="00480D33"/>
    <w:rsid w:val="00481AC5"/>
    <w:rsid w:val="00482C3C"/>
    <w:rsid w:val="004833AD"/>
    <w:rsid w:val="00483B9D"/>
    <w:rsid w:val="0048553F"/>
    <w:rsid w:val="0048597B"/>
    <w:rsid w:val="00485A47"/>
    <w:rsid w:val="00485EE2"/>
    <w:rsid w:val="00485FD7"/>
    <w:rsid w:val="00487C92"/>
    <w:rsid w:val="00490586"/>
    <w:rsid w:val="00490FE7"/>
    <w:rsid w:val="00491282"/>
    <w:rsid w:val="00491879"/>
    <w:rsid w:val="004924FB"/>
    <w:rsid w:val="00492B91"/>
    <w:rsid w:val="00493DE8"/>
    <w:rsid w:val="0049492F"/>
    <w:rsid w:val="00494A4F"/>
    <w:rsid w:val="0049594D"/>
    <w:rsid w:val="004A01D5"/>
    <w:rsid w:val="004A0A03"/>
    <w:rsid w:val="004A1DD6"/>
    <w:rsid w:val="004A268C"/>
    <w:rsid w:val="004A3A9A"/>
    <w:rsid w:val="004A3B33"/>
    <w:rsid w:val="004A44EF"/>
    <w:rsid w:val="004A60CE"/>
    <w:rsid w:val="004A60EF"/>
    <w:rsid w:val="004A6120"/>
    <w:rsid w:val="004A637D"/>
    <w:rsid w:val="004A6A69"/>
    <w:rsid w:val="004B008F"/>
    <w:rsid w:val="004B0AA9"/>
    <w:rsid w:val="004B0DDF"/>
    <w:rsid w:val="004B11C0"/>
    <w:rsid w:val="004B1A95"/>
    <w:rsid w:val="004B1D0E"/>
    <w:rsid w:val="004B2FE9"/>
    <w:rsid w:val="004B3539"/>
    <w:rsid w:val="004B4129"/>
    <w:rsid w:val="004B455F"/>
    <w:rsid w:val="004B511D"/>
    <w:rsid w:val="004B59CC"/>
    <w:rsid w:val="004B5C68"/>
    <w:rsid w:val="004B5C8B"/>
    <w:rsid w:val="004B6AD5"/>
    <w:rsid w:val="004B7C24"/>
    <w:rsid w:val="004B7C98"/>
    <w:rsid w:val="004C0FD5"/>
    <w:rsid w:val="004C2C06"/>
    <w:rsid w:val="004C2FEB"/>
    <w:rsid w:val="004C3071"/>
    <w:rsid w:val="004C6356"/>
    <w:rsid w:val="004C69A7"/>
    <w:rsid w:val="004C7739"/>
    <w:rsid w:val="004D132D"/>
    <w:rsid w:val="004D2678"/>
    <w:rsid w:val="004D2D2C"/>
    <w:rsid w:val="004D313E"/>
    <w:rsid w:val="004D35A2"/>
    <w:rsid w:val="004D48BD"/>
    <w:rsid w:val="004D4EEF"/>
    <w:rsid w:val="004E10D3"/>
    <w:rsid w:val="004E40D0"/>
    <w:rsid w:val="004E40F4"/>
    <w:rsid w:val="004E419B"/>
    <w:rsid w:val="004E580E"/>
    <w:rsid w:val="004E6334"/>
    <w:rsid w:val="004E68A7"/>
    <w:rsid w:val="004E6B87"/>
    <w:rsid w:val="004E6C39"/>
    <w:rsid w:val="004F2384"/>
    <w:rsid w:val="004F2443"/>
    <w:rsid w:val="004F3FF5"/>
    <w:rsid w:val="004F4DBF"/>
    <w:rsid w:val="004F5176"/>
    <w:rsid w:val="004F531E"/>
    <w:rsid w:val="004F63BC"/>
    <w:rsid w:val="004F65DB"/>
    <w:rsid w:val="004F6E9C"/>
    <w:rsid w:val="004F746C"/>
    <w:rsid w:val="00501D2D"/>
    <w:rsid w:val="00501EE3"/>
    <w:rsid w:val="00503813"/>
    <w:rsid w:val="00503E07"/>
    <w:rsid w:val="005077E5"/>
    <w:rsid w:val="005107AD"/>
    <w:rsid w:val="00510E90"/>
    <w:rsid w:val="005114C2"/>
    <w:rsid w:val="00511B5B"/>
    <w:rsid w:val="00511DC2"/>
    <w:rsid w:val="005126F4"/>
    <w:rsid w:val="00512D7E"/>
    <w:rsid w:val="005139CA"/>
    <w:rsid w:val="00513C3C"/>
    <w:rsid w:val="00516251"/>
    <w:rsid w:val="00516C1F"/>
    <w:rsid w:val="00516F3F"/>
    <w:rsid w:val="005208CA"/>
    <w:rsid w:val="00521B6E"/>
    <w:rsid w:val="005228C9"/>
    <w:rsid w:val="00524E40"/>
    <w:rsid w:val="005251EB"/>
    <w:rsid w:val="0052523F"/>
    <w:rsid w:val="0052528C"/>
    <w:rsid w:val="00525A9F"/>
    <w:rsid w:val="00525D32"/>
    <w:rsid w:val="005260DD"/>
    <w:rsid w:val="00530D29"/>
    <w:rsid w:val="00531213"/>
    <w:rsid w:val="005321FB"/>
    <w:rsid w:val="005341E5"/>
    <w:rsid w:val="0054144B"/>
    <w:rsid w:val="00544B22"/>
    <w:rsid w:val="0054516B"/>
    <w:rsid w:val="00545A02"/>
    <w:rsid w:val="0054613F"/>
    <w:rsid w:val="005473D3"/>
    <w:rsid w:val="005477BE"/>
    <w:rsid w:val="005502AF"/>
    <w:rsid w:val="00550905"/>
    <w:rsid w:val="00550EB6"/>
    <w:rsid w:val="00551ABE"/>
    <w:rsid w:val="00555606"/>
    <w:rsid w:val="005563ED"/>
    <w:rsid w:val="0055658F"/>
    <w:rsid w:val="00560C2D"/>
    <w:rsid w:val="00562654"/>
    <w:rsid w:val="0056306B"/>
    <w:rsid w:val="00563703"/>
    <w:rsid w:val="005638F7"/>
    <w:rsid w:val="00563A7D"/>
    <w:rsid w:val="00563B47"/>
    <w:rsid w:val="00565066"/>
    <w:rsid w:val="00565B42"/>
    <w:rsid w:val="00565D12"/>
    <w:rsid w:val="00567965"/>
    <w:rsid w:val="00570582"/>
    <w:rsid w:val="00570CFD"/>
    <w:rsid w:val="00570EA7"/>
    <w:rsid w:val="00570FC5"/>
    <w:rsid w:val="005714C6"/>
    <w:rsid w:val="0057297A"/>
    <w:rsid w:val="00574493"/>
    <w:rsid w:val="005749D6"/>
    <w:rsid w:val="00574F3B"/>
    <w:rsid w:val="00575BF1"/>
    <w:rsid w:val="0057628D"/>
    <w:rsid w:val="0057746E"/>
    <w:rsid w:val="00580EE7"/>
    <w:rsid w:val="00582F52"/>
    <w:rsid w:val="00583926"/>
    <w:rsid w:val="00583BFA"/>
    <w:rsid w:val="0058508A"/>
    <w:rsid w:val="00586008"/>
    <w:rsid w:val="005863D1"/>
    <w:rsid w:val="0058659C"/>
    <w:rsid w:val="00586EC2"/>
    <w:rsid w:val="005870B5"/>
    <w:rsid w:val="005901B6"/>
    <w:rsid w:val="0059094A"/>
    <w:rsid w:val="00591712"/>
    <w:rsid w:val="0059183F"/>
    <w:rsid w:val="00592CC1"/>
    <w:rsid w:val="00593222"/>
    <w:rsid w:val="00594499"/>
    <w:rsid w:val="00594E1C"/>
    <w:rsid w:val="00595192"/>
    <w:rsid w:val="0059547F"/>
    <w:rsid w:val="00595BE3"/>
    <w:rsid w:val="00595E86"/>
    <w:rsid w:val="0059622C"/>
    <w:rsid w:val="005967CB"/>
    <w:rsid w:val="005968D8"/>
    <w:rsid w:val="00596DF7"/>
    <w:rsid w:val="00597E51"/>
    <w:rsid w:val="005A08A7"/>
    <w:rsid w:val="005A32DF"/>
    <w:rsid w:val="005A34EE"/>
    <w:rsid w:val="005A5867"/>
    <w:rsid w:val="005A5EE2"/>
    <w:rsid w:val="005A6616"/>
    <w:rsid w:val="005A6EC1"/>
    <w:rsid w:val="005A7DA0"/>
    <w:rsid w:val="005A7FE6"/>
    <w:rsid w:val="005B17EC"/>
    <w:rsid w:val="005B2376"/>
    <w:rsid w:val="005B32EA"/>
    <w:rsid w:val="005B3E78"/>
    <w:rsid w:val="005B4115"/>
    <w:rsid w:val="005B527F"/>
    <w:rsid w:val="005B5734"/>
    <w:rsid w:val="005B5B64"/>
    <w:rsid w:val="005B5DC5"/>
    <w:rsid w:val="005B5E8C"/>
    <w:rsid w:val="005C09F1"/>
    <w:rsid w:val="005C1270"/>
    <w:rsid w:val="005C16EA"/>
    <w:rsid w:val="005C68E3"/>
    <w:rsid w:val="005D07B1"/>
    <w:rsid w:val="005D07D6"/>
    <w:rsid w:val="005D1273"/>
    <w:rsid w:val="005D206B"/>
    <w:rsid w:val="005D24F7"/>
    <w:rsid w:val="005D290D"/>
    <w:rsid w:val="005D2BD4"/>
    <w:rsid w:val="005D337E"/>
    <w:rsid w:val="005D35DB"/>
    <w:rsid w:val="005D389E"/>
    <w:rsid w:val="005D514C"/>
    <w:rsid w:val="005D51FD"/>
    <w:rsid w:val="005D6275"/>
    <w:rsid w:val="005D7B06"/>
    <w:rsid w:val="005D7B4F"/>
    <w:rsid w:val="005D7F64"/>
    <w:rsid w:val="005E1F43"/>
    <w:rsid w:val="005E24DC"/>
    <w:rsid w:val="005E33ED"/>
    <w:rsid w:val="005E3753"/>
    <w:rsid w:val="005E3D99"/>
    <w:rsid w:val="005E4381"/>
    <w:rsid w:val="005E524B"/>
    <w:rsid w:val="005E5B6E"/>
    <w:rsid w:val="005E6197"/>
    <w:rsid w:val="005E7D3A"/>
    <w:rsid w:val="005F05C1"/>
    <w:rsid w:val="005F15F2"/>
    <w:rsid w:val="005F2F8E"/>
    <w:rsid w:val="005F42D3"/>
    <w:rsid w:val="005F5186"/>
    <w:rsid w:val="005F6ACB"/>
    <w:rsid w:val="005F7F89"/>
    <w:rsid w:val="00600129"/>
    <w:rsid w:val="006006CB"/>
    <w:rsid w:val="00600708"/>
    <w:rsid w:val="0060082B"/>
    <w:rsid w:val="00601C4F"/>
    <w:rsid w:val="006020D0"/>
    <w:rsid w:val="00603FF2"/>
    <w:rsid w:val="00604760"/>
    <w:rsid w:val="0060581F"/>
    <w:rsid w:val="00607467"/>
    <w:rsid w:val="00607BAE"/>
    <w:rsid w:val="00611F18"/>
    <w:rsid w:val="0061265C"/>
    <w:rsid w:val="00613522"/>
    <w:rsid w:val="006151A4"/>
    <w:rsid w:val="006153A6"/>
    <w:rsid w:val="006153C3"/>
    <w:rsid w:val="006157B2"/>
    <w:rsid w:val="00615E72"/>
    <w:rsid w:val="00615FF6"/>
    <w:rsid w:val="00616BC9"/>
    <w:rsid w:val="00616D22"/>
    <w:rsid w:val="00620C45"/>
    <w:rsid w:val="006210E9"/>
    <w:rsid w:val="00621810"/>
    <w:rsid w:val="00621CB9"/>
    <w:rsid w:val="006223D0"/>
    <w:rsid w:val="00623B11"/>
    <w:rsid w:val="006277EB"/>
    <w:rsid w:val="00627A85"/>
    <w:rsid w:val="00627B8A"/>
    <w:rsid w:val="00631730"/>
    <w:rsid w:val="00631FF0"/>
    <w:rsid w:val="00632205"/>
    <w:rsid w:val="0063235F"/>
    <w:rsid w:val="00632476"/>
    <w:rsid w:val="00632CF4"/>
    <w:rsid w:val="00632EF7"/>
    <w:rsid w:val="00635030"/>
    <w:rsid w:val="00635DB6"/>
    <w:rsid w:val="00636C7D"/>
    <w:rsid w:val="00636CA4"/>
    <w:rsid w:val="00636FCE"/>
    <w:rsid w:val="00637863"/>
    <w:rsid w:val="006403D4"/>
    <w:rsid w:val="00640840"/>
    <w:rsid w:val="00643113"/>
    <w:rsid w:val="00643919"/>
    <w:rsid w:val="00644DD7"/>
    <w:rsid w:val="00645E7F"/>
    <w:rsid w:val="006470A7"/>
    <w:rsid w:val="006473E4"/>
    <w:rsid w:val="00651B46"/>
    <w:rsid w:val="00654280"/>
    <w:rsid w:val="006549EB"/>
    <w:rsid w:val="00655EC8"/>
    <w:rsid w:val="00656B08"/>
    <w:rsid w:val="00656C7B"/>
    <w:rsid w:val="00656E92"/>
    <w:rsid w:val="006606D7"/>
    <w:rsid w:val="0066205A"/>
    <w:rsid w:val="00662384"/>
    <w:rsid w:val="00662AE9"/>
    <w:rsid w:val="00662DD9"/>
    <w:rsid w:val="00662EC1"/>
    <w:rsid w:val="006634E5"/>
    <w:rsid w:val="0066509C"/>
    <w:rsid w:val="006650DD"/>
    <w:rsid w:val="00665272"/>
    <w:rsid w:val="0066544A"/>
    <w:rsid w:val="006655F8"/>
    <w:rsid w:val="006656CD"/>
    <w:rsid w:val="00665D70"/>
    <w:rsid w:val="00666232"/>
    <w:rsid w:val="006662F2"/>
    <w:rsid w:val="00666647"/>
    <w:rsid w:val="00667633"/>
    <w:rsid w:val="00670072"/>
    <w:rsid w:val="0067019F"/>
    <w:rsid w:val="00670DE1"/>
    <w:rsid w:val="00671338"/>
    <w:rsid w:val="00671B70"/>
    <w:rsid w:val="00671ECF"/>
    <w:rsid w:val="006721EF"/>
    <w:rsid w:val="00672B90"/>
    <w:rsid w:val="0067310B"/>
    <w:rsid w:val="006732C3"/>
    <w:rsid w:val="00673522"/>
    <w:rsid w:val="00674B4F"/>
    <w:rsid w:val="00675072"/>
    <w:rsid w:val="00675A83"/>
    <w:rsid w:val="00675B4B"/>
    <w:rsid w:val="00676284"/>
    <w:rsid w:val="006763B0"/>
    <w:rsid w:val="00677729"/>
    <w:rsid w:val="00680372"/>
    <w:rsid w:val="00682E0F"/>
    <w:rsid w:val="00682ED9"/>
    <w:rsid w:val="006841FC"/>
    <w:rsid w:val="00684ED9"/>
    <w:rsid w:val="006851EA"/>
    <w:rsid w:val="00686DFB"/>
    <w:rsid w:val="00687315"/>
    <w:rsid w:val="00692AB0"/>
    <w:rsid w:val="00692B75"/>
    <w:rsid w:val="006937AE"/>
    <w:rsid w:val="0069390A"/>
    <w:rsid w:val="00693C8F"/>
    <w:rsid w:val="00693DAB"/>
    <w:rsid w:val="006945EA"/>
    <w:rsid w:val="00694730"/>
    <w:rsid w:val="00694A18"/>
    <w:rsid w:val="0069602B"/>
    <w:rsid w:val="00696A81"/>
    <w:rsid w:val="00696B0D"/>
    <w:rsid w:val="0069722E"/>
    <w:rsid w:val="006973AB"/>
    <w:rsid w:val="00697443"/>
    <w:rsid w:val="00697545"/>
    <w:rsid w:val="006A00C6"/>
    <w:rsid w:val="006A0993"/>
    <w:rsid w:val="006A12B4"/>
    <w:rsid w:val="006A2181"/>
    <w:rsid w:val="006A3A64"/>
    <w:rsid w:val="006A561E"/>
    <w:rsid w:val="006A5CC2"/>
    <w:rsid w:val="006A69FF"/>
    <w:rsid w:val="006A6D3F"/>
    <w:rsid w:val="006A705F"/>
    <w:rsid w:val="006A7328"/>
    <w:rsid w:val="006B0495"/>
    <w:rsid w:val="006B0740"/>
    <w:rsid w:val="006B113D"/>
    <w:rsid w:val="006B22BF"/>
    <w:rsid w:val="006B31B7"/>
    <w:rsid w:val="006B5811"/>
    <w:rsid w:val="006B5A86"/>
    <w:rsid w:val="006B653C"/>
    <w:rsid w:val="006B7879"/>
    <w:rsid w:val="006C12B1"/>
    <w:rsid w:val="006C26F2"/>
    <w:rsid w:val="006C2D15"/>
    <w:rsid w:val="006C358B"/>
    <w:rsid w:val="006C3789"/>
    <w:rsid w:val="006C41A4"/>
    <w:rsid w:val="006C4831"/>
    <w:rsid w:val="006C4DC2"/>
    <w:rsid w:val="006C5BC2"/>
    <w:rsid w:val="006C5CF8"/>
    <w:rsid w:val="006C624A"/>
    <w:rsid w:val="006D16C7"/>
    <w:rsid w:val="006D3782"/>
    <w:rsid w:val="006D3C9F"/>
    <w:rsid w:val="006D4009"/>
    <w:rsid w:val="006D4345"/>
    <w:rsid w:val="006D482C"/>
    <w:rsid w:val="006D4CFD"/>
    <w:rsid w:val="006D58F3"/>
    <w:rsid w:val="006D5A6F"/>
    <w:rsid w:val="006D5D2C"/>
    <w:rsid w:val="006D602F"/>
    <w:rsid w:val="006D6E25"/>
    <w:rsid w:val="006D7F18"/>
    <w:rsid w:val="006E0082"/>
    <w:rsid w:val="006E057E"/>
    <w:rsid w:val="006E0EC4"/>
    <w:rsid w:val="006E1176"/>
    <w:rsid w:val="006E13DC"/>
    <w:rsid w:val="006E2E4E"/>
    <w:rsid w:val="006E53E5"/>
    <w:rsid w:val="006E562A"/>
    <w:rsid w:val="006E5D81"/>
    <w:rsid w:val="006E62A5"/>
    <w:rsid w:val="006F0846"/>
    <w:rsid w:val="006F2946"/>
    <w:rsid w:val="006F2B47"/>
    <w:rsid w:val="006F440D"/>
    <w:rsid w:val="006F4F04"/>
    <w:rsid w:val="006F5315"/>
    <w:rsid w:val="006F6275"/>
    <w:rsid w:val="006F7DD8"/>
    <w:rsid w:val="0070105C"/>
    <w:rsid w:val="00702810"/>
    <w:rsid w:val="00702A46"/>
    <w:rsid w:val="0070413C"/>
    <w:rsid w:val="00705AA6"/>
    <w:rsid w:val="00705BBE"/>
    <w:rsid w:val="00707C2B"/>
    <w:rsid w:val="007103AD"/>
    <w:rsid w:val="00710818"/>
    <w:rsid w:val="00710850"/>
    <w:rsid w:val="00712523"/>
    <w:rsid w:val="0071339A"/>
    <w:rsid w:val="00713ECD"/>
    <w:rsid w:val="007142E0"/>
    <w:rsid w:val="00714760"/>
    <w:rsid w:val="007149B2"/>
    <w:rsid w:val="00714C2E"/>
    <w:rsid w:val="00715987"/>
    <w:rsid w:val="00715B56"/>
    <w:rsid w:val="00715C4E"/>
    <w:rsid w:val="00717092"/>
    <w:rsid w:val="0071756E"/>
    <w:rsid w:val="007179D3"/>
    <w:rsid w:val="00717D7F"/>
    <w:rsid w:val="00722D95"/>
    <w:rsid w:val="007235C5"/>
    <w:rsid w:val="00724D60"/>
    <w:rsid w:val="00724ECA"/>
    <w:rsid w:val="007252DA"/>
    <w:rsid w:val="00725D02"/>
    <w:rsid w:val="0072611A"/>
    <w:rsid w:val="00726300"/>
    <w:rsid w:val="00726389"/>
    <w:rsid w:val="007277DF"/>
    <w:rsid w:val="00731A7F"/>
    <w:rsid w:val="00732BC7"/>
    <w:rsid w:val="00733253"/>
    <w:rsid w:val="007334EC"/>
    <w:rsid w:val="00733E75"/>
    <w:rsid w:val="00736D07"/>
    <w:rsid w:val="00736EF8"/>
    <w:rsid w:val="00737E85"/>
    <w:rsid w:val="00740374"/>
    <w:rsid w:val="00740A91"/>
    <w:rsid w:val="00740F5A"/>
    <w:rsid w:val="0074150C"/>
    <w:rsid w:val="0074183D"/>
    <w:rsid w:val="00741847"/>
    <w:rsid w:val="00742D3F"/>
    <w:rsid w:val="00745B06"/>
    <w:rsid w:val="007467BA"/>
    <w:rsid w:val="0074737A"/>
    <w:rsid w:val="00747B1D"/>
    <w:rsid w:val="007506D8"/>
    <w:rsid w:val="0075081F"/>
    <w:rsid w:val="0075252D"/>
    <w:rsid w:val="00752667"/>
    <w:rsid w:val="00753F63"/>
    <w:rsid w:val="00755860"/>
    <w:rsid w:val="007570AF"/>
    <w:rsid w:val="007609C9"/>
    <w:rsid w:val="00762BAC"/>
    <w:rsid w:val="00763377"/>
    <w:rsid w:val="007634E7"/>
    <w:rsid w:val="00763544"/>
    <w:rsid w:val="00763C6F"/>
    <w:rsid w:val="00763D7C"/>
    <w:rsid w:val="00764334"/>
    <w:rsid w:val="0076478B"/>
    <w:rsid w:val="00764DEB"/>
    <w:rsid w:val="007654B8"/>
    <w:rsid w:val="00765B4F"/>
    <w:rsid w:val="007666C5"/>
    <w:rsid w:val="007668EF"/>
    <w:rsid w:val="00766F59"/>
    <w:rsid w:val="00767982"/>
    <w:rsid w:val="00767DAD"/>
    <w:rsid w:val="00767DC3"/>
    <w:rsid w:val="007708BF"/>
    <w:rsid w:val="007709AD"/>
    <w:rsid w:val="00770E85"/>
    <w:rsid w:val="00771137"/>
    <w:rsid w:val="0077272B"/>
    <w:rsid w:val="00775B25"/>
    <w:rsid w:val="007767BA"/>
    <w:rsid w:val="0077759A"/>
    <w:rsid w:val="007801B2"/>
    <w:rsid w:val="00780D73"/>
    <w:rsid w:val="00781210"/>
    <w:rsid w:val="00782172"/>
    <w:rsid w:val="0078238B"/>
    <w:rsid w:val="00782D48"/>
    <w:rsid w:val="00783457"/>
    <w:rsid w:val="00783E46"/>
    <w:rsid w:val="007857A2"/>
    <w:rsid w:val="00785CBB"/>
    <w:rsid w:val="00786362"/>
    <w:rsid w:val="00786918"/>
    <w:rsid w:val="00787AE0"/>
    <w:rsid w:val="007903F6"/>
    <w:rsid w:val="0079062A"/>
    <w:rsid w:val="0079070D"/>
    <w:rsid w:val="00791A73"/>
    <w:rsid w:val="00792FA1"/>
    <w:rsid w:val="007935B6"/>
    <w:rsid w:val="0079527D"/>
    <w:rsid w:val="007955A3"/>
    <w:rsid w:val="007956D2"/>
    <w:rsid w:val="00795A7C"/>
    <w:rsid w:val="0079633A"/>
    <w:rsid w:val="00797703"/>
    <w:rsid w:val="0079773E"/>
    <w:rsid w:val="00797DCB"/>
    <w:rsid w:val="007A1057"/>
    <w:rsid w:val="007A240C"/>
    <w:rsid w:val="007A2569"/>
    <w:rsid w:val="007A2C2C"/>
    <w:rsid w:val="007A2DA1"/>
    <w:rsid w:val="007A4DED"/>
    <w:rsid w:val="007A5260"/>
    <w:rsid w:val="007A5B2C"/>
    <w:rsid w:val="007A5C7D"/>
    <w:rsid w:val="007A73A6"/>
    <w:rsid w:val="007A79B1"/>
    <w:rsid w:val="007A7DED"/>
    <w:rsid w:val="007B08BC"/>
    <w:rsid w:val="007B2DB7"/>
    <w:rsid w:val="007B4A23"/>
    <w:rsid w:val="007B56FD"/>
    <w:rsid w:val="007B5C8B"/>
    <w:rsid w:val="007B615E"/>
    <w:rsid w:val="007B61C0"/>
    <w:rsid w:val="007B63D1"/>
    <w:rsid w:val="007B645A"/>
    <w:rsid w:val="007B68DE"/>
    <w:rsid w:val="007C1B65"/>
    <w:rsid w:val="007C2135"/>
    <w:rsid w:val="007C29F8"/>
    <w:rsid w:val="007C3F24"/>
    <w:rsid w:val="007C4F59"/>
    <w:rsid w:val="007C76D2"/>
    <w:rsid w:val="007D01E6"/>
    <w:rsid w:val="007D0514"/>
    <w:rsid w:val="007D13F7"/>
    <w:rsid w:val="007D2145"/>
    <w:rsid w:val="007D2C86"/>
    <w:rsid w:val="007D3ECA"/>
    <w:rsid w:val="007D44BA"/>
    <w:rsid w:val="007D4533"/>
    <w:rsid w:val="007D4B56"/>
    <w:rsid w:val="007D7E97"/>
    <w:rsid w:val="007E0266"/>
    <w:rsid w:val="007E0F6E"/>
    <w:rsid w:val="007E3A99"/>
    <w:rsid w:val="007E57AE"/>
    <w:rsid w:val="007E670B"/>
    <w:rsid w:val="007E71CC"/>
    <w:rsid w:val="007F070B"/>
    <w:rsid w:val="007F0B67"/>
    <w:rsid w:val="007F137C"/>
    <w:rsid w:val="007F156C"/>
    <w:rsid w:val="007F4947"/>
    <w:rsid w:val="007F5E59"/>
    <w:rsid w:val="007F665D"/>
    <w:rsid w:val="007F6D50"/>
    <w:rsid w:val="00800402"/>
    <w:rsid w:val="00800AC6"/>
    <w:rsid w:val="008027EE"/>
    <w:rsid w:val="00803929"/>
    <w:rsid w:val="00804BB4"/>
    <w:rsid w:val="008057B3"/>
    <w:rsid w:val="00805DFB"/>
    <w:rsid w:val="00807563"/>
    <w:rsid w:val="00810A94"/>
    <w:rsid w:val="008128E6"/>
    <w:rsid w:val="00812B1A"/>
    <w:rsid w:val="008135AF"/>
    <w:rsid w:val="00813C38"/>
    <w:rsid w:val="00814246"/>
    <w:rsid w:val="008159CA"/>
    <w:rsid w:val="00815A0C"/>
    <w:rsid w:val="00815F36"/>
    <w:rsid w:val="00816B51"/>
    <w:rsid w:val="008172EF"/>
    <w:rsid w:val="00817DC9"/>
    <w:rsid w:val="00820F8F"/>
    <w:rsid w:val="00820FD3"/>
    <w:rsid w:val="008211F7"/>
    <w:rsid w:val="00821561"/>
    <w:rsid w:val="0082187A"/>
    <w:rsid w:val="0082259E"/>
    <w:rsid w:val="00822835"/>
    <w:rsid w:val="00822E3E"/>
    <w:rsid w:val="00823822"/>
    <w:rsid w:val="00824185"/>
    <w:rsid w:val="0082504E"/>
    <w:rsid w:val="0082581D"/>
    <w:rsid w:val="00825D5E"/>
    <w:rsid w:val="00825FF1"/>
    <w:rsid w:val="00826132"/>
    <w:rsid w:val="0082726D"/>
    <w:rsid w:val="0083028C"/>
    <w:rsid w:val="00831C9D"/>
    <w:rsid w:val="00831D42"/>
    <w:rsid w:val="008323AF"/>
    <w:rsid w:val="00833190"/>
    <w:rsid w:val="0083332C"/>
    <w:rsid w:val="00833F61"/>
    <w:rsid w:val="008346F6"/>
    <w:rsid w:val="00835B0C"/>
    <w:rsid w:val="00835D46"/>
    <w:rsid w:val="0083788B"/>
    <w:rsid w:val="00837E36"/>
    <w:rsid w:val="00840206"/>
    <w:rsid w:val="0084204A"/>
    <w:rsid w:val="00846400"/>
    <w:rsid w:val="00847A6C"/>
    <w:rsid w:val="008509EA"/>
    <w:rsid w:val="008516A1"/>
    <w:rsid w:val="00852547"/>
    <w:rsid w:val="00852FFA"/>
    <w:rsid w:val="00854C03"/>
    <w:rsid w:val="00854DCC"/>
    <w:rsid w:val="008554B0"/>
    <w:rsid w:val="00860091"/>
    <w:rsid w:val="00861344"/>
    <w:rsid w:val="00862505"/>
    <w:rsid w:val="00863942"/>
    <w:rsid w:val="00863CBB"/>
    <w:rsid w:val="0086487F"/>
    <w:rsid w:val="00864B5F"/>
    <w:rsid w:val="00865952"/>
    <w:rsid w:val="00867544"/>
    <w:rsid w:val="0087362F"/>
    <w:rsid w:val="00873B6D"/>
    <w:rsid w:val="00873C8B"/>
    <w:rsid w:val="00876032"/>
    <w:rsid w:val="00876B30"/>
    <w:rsid w:val="00880032"/>
    <w:rsid w:val="00881325"/>
    <w:rsid w:val="00881726"/>
    <w:rsid w:val="008818DD"/>
    <w:rsid w:val="00881ECE"/>
    <w:rsid w:val="00881EFB"/>
    <w:rsid w:val="0088343C"/>
    <w:rsid w:val="00885144"/>
    <w:rsid w:val="00885E8B"/>
    <w:rsid w:val="00886CBF"/>
    <w:rsid w:val="00890811"/>
    <w:rsid w:val="00891805"/>
    <w:rsid w:val="00891DC9"/>
    <w:rsid w:val="00892706"/>
    <w:rsid w:val="008931F7"/>
    <w:rsid w:val="00893537"/>
    <w:rsid w:val="0089364C"/>
    <w:rsid w:val="00893988"/>
    <w:rsid w:val="0089421E"/>
    <w:rsid w:val="00894D65"/>
    <w:rsid w:val="008953D0"/>
    <w:rsid w:val="00895872"/>
    <w:rsid w:val="00895B72"/>
    <w:rsid w:val="0089612D"/>
    <w:rsid w:val="0089755B"/>
    <w:rsid w:val="008A07BB"/>
    <w:rsid w:val="008A0FEE"/>
    <w:rsid w:val="008A15B5"/>
    <w:rsid w:val="008A20A9"/>
    <w:rsid w:val="008A42F1"/>
    <w:rsid w:val="008A692C"/>
    <w:rsid w:val="008A6988"/>
    <w:rsid w:val="008A6F17"/>
    <w:rsid w:val="008A7E9B"/>
    <w:rsid w:val="008B0FCD"/>
    <w:rsid w:val="008B39C8"/>
    <w:rsid w:val="008B54A2"/>
    <w:rsid w:val="008B623A"/>
    <w:rsid w:val="008B63CE"/>
    <w:rsid w:val="008C0FEF"/>
    <w:rsid w:val="008C1DD5"/>
    <w:rsid w:val="008C3A3C"/>
    <w:rsid w:val="008C672D"/>
    <w:rsid w:val="008C7695"/>
    <w:rsid w:val="008C79EF"/>
    <w:rsid w:val="008D0914"/>
    <w:rsid w:val="008D0C9B"/>
    <w:rsid w:val="008D1E65"/>
    <w:rsid w:val="008D3309"/>
    <w:rsid w:val="008D3A7B"/>
    <w:rsid w:val="008D51F5"/>
    <w:rsid w:val="008D595F"/>
    <w:rsid w:val="008D6F64"/>
    <w:rsid w:val="008D7B2F"/>
    <w:rsid w:val="008E11A9"/>
    <w:rsid w:val="008E2423"/>
    <w:rsid w:val="008E24C7"/>
    <w:rsid w:val="008E31A8"/>
    <w:rsid w:val="008E3361"/>
    <w:rsid w:val="008E367F"/>
    <w:rsid w:val="008E4F5A"/>
    <w:rsid w:val="008E64EB"/>
    <w:rsid w:val="008E6A17"/>
    <w:rsid w:val="008E777A"/>
    <w:rsid w:val="008E7848"/>
    <w:rsid w:val="008F08D3"/>
    <w:rsid w:val="008F183E"/>
    <w:rsid w:val="008F1AF5"/>
    <w:rsid w:val="008F28F4"/>
    <w:rsid w:val="008F30F3"/>
    <w:rsid w:val="008F3554"/>
    <w:rsid w:val="008F5700"/>
    <w:rsid w:val="008F6D0C"/>
    <w:rsid w:val="008F7EDF"/>
    <w:rsid w:val="00901739"/>
    <w:rsid w:val="009023DD"/>
    <w:rsid w:val="00902AC5"/>
    <w:rsid w:val="009034C4"/>
    <w:rsid w:val="00906D78"/>
    <w:rsid w:val="00912444"/>
    <w:rsid w:val="0091278C"/>
    <w:rsid w:val="00913045"/>
    <w:rsid w:val="00913686"/>
    <w:rsid w:val="009145F7"/>
    <w:rsid w:val="00914912"/>
    <w:rsid w:val="009152FB"/>
    <w:rsid w:val="0091555C"/>
    <w:rsid w:val="00915903"/>
    <w:rsid w:val="00915ACF"/>
    <w:rsid w:val="00916F55"/>
    <w:rsid w:val="009200EA"/>
    <w:rsid w:val="00921875"/>
    <w:rsid w:val="00921E92"/>
    <w:rsid w:val="009223D9"/>
    <w:rsid w:val="00923515"/>
    <w:rsid w:val="009246E1"/>
    <w:rsid w:val="0092492B"/>
    <w:rsid w:val="00925595"/>
    <w:rsid w:val="009259FC"/>
    <w:rsid w:val="00926FE5"/>
    <w:rsid w:val="00931106"/>
    <w:rsid w:val="00931D60"/>
    <w:rsid w:val="00932569"/>
    <w:rsid w:val="00934387"/>
    <w:rsid w:val="009368FC"/>
    <w:rsid w:val="0093702B"/>
    <w:rsid w:val="00942561"/>
    <w:rsid w:val="00943F16"/>
    <w:rsid w:val="0094412E"/>
    <w:rsid w:val="0094498B"/>
    <w:rsid w:val="00944D61"/>
    <w:rsid w:val="009453BB"/>
    <w:rsid w:val="0094616F"/>
    <w:rsid w:val="009469BE"/>
    <w:rsid w:val="00946EB6"/>
    <w:rsid w:val="00947988"/>
    <w:rsid w:val="0094799D"/>
    <w:rsid w:val="00947B14"/>
    <w:rsid w:val="0095096A"/>
    <w:rsid w:val="0095249E"/>
    <w:rsid w:val="00952BD9"/>
    <w:rsid w:val="00952EEB"/>
    <w:rsid w:val="00953137"/>
    <w:rsid w:val="0095432D"/>
    <w:rsid w:val="00954E44"/>
    <w:rsid w:val="00954FC2"/>
    <w:rsid w:val="00955F11"/>
    <w:rsid w:val="0095735A"/>
    <w:rsid w:val="00957396"/>
    <w:rsid w:val="009578FE"/>
    <w:rsid w:val="00957B81"/>
    <w:rsid w:val="00957D76"/>
    <w:rsid w:val="009631AC"/>
    <w:rsid w:val="009634C1"/>
    <w:rsid w:val="00963983"/>
    <w:rsid w:val="00964A50"/>
    <w:rsid w:val="00967906"/>
    <w:rsid w:val="00967915"/>
    <w:rsid w:val="009703C1"/>
    <w:rsid w:val="0097099F"/>
    <w:rsid w:val="009715B2"/>
    <w:rsid w:val="00971AC2"/>
    <w:rsid w:val="00971C07"/>
    <w:rsid w:val="00971D32"/>
    <w:rsid w:val="00972D05"/>
    <w:rsid w:val="00973100"/>
    <w:rsid w:val="009749A5"/>
    <w:rsid w:val="00975600"/>
    <w:rsid w:val="00975BE3"/>
    <w:rsid w:val="009760C9"/>
    <w:rsid w:val="009769CC"/>
    <w:rsid w:val="00977309"/>
    <w:rsid w:val="00977FA4"/>
    <w:rsid w:val="00977FF5"/>
    <w:rsid w:val="00980B5A"/>
    <w:rsid w:val="00980C19"/>
    <w:rsid w:val="00981687"/>
    <w:rsid w:val="00981CB1"/>
    <w:rsid w:val="00982D68"/>
    <w:rsid w:val="00983371"/>
    <w:rsid w:val="00984CAE"/>
    <w:rsid w:val="00984CF6"/>
    <w:rsid w:val="00984EBC"/>
    <w:rsid w:val="00985BB1"/>
    <w:rsid w:val="0098624C"/>
    <w:rsid w:val="00986300"/>
    <w:rsid w:val="00986381"/>
    <w:rsid w:val="00986456"/>
    <w:rsid w:val="00987779"/>
    <w:rsid w:val="00990E33"/>
    <w:rsid w:val="00991372"/>
    <w:rsid w:val="00991A9E"/>
    <w:rsid w:val="00991F47"/>
    <w:rsid w:val="0099267E"/>
    <w:rsid w:val="00993D5E"/>
    <w:rsid w:val="009944D7"/>
    <w:rsid w:val="00994F55"/>
    <w:rsid w:val="00996507"/>
    <w:rsid w:val="00996E66"/>
    <w:rsid w:val="00996F99"/>
    <w:rsid w:val="00997E99"/>
    <w:rsid w:val="009A127A"/>
    <w:rsid w:val="009A1460"/>
    <w:rsid w:val="009A1831"/>
    <w:rsid w:val="009A286F"/>
    <w:rsid w:val="009A36AB"/>
    <w:rsid w:val="009A3F9A"/>
    <w:rsid w:val="009A4330"/>
    <w:rsid w:val="009A4605"/>
    <w:rsid w:val="009A53DC"/>
    <w:rsid w:val="009A57DC"/>
    <w:rsid w:val="009A5B33"/>
    <w:rsid w:val="009A7E8C"/>
    <w:rsid w:val="009B10A8"/>
    <w:rsid w:val="009B1962"/>
    <w:rsid w:val="009B1A0B"/>
    <w:rsid w:val="009B2EE8"/>
    <w:rsid w:val="009B4907"/>
    <w:rsid w:val="009B4EA9"/>
    <w:rsid w:val="009B4EAB"/>
    <w:rsid w:val="009B6C50"/>
    <w:rsid w:val="009B738F"/>
    <w:rsid w:val="009C006B"/>
    <w:rsid w:val="009C211B"/>
    <w:rsid w:val="009C252A"/>
    <w:rsid w:val="009C4DAA"/>
    <w:rsid w:val="009C52B1"/>
    <w:rsid w:val="009C5645"/>
    <w:rsid w:val="009C5696"/>
    <w:rsid w:val="009C5B88"/>
    <w:rsid w:val="009C699C"/>
    <w:rsid w:val="009C7B19"/>
    <w:rsid w:val="009C7DF0"/>
    <w:rsid w:val="009D0130"/>
    <w:rsid w:val="009D0C32"/>
    <w:rsid w:val="009D0CB2"/>
    <w:rsid w:val="009D0E40"/>
    <w:rsid w:val="009D1AB7"/>
    <w:rsid w:val="009D336F"/>
    <w:rsid w:val="009E1AD6"/>
    <w:rsid w:val="009E1B2C"/>
    <w:rsid w:val="009E4B11"/>
    <w:rsid w:val="009E5347"/>
    <w:rsid w:val="009E62A2"/>
    <w:rsid w:val="009E6712"/>
    <w:rsid w:val="009E74A5"/>
    <w:rsid w:val="009E7AB5"/>
    <w:rsid w:val="009F2FBB"/>
    <w:rsid w:val="009F3051"/>
    <w:rsid w:val="009F33D3"/>
    <w:rsid w:val="009F3BC3"/>
    <w:rsid w:val="009F3EB2"/>
    <w:rsid w:val="009F7684"/>
    <w:rsid w:val="00A0029C"/>
    <w:rsid w:val="00A012BD"/>
    <w:rsid w:val="00A01343"/>
    <w:rsid w:val="00A019EC"/>
    <w:rsid w:val="00A0265E"/>
    <w:rsid w:val="00A027D1"/>
    <w:rsid w:val="00A0316D"/>
    <w:rsid w:val="00A040DD"/>
    <w:rsid w:val="00A044E2"/>
    <w:rsid w:val="00A05E9A"/>
    <w:rsid w:val="00A06EBD"/>
    <w:rsid w:val="00A07816"/>
    <w:rsid w:val="00A07EEA"/>
    <w:rsid w:val="00A11926"/>
    <w:rsid w:val="00A11B1E"/>
    <w:rsid w:val="00A1217B"/>
    <w:rsid w:val="00A1270C"/>
    <w:rsid w:val="00A12749"/>
    <w:rsid w:val="00A155FF"/>
    <w:rsid w:val="00A17A1B"/>
    <w:rsid w:val="00A20884"/>
    <w:rsid w:val="00A226ED"/>
    <w:rsid w:val="00A22815"/>
    <w:rsid w:val="00A22D5F"/>
    <w:rsid w:val="00A2462E"/>
    <w:rsid w:val="00A25637"/>
    <w:rsid w:val="00A25C28"/>
    <w:rsid w:val="00A2638C"/>
    <w:rsid w:val="00A271EB"/>
    <w:rsid w:val="00A27AC0"/>
    <w:rsid w:val="00A30E3E"/>
    <w:rsid w:val="00A31ABC"/>
    <w:rsid w:val="00A3268C"/>
    <w:rsid w:val="00A33059"/>
    <w:rsid w:val="00A332FB"/>
    <w:rsid w:val="00A34AE7"/>
    <w:rsid w:val="00A35A86"/>
    <w:rsid w:val="00A36983"/>
    <w:rsid w:val="00A36DEA"/>
    <w:rsid w:val="00A36EAB"/>
    <w:rsid w:val="00A373E8"/>
    <w:rsid w:val="00A40AFC"/>
    <w:rsid w:val="00A425EA"/>
    <w:rsid w:val="00A42710"/>
    <w:rsid w:val="00A42F26"/>
    <w:rsid w:val="00A432FB"/>
    <w:rsid w:val="00A441E7"/>
    <w:rsid w:val="00A44470"/>
    <w:rsid w:val="00A4451C"/>
    <w:rsid w:val="00A446F5"/>
    <w:rsid w:val="00A447C0"/>
    <w:rsid w:val="00A47DE8"/>
    <w:rsid w:val="00A5004F"/>
    <w:rsid w:val="00A50A56"/>
    <w:rsid w:val="00A50AD4"/>
    <w:rsid w:val="00A51443"/>
    <w:rsid w:val="00A5148F"/>
    <w:rsid w:val="00A51631"/>
    <w:rsid w:val="00A5284B"/>
    <w:rsid w:val="00A52E59"/>
    <w:rsid w:val="00A54F1C"/>
    <w:rsid w:val="00A551B4"/>
    <w:rsid w:val="00A56834"/>
    <w:rsid w:val="00A57803"/>
    <w:rsid w:val="00A57BA7"/>
    <w:rsid w:val="00A60B9A"/>
    <w:rsid w:val="00A612BD"/>
    <w:rsid w:val="00A623F7"/>
    <w:rsid w:val="00A626EA"/>
    <w:rsid w:val="00A62EE1"/>
    <w:rsid w:val="00A6362E"/>
    <w:rsid w:val="00A64DDB"/>
    <w:rsid w:val="00A653D7"/>
    <w:rsid w:val="00A67ED6"/>
    <w:rsid w:val="00A70645"/>
    <w:rsid w:val="00A717F1"/>
    <w:rsid w:val="00A732D6"/>
    <w:rsid w:val="00A733C1"/>
    <w:rsid w:val="00A7358E"/>
    <w:rsid w:val="00A73ED6"/>
    <w:rsid w:val="00A75133"/>
    <w:rsid w:val="00A76382"/>
    <w:rsid w:val="00A76763"/>
    <w:rsid w:val="00A8173B"/>
    <w:rsid w:val="00A81A1B"/>
    <w:rsid w:val="00A82319"/>
    <w:rsid w:val="00A825E6"/>
    <w:rsid w:val="00A83365"/>
    <w:rsid w:val="00A83592"/>
    <w:rsid w:val="00A8372D"/>
    <w:rsid w:val="00A83FFD"/>
    <w:rsid w:val="00A849F5"/>
    <w:rsid w:val="00A85754"/>
    <w:rsid w:val="00A861EA"/>
    <w:rsid w:val="00A86426"/>
    <w:rsid w:val="00A865F9"/>
    <w:rsid w:val="00A869EF"/>
    <w:rsid w:val="00A86B01"/>
    <w:rsid w:val="00A87233"/>
    <w:rsid w:val="00A8732D"/>
    <w:rsid w:val="00A9091D"/>
    <w:rsid w:val="00A91A10"/>
    <w:rsid w:val="00A91DB9"/>
    <w:rsid w:val="00A92384"/>
    <w:rsid w:val="00A92753"/>
    <w:rsid w:val="00A92CD4"/>
    <w:rsid w:val="00A9517F"/>
    <w:rsid w:val="00A95812"/>
    <w:rsid w:val="00A959E7"/>
    <w:rsid w:val="00A95C1C"/>
    <w:rsid w:val="00A97E25"/>
    <w:rsid w:val="00A97E74"/>
    <w:rsid w:val="00AA0F3F"/>
    <w:rsid w:val="00AA11DA"/>
    <w:rsid w:val="00AA1EF1"/>
    <w:rsid w:val="00AA33E4"/>
    <w:rsid w:val="00AA3718"/>
    <w:rsid w:val="00AA3CE1"/>
    <w:rsid w:val="00AA53B6"/>
    <w:rsid w:val="00AA5FDB"/>
    <w:rsid w:val="00AA60CF"/>
    <w:rsid w:val="00AA64AE"/>
    <w:rsid w:val="00AB0A88"/>
    <w:rsid w:val="00AB1AFF"/>
    <w:rsid w:val="00AB3D45"/>
    <w:rsid w:val="00AB4664"/>
    <w:rsid w:val="00AB4AD5"/>
    <w:rsid w:val="00AB53CB"/>
    <w:rsid w:val="00AB5AED"/>
    <w:rsid w:val="00AB6A67"/>
    <w:rsid w:val="00AB763C"/>
    <w:rsid w:val="00AC0EA3"/>
    <w:rsid w:val="00AC1B1C"/>
    <w:rsid w:val="00AC2044"/>
    <w:rsid w:val="00AC2719"/>
    <w:rsid w:val="00AC28CD"/>
    <w:rsid w:val="00AC2AC2"/>
    <w:rsid w:val="00AC2E0A"/>
    <w:rsid w:val="00AC32C1"/>
    <w:rsid w:val="00AC53C3"/>
    <w:rsid w:val="00AC58AE"/>
    <w:rsid w:val="00AC5AE3"/>
    <w:rsid w:val="00AC5B7D"/>
    <w:rsid w:val="00AC5F00"/>
    <w:rsid w:val="00AC6300"/>
    <w:rsid w:val="00AC6A60"/>
    <w:rsid w:val="00AC6B5C"/>
    <w:rsid w:val="00AC6C6C"/>
    <w:rsid w:val="00AC7169"/>
    <w:rsid w:val="00AC76F8"/>
    <w:rsid w:val="00AC7958"/>
    <w:rsid w:val="00AC7CCC"/>
    <w:rsid w:val="00AC7D38"/>
    <w:rsid w:val="00AC7DC0"/>
    <w:rsid w:val="00AD1ADE"/>
    <w:rsid w:val="00AD2D89"/>
    <w:rsid w:val="00AD4274"/>
    <w:rsid w:val="00AD4BD3"/>
    <w:rsid w:val="00AD4C4C"/>
    <w:rsid w:val="00AD6BD4"/>
    <w:rsid w:val="00AD6E9B"/>
    <w:rsid w:val="00AD793F"/>
    <w:rsid w:val="00AE1412"/>
    <w:rsid w:val="00AE193D"/>
    <w:rsid w:val="00AE1ACF"/>
    <w:rsid w:val="00AE1E9F"/>
    <w:rsid w:val="00AE21C7"/>
    <w:rsid w:val="00AE22B3"/>
    <w:rsid w:val="00AE290B"/>
    <w:rsid w:val="00AE33FB"/>
    <w:rsid w:val="00AE49A4"/>
    <w:rsid w:val="00AE5B86"/>
    <w:rsid w:val="00AE6F2D"/>
    <w:rsid w:val="00AE70E5"/>
    <w:rsid w:val="00AF06B9"/>
    <w:rsid w:val="00AF1756"/>
    <w:rsid w:val="00AF1ABE"/>
    <w:rsid w:val="00AF1CE6"/>
    <w:rsid w:val="00AF2543"/>
    <w:rsid w:val="00AF502D"/>
    <w:rsid w:val="00AF558B"/>
    <w:rsid w:val="00AF5AD2"/>
    <w:rsid w:val="00AF679D"/>
    <w:rsid w:val="00AF79FC"/>
    <w:rsid w:val="00B009C5"/>
    <w:rsid w:val="00B015FD"/>
    <w:rsid w:val="00B01EDF"/>
    <w:rsid w:val="00B02C67"/>
    <w:rsid w:val="00B041DD"/>
    <w:rsid w:val="00B05501"/>
    <w:rsid w:val="00B0736F"/>
    <w:rsid w:val="00B07E6E"/>
    <w:rsid w:val="00B1002C"/>
    <w:rsid w:val="00B1037A"/>
    <w:rsid w:val="00B11089"/>
    <w:rsid w:val="00B111C9"/>
    <w:rsid w:val="00B1200C"/>
    <w:rsid w:val="00B1262B"/>
    <w:rsid w:val="00B13653"/>
    <w:rsid w:val="00B1384D"/>
    <w:rsid w:val="00B144A1"/>
    <w:rsid w:val="00B15508"/>
    <w:rsid w:val="00B20F75"/>
    <w:rsid w:val="00B22349"/>
    <w:rsid w:val="00B23CFF"/>
    <w:rsid w:val="00B23E0C"/>
    <w:rsid w:val="00B2406F"/>
    <w:rsid w:val="00B24751"/>
    <w:rsid w:val="00B25481"/>
    <w:rsid w:val="00B2566D"/>
    <w:rsid w:val="00B25AB9"/>
    <w:rsid w:val="00B27E8A"/>
    <w:rsid w:val="00B306F4"/>
    <w:rsid w:val="00B30AB2"/>
    <w:rsid w:val="00B31170"/>
    <w:rsid w:val="00B318BD"/>
    <w:rsid w:val="00B32CC1"/>
    <w:rsid w:val="00B332AA"/>
    <w:rsid w:val="00B34B7A"/>
    <w:rsid w:val="00B3760D"/>
    <w:rsid w:val="00B377FF"/>
    <w:rsid w:val="00B40B2B"/>
    <w:rsid w:val="00B40C66"/>
    <w:rsid w:val="00B41939"/>
    <w:rsid w:val="00B42D24"/>
    <w:rsid w:val="00B433F5"/>
    <w:rsid w:val="00B43C99"/>
    <w:rsid w:val="00B457FF"/>
    <w:rsid w:val="00B46498"/>
    <w:rsid w:val="00B47BB7"/>
    <w:rsid w:val="00B51034"/>
    <w:rsid w:val="00B53BC9"/>
    <w:rsid w:val="00B53EC1"/>
    <w:rsid w:val="00B55DEB"/>
    <w:rsid w:val="00B56551"/>
    <w:rsid w:val="00B577D2"/>
    <w:rsid w:val="00B57F1B"/>
    <w:rsid w:val="00B60B2B"/>
    <w:rsid w:val="00B61173"/>
    <w:rsid w:val="00B6147A"/>
    <w:rsid w:val="00B633B6"/>
    <w:rsid w:val="00B638FE"/>
    <w:rsid w:val="00B63C52"/>
    <w:rsid w:val="00B63D98"/>
    <w:rsid w:val="00B63FFE"/>
    <w:rsid w:val="00B64314"/>
    <w:rsid w:val="00B64C47"/>
    <w:rsid w:val="00B6523B"/>
    <w:rsid w:val="00B66098"/>
    <w:rsid w:val="00B6697B"/>
    <w:rsid w:val="00B70883"/>
    <w:rsid w:val="00B70BAC"/>
    <w:rsid w:val="00B71F3A"/>
    <w:rsid w:val="00B737E1"/>
    <w:rsid w:val="00B74892"/>
    <w:rsid w:val="00B760DD"/>
    <w:rsid w:val="00B76578"/>
    <w:rsid w:val="00B768F6"/>
    <w:rsid w:val="00B80779"/>
    <w:rsid w:val="00B81FB7"/>
    <w:rsid w:val="00B82704"/>
    <w:rsid w:val="00B85B24"/>
    <w:rsid w:val="00B86280"/>
    <w:rsid w:val="00B878DB"/>
    <w:rsid w:val="00B87EF8"/>
    <w:rsid w:val="00B90517"/>
    <w:rsid w:val="00B9143C"/>
    <w:rsid w:val="00B929CE"/>
    <w:rsid w:val="00B92AA4"/>
    <w:rsid w:val="00B93174"/>
    <w:rsid w:val="00B93223"/>
    <w:rsid w:val="00B9407C"/>
    <w:rsid w:val="00B947C4"/>
    <w:rsid w:val="00B96DF3"/>
    <w:rsid w:val="00BA0E8A"/>
    <w:rsid w:val="00BA288D"/>
    <w:rsid w:val="00BA38B7"/>
    <w:rsid w:val="00BA3CE4"/>
    <w:rsid w:val="00BA46A4"/>
    <w:rsid w:val="00BA609C"/>
    <w:rsid w:val="00BA79C8"/>
    <w:rsid w:val="00BA7C35"/>
    <w:rsid w:val="00BB0044"/>
    <w:rsid w:val="00BB01A4"/>
    <w:rsid w:val="00BB0CF3"/>
    <w:rsid w:val="00BB1770"/>
    <w:rsid w:val="00BB40EA"/>
    <w:rsid w:val="00BB5277"/>
    <w:rsid w:val="00BB5FA9"/>
    <w:rsid w:val="00BB643D"/>
    <w:rsid w:val="00BB6CCF"/>
    <w:rsid w:val="00BB773B"/>
    <w:rsid w:val="00BC084E"/>
    <w:rsid w:val="00BC12E3"/>
    <w:rsid w:val="00BC1B92"/>
    <w:rsid w:val="00BC24A2"/>
    <w:rsid w:val="00BC3C1F"/>
    <w:rsid w:val="00BC449C"/>
    <w:rsid w:val="00BC5306"/>
    <w:rsid w:val="00BC73A0"/>
    <w:rsid w:val="00BC73EB"/>
    <w:rsid w:val="00BD0783"/>
    <w:rsid w:val="00BD0CB4"/>
    <w:rsid w:val="00BD1008"/>
    <w:rsid w:val="00BD12A9"/>
    <w:rsid w:val="00BD1444"/>
    <w:rsid w:val="00BD1C1E"/>
    <w:rsid w:val="00BD1D41"/>
    <w:rsid w:val="00BD217E"/>
    <w:rsid w:val="00BD2FA2"/>
    <w:rsid w:val="00BD3BF3"/>
    <w:rsid w:val="00BD3C1A"/>
    <w:rsid w:val="00BD3EB3"/>
    <w:rsid w:val="00BD3EBC"/>
    <w:rsid w:val="00BD407D"/>
    <w:rsid w:val="00BD4C18"/>
    <w:rsid w:val="00BD5D3A"/>
    <w:rsid w:val="00BD6515"/>
    <w:rsid w:val="00BD6EBA"/>
    <w:rsid w:val="00BD6F65"/>
    <w:rsid w:val="00BD7444"/>
    <w:rsid w:val="00BD7EC8"/>
    <w:rsid w:val="00BD7F34"/>
    <w:rsid w:val="00BE0C95"/>
    <w:rsid w:val="00BE0D90"/>
    <w:rsid w:val="00BE23E0"/>
    <w:rsid w:val="00BE26D7"/>
    <w:rsid w:val="00BE2AA0"/>
    <w:rsid w:val="00BE2C47"/>
    <w:rsid w:val="00BE3589"/>
    <w:rsid w:val="00BE3993"/>
    <w:rsid w:val="00BE4212"/>
    <w:rsid w:val="00BE4FB0"/>
    <w:rsid w:val="00BE5577"/>
    <w:rsid w:val="00BE567A"/>
    <w:rsid w:val="00BE567D"/>
    <w:rsid w:val="00BE5A5B"/>
    <w:rsid w:val="00BE7B82"/>
    <w:rsid w:val="00BF0BFB"/>
    <w:rsid w:val="00BF10A0"/>
    <w:rsid w:val="00BF1609"/>
    <w:rsid w:val="00BF276A"/>
    <w:rsid w:val="00BF2859"/>
    <w:rsid w:val="00BF5AB8"/>
    <w:rsid w:val="00BF6E70"/>
    <w:rsid w:val="00C021C6"/>
    <w:rsid w:val="00C02D8F"/>
    <w:rsid w:val="00C033F9"/>
    <w:rsid w:val="00C042BB"/>
    <w:rsid w:val="00C04CDF"/>
    <w:rsid w:val="00C05FA6"/>
    <w:rsid w:val="00C06B27"/>
    <w:rsid w:val="00C07602"/>
    <w:rsid w:val="00C07A33"/>
    <w:rsid w:val="00C11F65"/>
    <w:rsid w:val="00C11FCA"/>
    <w:rsid w:val="00C1294A"/>
    <w:rsid w:val="00C12B92"/>
    <w:rsid w:val="00C1388B"/>
    <w:rsid w:val="00C13B63"/>
    <w:rsid w:val="00C15669"/>
    <w:rsid w:val="00C16921"/>
    <w:rsid w:val="00C21227"/>
    <w:rsid w:val="00C21B3F"/>
    <w:rsid w:val="00C23B9B"/>
    <w:rsid w:val="00C249E4"/>
    <w:rsid w:val="00C2533C"/>
    <w:rsid w:val="00C259B7"/>
    <w:rsid w:val="00C259C6"/>
    <w:rsid w:val="00C33644"/>
    <w:rsid w:val="00C33BB7"/>
    <w:rsid w:val="00C34605"/>
    <w:rsid w:val="00C35588"/>
    <w:rsid w:val="00C367D9"/>
    <w:rsid w:val="00C36FDB"/>
    <w:rsid w:val="00C37EF3"/>
    <w:rsid w:val="00C406CE"/>
    <w:rsid w:val="00C410B8"/>
    <w:rsid w:val="00C415BB"/>
    <w:rsid w:val="00C41D4E"/>
    <w:rsid w:val="00C429BF"/>
    <w:rsid w:val="00C4392B"/>
    <w:rsid w:val="00C43BAE"/>
    <w:rsid w:val="00C43F5B"/>
    <w:rsid w:val="00C44400"/>
    <w:rsid w:val="00C45B5C"/>
    <w:rsid w:val="00C463C6"/>
    <w:rsid w:val="00C46A4D"/>
    <w:rsid w:val="00C478EC"/>
    <w:rsid w:val="00C47F80"/>
    <w:rsid w:val="00C51023"/>
    <w:rsid w:val="00C517C4"/>
    <w:rsid w:val="00C518EB"/>
    <w:rsid w:val="00C51C52"/>
    <w:rsid w:val="00C526AB"/>
    <w:rsid w:val="00C552C4"/>
    <w:rsid w:val="00C554AF"/>
    <w:rsid w:val="00C559B1"/>
    <w:rsid w:val="00C55C73"/>
    <w:rsid w:val="00C56088"/>
    <w:rsid w:val="00C615AC"/>
    <w:rsid w:val="00C61E99"/>
    <w:rsid w:val="00C62292"/>
    <w:rsid w:val="00C625B8"/>
    <w:rsid w:val="00C65B9C"/>
    <w:rsid w:val="00C661DC"/>
    <w:rsid w:val="00C67154"/>
    <w:rsid w:val="00C675E2"/>
    <w:rsid w:val="00C70D6E"/>
    <w:rsid w:val="00C7282C"/>
    <w:rsid w:val="00C73621"/>
    <w:rsid w:val="00C73FB3"/>
    <w:rsid w:val="00C7491B"/>
    <w:rsid w:val="00C75966"/>
    <w:rsid w:val="00C75C65"/>
    <w:rsid w:val="00C76AC2"/>
    <w:rsid w:val="00C77AA4"/>
    <w:rsid w:val="00C77C89"/>
    <w:rsid w:val="00C81C05"/>
    <w:rsid w:val="00C82AF2"/>
    <w:rsid w:val="00C82DCE"/>
    <w:rsid w:val="00C83D1F"/>
    <w:rsid w:val="00C84062"/>
    <w:rsid w:val="00C84115"/>
    <w:rsid w:val="00C8518D"/>
    <w:rsid w:val="00C861DC"/>
    <w:rsid w:val="00C86678"/>
    <w:rsid w:val="00C901E4"/>
    <w:rsid w:val="00C90F65"/>
    <w:rsid w:val="00C916CF"/>
    <w:rsid w:val="00C92113"/>
    <w:rsid w:val="00C93E98"/>
    <w:rsid w:val="00C94A56"/>
    <w:rsid w:val="00C94B36"/>
    <w:rsid w:val="00C956D5"/>
    <w:rsid w:val="00C95B1D"/>
    <w:rsid w:val="00C967E6"/>
    <w:rsid w:val="00C9703F"/>
    <w:rsid w:val="00CA0767"/>
    <w:rsid w:val="00CA27AD"/>
    <w:rsid w:val="00CA29E3"/>
    <w:rsid w:val="00CA39E2"/>
    <w:rsid w:val="00CA45E8"/>
    <w:rsid w:val="00CA4613"/>
    <w:rsid w:val="00CA6421"/>
    <w:rsid w:val="00CA6DC2"/>
    <w:rsid w:val="00CA7566"/>
    <w:rsid w:val="00CA75D5"/>
    <w:rsid w:val="00CA7635"/>
    <w:rsid w:val="00CB0404"/>
    <w:rsid w:val="00CB3C52"/>
    <w:rsid w:val="00CB43A5"/>
    <w:rsid w:val="00CB49CB"/>
    <w:rsid w:val="00CB4B15"/>
    <w:rsid w:val="00CB51F6"/>
    <w:rsid w:val="00CB6484"/>
    <w:rsid w:val="00CB66AD"/>
    <w:rsid w:val="00CC3E13"/>
    <w:rsid w:val="00CC4A58"/>
    <w:rsid w:val="00CC6A8A"/>
    <w:rsid w:val="00CC76F2"/>
    <w:rsid w:val="00CC7916"/>
    <w:rsid w:val="00CD0B3C"/>
    <w:rsid w:val="00CD1196"/>
    <w:rsid w:val="00CD1C05"/>
    <w:rsid w:val="00CD3337"/>
    <w:rsid w:val="00CD44C0"/>
    <w:rsid w:val="00CD4FAE"/>
    <w:rsid w:val="00CD6B60"/>
    <w:rsid w:val="00CD6C7D"/>
    <w:rsid w:val="00CD6FF7"/>
    <w:rsid w:val="00CE02C1"/>
    <w:rsid w:val="00CE0A51"/>
    <w:rsid w:val="00CE1E9B"/>
    <w:rsid w:val="00CE310F"/>
    <w:rsid w:val="00CE3123"/>
    <w:rsid w:val="00CE3372"/>
    <w:rsid w:val="00CE3811"/>
    <w:rsid w:val="00CE3D51"/>
    <w:rsid w:val="00CE423B"/>
    <w:rsid w:val="00CE4BE0"/>
    <w:rsid w:val="00CE54E4"/>
    <w:rsid w:val="00CE682A"/>
    <w:rsid w:val="00CE75C1"/>
    <w:rsid w:val="00CF1937"/>
    <w:rsid w:val="00CF2210"/>
    <w:rsid w:val="00CF35C3"/>
    <w:rsid w:val="00CF5CFF"/>
    <w:rsid w:val="00CF7214"/>
    <w:rsid w:val="00CF7DC2"/>
    <w:rsid w:val="00D01167"/>
    <w:rsid w:val="00D01937"/>
    <w:rsid w:val="00D039D8"/>
    <w:rsid w:val="00D03B80"/>
    <w:rsid w:val="00D04169"/>
    <w:rsid w:val="00D043C9"/>
    <w:rsid w:val="00D0558E"/>
    <w:rsid w:val="00D06B26"/>
    <w:rsid w:val="00D06CAF"/>
    <w:rsid w:val="00D10AA8"/>
    <w:rsid w:val="00D118DC"/>
    <w:rsid w:val="00D12994"/>
    <w:rsid w:val="00D12C67"/>
    <w:rsid w:val="00D12E8A"/>
    <w:rsid w:val="00D13964"/>
    <w:rsid w:val="00D146CC"/>
    <w:rsid w:val="00D15543"/>
    <w:rsid w:val="00D15F71"/>
    <w:rsid w:val="00D17AEF"/>
    <w:rsid w:val="00D17CEB"/>
    <w:rsid w:val="00D17F99"/>
    <w:rsid w:val="00D204E4"/>
    <w:rsid w:val="00D212D9"/>
    <w:rsid w:val="00D21308"/>
    <w:rsid w:val="00D21C8B"/>
    <w:rsid w:val="00D2228B"/>
    <w:rsid w:val="00D22D3E"/>
    <w:rsid w:val="00D23FCC"/>
    <w:rsid w:val="00D24534"/>
    <w:rsid w:val="00D246BC"/>
    <w:rsid w:val="00D26429"/>
    <w:rsid w:val="00D264BD"/>
    <w:rsid w:val="00D264CE"/>
    <w:rsid w:val="00D265E0"/>
    <w:rsid w:val="00D26635"/>
    <w:rsid w:val="00D2670E"/>
    <w:rsid w:val="00D272B1"/>
    <w:rsid w:val="00D2765C"/>
    <w:rsid w:val="00D27E4B"/>
    <w:rsid w:val="00D3106E"/>
    <w:rsid w:val="00D31AF1"/>
    <w:rsid w:val="00D33A6D"/>
    <w:rsid w:val="00D346AA"/>
    <w:rsid w:val="00D34B44"/>
    <w:rsid w:val="00D362B6"/>
    <w:rsid w:val="00D40815"/>
    <w:rsid w:val="00D41B23"/>
    <w:rsid w:val="00D41C54"/>
    <w:rsid w:val="00D4294A"/>
    <w:rsid w:val="00D435A8"/>
    <w:rsid w:val="00D43C6D"/>
    <w:rsid w:val="00D43ECB"/>
    <w:rsid w:val="00D4424D"/>
    <w:rsid w:val="00D450F6"/>
    <w:rsid w:val="00D46933"/>
    <w:rsid w:val="00D479F8"/>
    <w:rsid w:val="00D52756"/>
    <w:rsid w:val="00D53B53"/>
    <w:rsid w:val="00D53FA7"/>
    <w:rsid w:val="00D54044"/>
    <w:rsid w:val="00D542F0"/>
    <w:rsid w:val="00D5483C"/>
    <w:rsid w:val="00D55A6D"/>
    <w:rsid w:val="00D57047"/>
    <w:rsid w:val="00D57971"/>
    <w:rsid w:val="00D61707"/>
    <w:rsid w:val="00D634F6"/>
    <w:rsid w:val="00D6371A"/>
    <w:rsid w:val="00D63E0E"/>
    <w:rsid w:val="00D64892"/>
    <w:rsid w:val="00D64AE1"/>
    <w:rsid w:val="00D64B46"/>
    <w:rsid w:val="00D64D85"/>
    <w:rsid w:val="00D6610C"/>
    <w:rsid w:val="00D67655"/>
    <w:rsid w:val="00D73764"/>
    <w:rsid w:val="00D74C5F"/>
    <w:rsid w:val="00D76798"/>
    <w:rsid w:val="00D80978"/>
    <w:rsid w:val="00D80A02"/>
    <w:rsid w:val="00D80ABC"/>
    <w:rsid w:val="00D80B0D"/>
    <w:rsid w:val="00D80EDE"/>
    <w:rsid w:val="00D81200"/>
    <w:rsid w:val="00D82504"/>
    <w:rsid w:val="00D825B2"/>
    <w:rsid w:val="00D82739"/>
    <w:rsid w:val="00D82757"/>
    <w:rsid w:val="00D8281C"/>
    <w:rsid w:val="00D83961"/>
    <w:rsid w:val="00D85434"/>
    <w:rsid w:val="00D85EAD"/>
    <w:rsid w:val="00D8626D"/>
    <w:rsid w:val="00D8635B"/>
    <w:rsid w:val="00D87D04"/>
    <w:rsid w:val="00D91945"/>
    <w:rsid w:val="00D9211A"/>
    <w:rsid w:val="00D93845"/>
    <w:rsid w:val="00D938F1"/>
    <w:rsid w:val="00D93AA9"/>
    <w:rsid w:val="00D93C81"/>
    <w:rsid w:val="00D96811"/>
    <w:rsid w:val="00DA13D5"/>
    <w:rsid w:val="00DA3416"/>
    <w:rsid w:val="00DA38DB"/>
    <w:rsid w:val="00DA425D"/>
    <w:rsid w:val="00DA4586"/>
    <w:rsid w:val="00DA6270"/>
    <w:rsid w:val="00DA6CB8"/>
    <w:rsid w:val="00DA79F2"/>
    <w:rsid w:val="00DB09C5"/>
    <w:rsid w:val="00DB12A6"/>
    <w:rsid w:val="00DB13CB"/>
    <w:rsid w:val="00DB2131"/>
    <w:rsid w:val="00DB2672"/>
    <w:rsid w:val="00DB2FC6"/>
    <w:rsid w:val="00DB4A96"/>
    <w:rsid w:val="00DB5388"/>
    <w:rsid w:val="00DB5623"/>
    <w:rsid w:val="00DB62D1"/>
    <w:rsid w:val="00DB652E"/>
    <w:rsid w:val="00DB71EB"/>
    <w:rsid w:val="00DB7C44"/>
    <w:rsid w:val="00DC0588"/>
    <w:rsid w:val="00DC0CCD"/>
    <w:rsid w:val="00DC2CA5"/>
    <w:rsid w:val="00DC372B"/>
    <w:rsid w:val="00DC45CF"/>
    <w:rsid w:val="00DC4608"/>
    <w:rsid w:val="00DC55D4"/>
    <w:rsid w:val="00DC5E43"/>
    <w:rsid w:val="00DC76FE"/>
    <w:rsid w:val="00DD07E8"/>
    <w:rsid w:val="00DD097C"/>
    <w:rsid w:val="00DD270B"/>
    <w:rsid w:val="00DD2A5E"/>
    <w:rsid w:val="00DD3382"/>
    <w:rsid w:val="00DD38ED"/>
    <w:rsid w:val="00DD3B7D"/>
    <w:rsid w:val="00DD494C"/>
    <w:rsid w:val="00DD50B5"/>
    <w:rsid w:val="00DD5E3F"/>
    <w:rsid w:val="00DD5E91"/>
    <w:rsid w:val="00DD6660"/>
    <w:rsid w:val="00DD793B"/>
    <w:rsid w:val="00DE014D"/>
    <w:rsid w:val="00DE040D"/>
    <w:rsid w:val="00DE1A63"/>
    <w:rsid w:val="00DE27EB"/>
    <w:rsid w:val="00DE3231"/>
    <w:rsid w:val="00DE5337"/>
    <w:rsid w:val="00DE7B44"/>
    <w:rsid w:val="00DE7B63"/>
    <w:rsid w:val="00DF0DE9"/>
    <w:rsid w:val="00DF103B"/>
    <w:rsid w:val="00DF1AD9"/>
    <w:rsid w:val="00DF2383"/>
    <w:rsid w:val="00DF24CB"/>
    <w:rsid w:val="00DF3CDA"/>
    <w:rsid w:val="00DF7F0B"/>
    <w:rsid w:val="00E03428"/>
    <w:rsid w:val="00E04328"/>
    <w:rsid w:val="00E067A7"/>
    <w:rsid w:val="00E127CD"/>
    <w:rsid w:val="00E12BB1"/>
    <w:rsid w:val="00E1341A"/>
    <w:rsid w:val="00E13ED4"/>
    <w:rsid w:val="00E1438F"/>
    <w:rsid w:val="00E15161"/>
    <w:rsid w:val="00E15287"/>
    <w:rsid w:val="00E152B7"/>
    <w:rsid w:val="00E161CC"/>
    <w:rsid w:val="00E1678E"/>
    <w:rsid w:val="00E16B0A"/>
    <w:rsid w:val="00E17409"/>
    <w:rsid w:val="00E202E0"/>
    <w:rsid w:val="00E2266A"/>
    <w:rsid w:val="00E239C9"/>
    <w:rsid w:val="00E240F9"/>
    <w:rsid w:val="00E2617A"/>
    <w:rsid w:val="00E30C95"/>
    <w:rsid w:val="00E31172"/>
    <w:rsid w:val="00E33504"/>
    <w:rsid w:val="00E33634"/>
    <w:rsid w:val="00E33F05"/>
    <w:rsid w:val="00E3424F"/>
    <w:rsid w:val="00E35626"/>
    <w:rsid w:val="00E35FC2"/>
    <w:rsid w:val="00E36B47"/>
    <w:rsid w:val="00E37A42"/>
    <w:rsid w:val="00E40FC8"/>
    <w:rsid w:val="00E41943"/>
    <w:rsid w:val="00E41DC0"/>
    <w:rsid w:val="00E42505"/>
    <w:rsid w:val="00E42AB3"/>
    <w:rsid w:val="00E4488E"/>
    <w:rsid w:val="00E44C86"/>
    <w:rsid w:val="00E44F86"/>
    <w:rsid w:val="00E46FED"/>
    <w:rsid w:val="00E47C93"/>
    <w:rsid w:val="00E50282"/>
    <w:rsid w:val="00E50AB4"/>
    <w:rsid w:val="00E51319"/>
    <w:rsid w:val="00E51DF7"/>
    <w:rsid w:val="00E5228B"/>
    <w:rsid w:val="00E527DB"/>
    <w:rsid w:val="00E54C4B"/>
    <w:rsid w:val="00E559DF"/>
    <w:rsid w:val="00E55B23"/>
    <w:rsid w:val="00E55D8F"/>
    <w:rsid w:val="00E57629"/>
    <w:rsid w:val="00E610C9"/>
    <w:rsid w:val="00E656AD"/>
    <w:rsid w:val="00E65A50"/>
    <w:rsid w:val="00E6607B"/>
    <w:rsid w:val="00E66235"/>
    <w:rsid w:val="00E663F9"/>
    <w:rsid w:val="00E666E5"/>
    <w:rsid w:val="00E66B29"/>
    <w:rsid w:val="00E66F77"/>
    <w:rsid w:val="00E67B97"/>
    <w:rsid w:val="00E67D03"/>
    <w:rsid w:val="00E7057F"/>
    <w:rsid w:val="00E72FA7"/>
    <w:rsid w:val="00E73EA9"/>
    <w:rsid w:val="00E752AD"/>
    <w:rsid w:val="00E75654"/>
    <w:rsid w:val="00E75B2C"/>
    <w:rsid w:val="00E75B38"/>
    <w:rsid w:val="00E75F94"/>
    <w:rsid w:val="00E76008"/>
    <w:rsid w:val="00E76B54"/>
    <w:rsid w:val="00E77215"/>
    <w:rsid w:val="00E77A52"/>
    <w:rsid w:val="00E81096"/>
    <w:rsid w:val="00E82369"/>
    <w:rsid w:val="00E8334A"/>
    <w:rsid w:val="00E842CE"/>
    <w:rsid w:val="00E84868"/>
    <w:rsid w:val="00E84E39"/>
    <w:rsid w:val="00E85AF4"/>
    <w:rsid w:val="00E8625B"/>
    <w:rsid w:val="00E86CB0"/>
    <w:rsid w:val="00E86D8F"/>
    <w:rsid w:val="00E87EB8"/>
    <w:rsid w:val="00E87FC6"/>
    <w:rsid w:val="00E9041C"/>
    <w:rsid w:val="00E9289A"/>
    <w:rsid w:val="00E9380F"/>
    <w:rsid w:val="00E962AB"/>
    <w:rsid w:val="00E96A8C"/>
    <w:rsid w:val="00E96C16"/>
    <w:rsid w:val="00E977F7"/>
    <w:rsid w:val="00E97B77"/>
    <w:rsid w:val="00EA017F"/>
    <w:rsid w:val="00EA1DC8"/>
    <w:rsid w:val="00EA1EE7"/>
    <w:rsid w:val="00EA6EC3"/>
    <w:rsid w:val="00EA7195"/>
    <w:rsid w:val="00EB06FD"/>
    <w:rsid w:val="00EB0F9C"/>
    <w:rsid w:val="00EB1344"/>
    <w:rsid w:val="00EB2E3A"/>
    <w:rsid w:val="00EB35FA"/>
    <w:rsid w:val="00EB39FE"/>
    <w:rsid w:val="00EB465E"/>
    <w:rsid w:val="00EB4DAA"/>
    <w:rsid w:val="00EB5E9D"/>
    <w:rsid w:val="00EB73CC"/>
    <w:rsid w:val="00EB7E96"/>
    <w:rsid w:val="00EC0C05"/>
    <w:rsid w:val="00EC1793"/>
    <w:rsid w:val="00EC1F16"/>
    <w:rsid w:val="00EC2BB2"/>
    <w:rsid w:val="00EC34A7"/>
    <w:rsid w:val="00EC37B7"/>
    <w:rsid w:val="00EC3869"/>
    <w:rsid w:val="00EC3A2D"/>
    <w:rsid w:val="00EC597E"/>
    <w:rsid w:val="00EC5CCF"/>
    <w:rsid w:val="00EC61B0"/>
    <w:rsid w:val="00EC644E"/>
    <w:rsid w:val="00EC6A6B"/>
    <w:rsid w:val="00EC7770"/>
    <w:rsid w:val="00ED0147"/>
    <w:rsid w:val="00ED049B"/>
    <w:rsid w:val="00ED111D"/>
    <w:rsid w:val="00ED2302"/>
    <w:rsid w:val="00ED29E7"/>
    <w:rsid w:val="00ED3505"/>
    <w:rsid w:val="00ED3558"/>
    <w:rsid w:val="00ED3864"/>
    <w:rsid w:val="00ED4159"/>
    <w:rsid w:val="00ED54D8"/>
    <w:rsid w:val="00ED68CF"/>
    <w:rsid w:val="00ED6C0E"/>
    <w:rsid w:val="00ED7AC8"/>
    <w:rsid w:val="00ED7EFE"/>
    <w:rsid w:val="00EE0492"/>
    <w:rsid w:val="00EE0C82"/>
    <w:rsid w:val="00EE1534"/>
    <w:rsid w:val="00EE237A"/>
    <w:rsid w:val="00EE2A4F"/>
    <w:rsid w:val="00EE34EF"/>
    <w:rsid w:val="00EE5A30"/>
    <w:rsid w:val="00EE6069"/>
    <w:rsid w:val="00EF0A8E"/>
    <w:rsid w:val="00EF12F2"/>
    <w:rsid w:val="00EF1724"/>
    <w:rsid w:val="00EF1F91"/>
    <w:rsid w:val="00EF20B8"/>
    <w:rsid w:val="00EF22BD"/>
    <w:rsid w:val="00EF256F"/>
    <w:rsid w:val="00EF6275"/>
    <w:rsid w:val="00EF6585"/>
    <w:rsid w:val="00EF678A"/>
    <w:rsid w:val="00EF716E"/>
    <w:rsid w:val="00F01949"/>
    <w:rsid w:val="00F02CB9"/>
    <w:rsid w:val="00F03809"/>
    <w:rsid w:val="00F03A32"/>
    <w:rsid w:val="00F04A35"/>
    <w:rsid w:val="00F04ADB"/>
    <w:rsid w:val="00F05062"/>
    <w:rsid w:val="00F0534D"/>
    <w:rsid w:val="00F05B9E"/>
    <w:rsid w:val="00F05DC3"/>
    <w:rsid w:val="00F067BF"/>
    <w:rsid w:val="00F07575"/>
    <w:rsid w:val="00F07F7F"/>
    <w:rsid w:val="00F10FF0"/>
    <w:rsid w:val="00F10FF4"/>
    <w:rsid w:val="00F11B4C"/>
    <w:rsid w:val="00F124BA"/>
    <w:rsid w:val="00F165E9"/>
    <w:rsid w:val="00F16BA6"/>
    <w:rsid w:val="00F16EC4"/>
    <w:rsid w:val="00F206AF"/>
    <w:rsid w:val="00F22246"/>
    <w:rsid w:val="00F229B0"/>
    <w:rsid w:val="00F22B9C"/>
    <w:rsid w:val="00F23E61"/>
    <w:rsid w:val="00F25B1F"/>
    <w:rsid w:val="00F265D4"/>
    <w:rsid w:val="00F26C8C"/>
    <w:rsid w:val="00F2711C"/>
    <w:rsid w:val="00F27EEE"/>
    <w:rsid w:val="00F31FE9"/>
    <w:rsid w:val="00F33A57"/>
    <w:rsid w:val="00F34771"/>
    <w:rsid w:val="00F36CAF"/>
    <w:rsid w:val="00F405E9"/>
    <w:rsid w:val="00F40EE8"/>
    <w:rsid w:val="00F40EF5"/>
    <w:rsid w:val="00F42B25"/>
    <w:rsid w:val="00F43254"/>
    <w:rsid w:val="00F43504"/>
    <w:rsid w:val="00F44156"/>
    <w:rsid w:val="00F45483"/>
    <w:rsid w:val="00F463EC"/>
    <w:rsid w:val="00F4695A"/>
    <w:rsid w:val="00F46B83"/>
    <w:rsid w:val="00F47406"/>
    <w:rsid w:val="00F47754"/>
    <w:rsid w:val="00F50463"/>
    <w:rsid w:val="00F5087D"/>
    <w:rsid w:val="00F50ADE"/>
    <w:rsid w:val="00F51098"/>
    <w:rsid w:val="00F514E8"/>
    <w:rsid w:val="00F51E01"/>
    <w:rsid w:val="00F52049"/>
    <w:rsid w:val="00F529DC"/>
    <w:rsid w:val="00F550B4"/>
    <w:rsid w:val="00F552C8"/>
    <w:rsid w:val="00F557A2"/>
    <w:rsid w:val="00F567E2"/>
    <w:rsid w:val="00F5688F"/>
    <w:rsid w:val="00F568DF"/>
    <w:rsid w:val="00F569DA"/>
    <w:rsid w:val="00F60CFB"/>
    <w:rsid w:val="00F60EC2"/>
    <w:rsid w:val="00F61A69"/>
    <w:rsid w:val="00F61FC9"/>
    <w:rsid w:val="00F6216C"/>
    <w:rsid w:val="00F626C0"/>
    <w:rsid w:val="00F63B93"/>
    <w:rsid w:val="00F63C93"/>
    <w:rsid w:val="00F65265"/>
    <w:rsid w:val="00F6605B"/>
    <w:rsid w:val="00F6727F"/>
    <w:rsid w:val="00F6768B"/>
    <w:rsid w:val="00F6793C"/>
    <w:rsid w:val="00F724C1"/>
    <w:rsid w:val="00F7323D"/>
    <w:rsid w:val="00F75143"/>
    <w:rsid w:val="00F75B58"/>
    <w:rsid w:val="00F76A98"/>
    <w:rsid w:val="00F77317"/>
    <w:rsid w:val="00F773BD"/>
    <w:rsid w:val="00F7780D"/>
    <w:rsid w:val="00F778F6"/>
    <w:rsid w:val="00F8025E"/>
    <w:rsid w:val="00F80E21"/>
    <w:rsid w:val="00F83742"/>
    <w:rsid w:val="00F85FCE"/>
    <w:rsid w:val="00F860D7"/>
    <w:rsid w:val="00F862B6"/>
    <w:rsid w:val="00F86B5D"/>
    <w:rsid w:val="00F86EA2"/>
    <w:rsid w:val="00F8712E"/>
    <w:rsid w:val="00F90AD7"/>
    <w:rsid w:val="00F90D32"/>
    <w:rsid w:val="00F90F24"/>
    <w:rsid w:val="00F91421"/>
    <w:rsid w:val="00F91946"/>
    <w:rsid w:val="00F928CB"/>
    <w:rsid w:val="00F93099"/>
    <w:rsid w:val="00F93302"/>
    <w:rsid w:val="00F93732"/>
    <w:rsid w:val="00F94493"/>
    <w:rsid w:val="00F94658"/>
    <w:rsid w:val="00F94B6B"/>
    <w:rsid w:val="00F956B2"/>
    <w:rsid w:val="00F97008"/>
    <w:rsid w:val="00F972F7"/>
    <w:rsid w:val="00F97BC3"/>
    <w:rsid w:val="00F97C5F"/>
    <w:rsid w:val="00FA01C7"/>
    <w:rsid w:val="00FA0893"/>
    <w:rsid w:val="00FA1996"/>
    <w:rsid w:val="00FA22E7"/>
    <w:rsid w:val="00FA28F8"/>
    <w:rsid w:val="00FA5C0F"/>
    <w:rsid w:val="00FA758F"/>
    <w:rsid w:val="00FB0FED"/>
    <w:rsid w:val="00FB11AF"/>
    <w:rsid w:val="00FB25BE"/>
    <w:rsid w:val="00FB27FE"/>
    <w:rsid w:val="00FB309A"/>
    <w:rsid w:val="00FB65AE"/>
    <w:rsid w:val="00FB6687"/>
    <w:rsid w:val="00FB79A8"/>
    <w:rsid w:val="00FC0928"/>
    <w:rsid w:val="00FC0BED"/>
    <w:rsid w:val="00FC13E1"/>
    <w:rsid w:val="00FC1713"/>
    <w:rsid w:val="00FC1FDA"/>
    <w:rsid w:val="00FC26FB"/>
    <w:rsid w:val="00FC27C8"/>
    <w:rsid w:val="00FC4F76"/>
    <w:rsid w:val="00FC51F1"/>
    <w:rsid w:val="00FC55BC"/>
    <w:rsid w:val="00FC6526"/>
    <w:rsid w:val="00FC76D4"/>
    <w:rsid w:val="00FD0E2A"/>
    <w:rsid w:val="00FD1CF1"/>
    <w:rsid w:val="00FD1DF5"/>
    <w:rsid w:val="00FD3B5A"/>
    <w:rsid w:val="00FD3DE0"/>
    <w:rsid w:val="00FD46EA"/>
    <w:rsid w:val="00FD47C6"/>
    <w:rsid w:val="00FD6CDE"/>
    <w:rsid w:val="00FE0E23"/>
    <w:rsid w:val="00FE185B"/>
    <w:rsid w:val="00FE3547"/>
    <w:rsid w:val="00FE3A21"/>
    <w:rsid w:val="00FE3F80"/>
    <w:rsid w:val="00FE46DA"/>
    <w:rsid w:val="00FE4F5D"/>
    <w:rsid w:val="00FE64B6"/>
    <w:rsid w:val="00FE69C1"/>
    <w:rsid w:val="00FE74D6"/>
    <w:rsid w:val="00FF0112"/>
    <w:rsid w:val="00FF01C8"/>
    <w:rsid w:val="00FF0F4F"/>
    <w:rsid w:val="00FF1374"/>
    <w:rsid w:val="00FF185F"/>
    <w:rsid w:val="00FF4002"/>
    <w:rsid w:val="00FF5B33"/>
    <w:rsid w:val="00FF5FF5"/>
    <w:rsid w:val="00FF6229"/>
    <w:rsid w:val="00FF62E9"/>
    <w:rsid w:val="00FF6CE1"/>
    <w:rsid w:val="00FF7C77"/>
    <w:rsid w:val="010C299E"/>
    <w:rsid w:val="010D37F0"/>
    <w:rsid w:val="011473B7"/>
    <w:rsid w:val="01255120"/>
    <w:rsid w:val="01323E6E"/>
    <w:rsid w:val="01325A8F"/>
    <w:rsid w:val="0147778C"/>
    <w:rsid w:val="014C4DA3"/>
    <w:rsid w:val="016245C6"/>
    <w:rsid w:val="01711FD3"/>
    <w:rsid w:val="01714809"/>
    <w:rsid w:val="017240DE"/>
    <w:rsid w:val="01774918"/>
    <w:rsid w:val="01785B98"/>
    <w:rsid w:val="01817F46"/>
    <w:rsid w:val="01C81F50"/>
    <w:rsid w:val="020967F0"/>
    <w:rsid w:val="022A7F0F"/>
    <w:rsid w:val="02313F99"/>
    <w:rsid w:val="02722EF6"/>
    <w:rsid w:val="027A76EE"/>
    <w:rsid w:val="027B6259"/>
    <w:rsid w:val="0293624E"/>
    <w:rsid w:val="02B04EBD"/>
    <w:rsid w:val="02B50726"/>
    <w:rsid w:val="02D2230D"/>
    <w:rsid w:val="02D346A5"/>
    <w:rsid w:val="02DB07F8"/>
    <w:rsid w:val="02DE5EA2"/>
    <w:rsid w:val="02E37041"/>
    <w:rsid w:val="02E66B31"/>
    <w:rsid w:val="02F50E4A"/>
    <w:rsid w:val="02FA25DD"/>
    <w:rsid w:val="03305FFE"/>
    <w:rsid w:val="0374413D"/>
    <w:rsid w:val="037737F4"/>
    <w:rsid w:val="03824AAC"/>
    <w:rsid w:val="03AA4003"/>
    <w:rsid w:val="03B558F3"/>
    <w:rsid w:val="03C86237"/>
    <w:rsid w:val="03DE3B04"/>
    <w:rsid w:val="040F3E66"/>
    <w:rsid w:val="0413414A"/>
    <w:rsid w:val="041B70FE"/>
    <w:rsid w:val="0422003D"/>
    <w:rsid w:val="044043DC"/>
    <w:rsid w:val="04425538"/>
    <w:rsid w:val="04673CA2"/>
    <w:rsid w:val="047B3023"/>
    <w:rsid w:val="047B6996"/>
    <w:rsid w:val="047F61ED"/>
    <w:rsid w:val="049A3343"/>
    <w:rsid w:val="04D11AD7"/>
    <w:rsid w:val="04D22FB3"/>
    <w:rsid w:val="04E946B7"/>
    <w:rsid w:val="04FE70AB"/>
    <w:rsid w:val="051C683A"/>
    <w:rsid w:val="052C10A9"/>
    <w:rsid w:val="055528F0"/>
    <w:rsid w:val="055E50A5"/>
    <w:rsid w:val="056B6956"/>
    <w:rsid w:val="058F4143"/>
    <w:rsid w:val="05A4784B"/>
    <w:rsid w:val="05A562E3"/>
    <w:rsid w:val="05B56339"/>
    <w:rsid w:val="05C018BB"/>
    <w:rsid w:val="05C72C4A"/>
    <w:rsid w:val="05F638C8"/>
    <w:rsid w:val="05FE23E4"/>
    <w:rsid w:val="061905C0"/>
    <w:rsid w:val="06450013"/>
    <w:rsid w:val="067B3A34"/>
    <w:rsid w:val="06AE5BB8"/>
    <w:rsid w:val="06BB2083"/>
    <w:rsid w:val="06C53E93"/>
    <w:rsid w:val="06C929F2"/>
    <w:rsid w:val="06D97CFB"/>
    <w:rsid w:val="06DA60E2"/>
    <w:rsid w:val="06EE76F2"/>
    <w:rsid w:val="06F23CF7"/>
    <w:rsid w:val="06FE37AE"/>
    <w:rsid w:val="071C7A81"/>
    <w:rsid w:val="072234AF"/>
    <w:rsid w:val="07442078"/>
    <w:rsid w:val="07443B0C"/>
    <w:rsid w:val="0754230A"/>
    <w:rsid w:val="07550729"/>
    <w:rsid w:val="07632E46"/>
    <w:rsid w:val="077706A0"/>
    <w:rsid w:val="078C25A4"/>
    <w:rsid w:val="07A56FBB"/>
    <w:rsid w:val="07AA035F"/>
    <w:rsid w:val="07AC3908"/>
    <w:rsid w:val="07C37441"/>
    <w:rsid w:val="07C80EFB"/>
    <w:rsid w:val="08000695"/>
    <w:rsid w:val="08017436"/>
    <w:rsid w:val="080B5015"/>
    <w:rsid w:val="08332819"/>
    <w:rsid w:val="083E380C"/>
    <w:rsid w:val="087928DF"/>
    <w:rsid w:val="0895019D"/>
    <w:rsid w:val="089C1D46"/>
    <w:rsid w:val="089E3A0A"/>
    <w:rsid w:val="08A515BF"/>
    <w:rsid w:val="08AF79C5"/>
    <w:rsid w:val="08B374B6"/>
    <w:rsid w:val="08C828DA"/>
    <w:rsid w:val="091D0DD3"/>
    <w:rsid w:val="092263E9"/>
    <w:rsid w:val="09761187"/>
    <w:rsid w:val="09856DC1"/>
    <w:rsid w:val="09B44453"/>
    <w:rsid w:val="09C33728"/>
    <w:rsid w:val="09F91840"/>
    <w:rsid w:val="0A027D77"/>
    <w:rsid w:val="0A285C81"/>
    <w:rsid w:val="0A3B7763"/>
    <w:rsid w:val="0A3C34DB"/>
    <w:rsid w:val="0A41453F"/>
    <w:rsid w:val="0A466107"/>
    <w:rsid w:val="0A8F5D00"/>
    <w:rsid w:val="0ACB797B"/>
    <w:rsid w:val="0AFE2E9A"/>
    <w:rsid w:val="0B022976"/>
    <w:rsid w:val="0B045272"/>
    <w:rsid w:val="0B3B3792"/>
    <w:rsid w:val="0B4C6D47"/>
    <w:rsid w:val="0B6921E9"/>
    <w:rsid w:val="0B760878"/>
    <w:rsid w:val="0B7C0033"/>
    <w:rsid w:val="0B8D16CF"/>
    <w:rsid w:val="0BA25328"/>
    <w:rsid w:val="0BBA41DD"/>
    <w:rsid w:val="0BD75BB1"/>
    <w:rsid w:val="0BDC6D23"/>
    <w:rsid w:val="0BE34A57"/>
    <w:rsid w:val="0BF24799"/>
    <w:rsid w:val="0C08660B"/>
    <w:rsid w:val="0C2C5D00"/>
    <w:rsid w:val="0C3C5A14"/>
    <w:rsid w:val="0C460641"/>
    <w:rsid w:val="0C492379"/>
    <w:rsid w:val="0C825B1D"/>
    <w:rsid w:val="0C9144C5"/>
    <w:rsid w:val="0C9413AC"/>
    <w:rsid w:val="0CA84E57"/>
    <w:rsid w:val="0CB33F28"/>
    <w:rsid w:val="0CC51EAD"/>
    <w:rsid w:val="0CE153E4"/>
    <w:rsid w:val="0CE95B9C"/>
    <w:rsid w:val="0CF307C8"/>
    <w:rsid w:val="0D006A41"/>
    <w:rsid w:val="0D1B387B"/>
    <w:rsid w:val="0D270955"/>
    <w:rsid w:val="0D31309F"/>
    <w:rsid w:val="0D397A5A"/>
    <w:rsid w:val="0D3C216F"/>
    <w:rsid w:val="0D5374B9"/>
    <w:rsid w:val="0D6E422A"/>
    <w:rsid w:val="0D9553DC"/>
    <w:rsid w:val="0D9F6DA8"/>
    <w:rsid w:val="0DCB52A1"/>
    <w:rsid w:val="0DD26630"/>
    <w:rsid w:val="0DE743CD"/>
    <w:rsid w:val="0E056A05"/>
    <w:rsid w:val="0E176739"/>
    <w:rsid w:val="0E1A7433"/>
    <w:rsid w:val="0E1E0456"/>
    <w:rsid w:val="0E4D3F08"/>
    <w:rsid w:val="0E5D5EDE"/>
    <w:rsid w:val="0E6D45AA"/>
    <w:rsid w:val="0E8C2C83"/>
    <w:rsid w:val="0E8D07A9"/>
    <w:rsid w:val="0EAB6844"/>
    <w:rsid w:val="0EAD2BF9"/>
    <w:rsid w:val="0EAF4BC3"/>
    <w:rsid w:val="0EBA0B84"/>
    <w:rsid w:val="0EC54422"/>
    <w:rsid w:val="0EC57F06"/>
    <w:rsid w:val="0EC65655"/>
    <w:rsid w:val="0EC732F2"/>
    <w:rsid w:val="0F111B39"/>
    <w:rsid w:val="0F12612F"/>
    <w:rsid w:val="0F1747DD"/>
    <w:rsid w:val="0F286860"/>
    <w:rsid w:val="0F36499C"/>
    <w:rsid w:val="0F3F5F47"/>
    <w:rsid w:val="0F4C2CE3"/>
    <w:rsid w:val="0F584554"/>
    <w:rsid w:val="0FAE4E7B"/>
    <w:rsid w:val="0FB029A1"/>
    <w:rsid w:val="0FB14775"/>
    <w:rsid w:val="0FD7617F"/>
    <w:rsid w:val="0FDE6D6E"/>
    <w:rsid w:val="100E7AEA"/>
    <w:rsid w:val="101C64FB"/>
    <w:rsid w:val="10364B74"/>
    <w:rsid w:val="10537719"/>
    <w:rsid w:val="107B4D5D"/>
    <w:rsid w:val="109F34BE"/>
    <w:rsid w:val="109F3834"/>
    <w:rsid w:val="10A83678"/>
    <w:rsid w:val="10AB1EA2"/>
    <w:rsid w:val="10AF6FC2"/>
    <w:rsid w:val="10BF23F3"/>
    <w:rsid w:val="10D10435"/>
    <w:rsid w:val="11196324"/>
    <w:rsid w:val="1125116C"/>
    <w:rsid w:val="114A0BD3"/>
    <w:rsid w:val="115C2A8D"/>
    <w:rsid w:val="1169073B"/>
    <w:rsid w:val="117619C8"/>
    <w:rsid w:val="119B4F8B"/>
    <w:rsid w:val="11AA3420"/>
    <w:rsid w:val="11AF1F70"/>
    <w:rsid w:val="11D337D5"/>
    <w:rsid w:val="11F254F3"/>
    <w:rsid w:val="1204448A"/>
    <w:rsid w:val="12301B77"/>
    <w:rsid w:val="123C676E"/>
    <w:rsid w:val="124519FF"/>
    <w:rsid w:val="12641821"/>
    <w:rsid w:val="126A3EBE"/>
    <w:rsid w:val="127E6D86"/>
    <w:rsid w:val="128B4DFC"/>
    <w:rsid w:val="1290543C"/>
    <w:rsid w:val="129465AA"/>
    <w:rsid w:val="12BC165D"/>
    <w:rsid w:val="13052720"/>
    <w:rsid w:val="13243AC7"/>
    <w:rsid w:val="13286CF2"/>
    <w:rsid w:val="132D1D76"/>
    <w:rsid w:val="132E255A"/>
    <w:rsid w:val="13520775"/>
    <w:rsid w:val="13594830"/>
    <w:rsid w:val="135D01F2"/>
    <w:rsid w:val="136562BF"/>
    <w:rsid w:val="136D0135"/>
    <w:rsid w:val="137A336B"/>
    <w:rsid w:val="138419BE"/>
    <w:rsid w:val="138F28CD"/>
    <w:rsid w:val="13901E72"/>
    <w:rsid w:val="13AD4A8C"/>
    <w:rsid w:val="13C54541"/>
    <w:rsid w:val="13D87598"/>
    <w:rsid w:val="140D1987"/>
    <w:rsid w:val="141352AC"/>
    <w:rsid w:val="1417785C"/>
    <w:rsid w:val="142303B9"/>
    <w:rsid w:val="144F19AF"/>
    <w:rsid w:val="146A6A37"/>
    <w:rsid w:val="14897325"/>
    <w:rsid w:val="14950BEE"/>
    <w:rsid w:val="14A26C2E"/>
    <w:rsid w:val="14D64C58"/>
    <w:rsid w:val="14D7452C"/>
    <w:rsid w:val="14F25809"/>
    <w:rsid w:val="15113EE2"/>
    <w:rsid w:val="15121D75"/>
    <w:rsid w:val="15212641"/>
    <w:rsid w:val="152809A2"/>
    <w:rsid w:val="152A6D51"/>
    <w:rsid w:val="153B7F24"/>
    <w:rsid w:val="154F4A0A"/>
    <w:rsid w:val="15673B02"/>
    <w:rsid w:val="157C203B"/>
    <w:rsid w:val="15894C08"/>
    <w:rsid w:val="15962639"/>
    <w:rsid w:val="15D93E8A"/>
    <w:rsid w:val="15E11B06"/>
    <w:rsid w:val="15E6711C"/>
    <w:rsid w:val="16027CCE"/>
    <w:rsid w:val="160348E3"/>
    <w:rsid w:val="16223ECC"/>
    <w:rsid w:val="165A18B8"/>
    <w:rsid w:val="16661368"/>
    <w:rsid w:val="166D3E20"/>
    <w:rsid w:val="167209B0"/>
    <w:rsid w:val="168F32D1"/>
    <w:rsid w:val="16A12BD2"/>
    <w:rsid w:val="16AB1E30"/>
    <w:rsid w:val="16BE26F7"/>
    <w:rsid w:val="16BE59A3"/>
    <w:rsid w:val="16EA4F54"/>
    <w:rsid w:val="16FB3AF8"/>
    <w:rsid w:val="171952CF"/>
    <w:rsid w:val="171B2092"/>
    <w:rsid w:val="17224844"/>
    <w:rsid w:val="172C100C"/>
    <w:rsid w:val="172E1BCC"/>
    <w:rsid w:val="1742734F"/>
    <w:rsid w:val="17451C21"/>
    <w:rsid w:val="174C5D85"/>
    <w:rsid w:val="176249B0"/>
    <w:rsid w:val="176E0FB5"/>
    <w:rsid w:val="1783099B"/>
    <w:rsid w:val="17946704"/>
    <w:rsid w:val="17A14EC9"/>
    <w:rsid w:val="17AD1526"/>
    <w:rsid w:val="17B15508"/>
    <w:rsid w:val="17F3167D"/>
    <w:rsid w:val="17FD074D"/>
    <w:rsid w:val="182201B4"/>
    <w:rsid w:val="18397E11"/>
    <w:rsid w:val="184C6FDF"/>
    <w:rsid w:val="187571EE"/>
    <w:rsid w:val="18953E31"/>
    <w:rsid w:val="189B3AC2"/>
    <w:rsid w:val="18BA663E"/>
    <w:rsid w:val="18BE2429"/>
    <w:rsid w:val="18D019BE"/>
    <w:rsid w:val="18EE0096"/>
    <w:rsid w:val="18FF4051"/>
    <w:rsid w:val="19224D11"/>
    <w:rsid w:val="192561AE"/>
    <w:rsid w:val="193208CA"/>
    <w:rsid w:val="194505FE"/>
    <w:rsid w:val="195425EF"/>
    <w:rsid w:val="19717914"/>
    <w:rsid w:val="197B489F"/>
    <w:rsid w:val="1984627A"/>
    <w:rsid w:val="19BC5265"/>
    <w:rsid w:val="19E641DE"/>
    <w:rsid w:val="19EA71F3"/>
    <w:rsid w:val="19FB0CBC"/>
    <w:rsid w:val="1A037B71"/>
    <w:rsid w:val="1A1678A4"/>
    <w:rsid w:val="1A473F02"/>
    <w:rsid w:val="1A4C59BC"/>
    <w:rsid w:val="1A65289B"/>
    <w:rsid w:val="1A6709DF"/>
    <w:rsid w:val="1A6B7B1F"/>
    <w:rsid w:val="1A89276C"/>
    <w:rsid w:val="1AC76371"/>
    <w:rsid w:val="1AD21420"/>
    <w:rsid w:val="1ADF2321"/>
    <w:rsid w:val="1ADF3326"/>
    <w:rsid w:val="1AF2301C"/>
    <w:rsid w:val="1AFB2463"/>
    <w:rsid w:val="1AFB2EAF"/>
    <w:rsid w:val="1B28788F"/>
    <w:rsid w:val="1B380685"/>
    <w:rsid w:val="1B481CDF"/>
    <w:rsid w:val="1B596B36"/>
    <w:rsid w:val="1B7C5472"/>
    <w:rsid w:val="1B950C9D"/>
    <w:rsid w:val="1BA2295D"/>
    <w:rsid w:val="1BAC221C"/>
    <w:rsid w:val="1BAF0644"/>
    <w:rsid w:val="1BB27AA1"/>
    <w:rsid w:val="1BC50D52"/>
    <w:rsid w:val="1BD1139B"/>
    <w:rsid w:val="1BEE39EC"/>
    <w:rsid w:val="1BF252B9"/>
    <w:rsid w:val="1C112A19"/>
    <w:rsid w:val="1C392325"/>
    <w:rsid w:val="1C3A27DC"/>
    <w:rsid w:val="1C40184B"/>
    <w:rsid w:val="1C4353EA"/>
    <w:rsid w:val="1C68324D"/>
    <w:rsid w:val="1C962456"/>
    <w:rsid w:val="1CA613B3"/>
    <w:rsid w:val="1CA90EA4"/>
    <w:rsid w:val="1CC73A66"/>
    <w:rsid w:val="1CCB6900"/>
    <w:rsid w:val="1CD91614"/>
    <w:rsid w:val="1CF25144"/>
    <w:rsid w:val="1CF83CEA"/>
    <w:rsid w:val="1D092202"/>
    <w:rsid w:val="1D1C3424"/>
    <w:rsid w:val="1D1F2F14"/>
    <w:rsid w:val="1D433C0E"/>
    <w:rsid w:val="1D5C7CC4"/>
    <w:rsid w:val="1D6B3C60"/>
    <w:rsid w:val="1D6D1ED1"/>
    <w:rsid w:val="1D7A70B9"/>
    <w:rsid w:val="1D921938"/>
    <w:rsid w:val="1DA022A7"/>
    <w:rsid w:val="1DA76E45"/>
    <w:rsid w:val="1DBE15CC"/>
    <w:rsid w:val="1DDC7057"/>
    <w:rsid w:val="1DE2789B"/>
    <w:rsid w:val="1DEB137F"/>
    <w:rsid w:val="1E076B7D"/>
    <w:rsid w:val="1E0F2F88"/>
    <w:rsid w:val="1E215E3C"/>
    <w:rsid w:val="1E29384E"/>
    <w:rsid w:val="1E3649B9"/>
    <w:rsid w:val="1E707ECB"/>
    <w:rsid w:val="1E9F671C"/>
    <w:rsid w:val="1EC04283"/>
    <w:rsid w:val="1F145A4E"/>
    <w:rsid w:val="1F2760B0"/>
    <w:rsid w:val="1F3F3C3D"/>
    <w:rsid w:val="1F787D1E"/>
    <w:rsid w:val="1FA0658E"/>
    <w:rsid w:val="1FA2090B"/>
    <w:rsid w:val="1FC33368"/>
    <w:rsid w:val="1FC7786D"/>
    <w:rsid w:val="1FCF0C21"/>
    <w:rsid w:val="1FF57F09"/>
    <w:rsid w:val="2001731C"/>
    <w:rsid w:val="20273627"/>
    <w:rsid w:val="202A40A9"/>
    <w:rsid w:val="207E482E"/>
    <w:rsid w:val="20871CD3"/>
    <w:rsid w:val="20876D11"/>
    <w:rsid w:val="208C7C5F"/>
    <w:rsid w:val="20A57BD4"/>
    <w:rsid w:val="20DB7F42"/>
    <w:rsid w:val="20E446AB"/>
    <w:rsid w:val="2100305C"/>
    <w:rsid w:val="211F34E2"/>
    <w:rsid w:val="213D1BBA"/>
    <w:rsid w:val="21477EC2"/>
    <w:rsid w:val="216E430F"/>
    <w:rsid w:val="21723F5A"/>
    <w:rsid w:val="218E201B"/>
    <w:rsid w:val="219C7309"/>
    <w:rsid w:val="21C83A5E"/>
    <w:rsid w:val="222D60D3"/>
    <w:rsid w:val="22372AAE"/>
    <w:rsid w:val="22714212"/>
    <w:rsid w:val="22732625"/>
    <w:rsid w:val="227B15AA"/>
    <w:rsid w:val="228956B5"/>
    <w:rsid w:val="22910410"/>
    <w:rsid w:val="22A53EBB"/>
    <w:rsid w:val="22A932F9"/>
    <w:rsid w:val="22B1460E"/>
    <w:rsid w:val="22B934C3"/>
    <w:rsid w:val="22EE4F45"/>
    <w:rsid w:val="22EE5862"/>
    <w:rsid w:val="22FD782D"/>
    <w:rsid w:val="23040ECE"/>
    <w:rsid w:val="23184F83"/>
    <w:rsid w:val="23244DE0"/>
    <w:rsid w:val="234A5951"/>
    <w:rsid w:val="235E2F38"/>
    <w:rsid w:val="237532AE"/>
    <w:rsid w:val="239501B4"/>
    <w:rsid w:val="239B0E1A"/>
    <w:rsid w:val="23A44173"/>
    <w:rsid w:val="23A90725"/>
    <w:rsid w:val="23BC0287"/>
    <w:rsid w:val="23BE6C76"/>
    <w:rsid w:val="23CB6BBC"/>
    <w:rsid w:val="23DF3274"/>
    <w:rsid w:val="23F95523"/>
    <w:rsid w:val="240A00EB"/>
    <w:rsid w:val="242D4168"/>
    <w:rsid w:val="2439314D"/>
    <w:rsid w:val="244D67C8"/>
    <w:rsid w:val="246A0F18"/>
    <w:rsid w:val="248B40DD"/>
    <w:rsid w:val="248D4C07"/>
    <w:rsid w:val="24A51F50"/>
    <w:rsid w:val="24BF6B07"/>
    <w:rsid w:val="24C0322E"/>
    <w:rsid w:val="24D80578"/>
    <w:rsid w:val="24E31B1A"/>
    <w:rsid w:val="24F320C9"/>
    <w:rsid w:val="24F80647"/>
    <w:rsid w:val="24F905B4"/>
    <w:rsid w:val="24FF6042"/>
    <w:rsid w:val="251D5F8B"/>
    <w:rsid w:val="25405280"/>
    <w:rsid w:val="25487995"/>
    <w:rsid w:val="254A5A35"/>
    <w:rsid w:val="25553B78"/>
    <w:rsid w:val="25780CA3"/>
    <w:rsid w:val="25987D07"/>
    <w:rsid w:val="25B26EF0"/>
    <w:rsid w:val="25B64840"/>
    <w:rsid w:val="25F25669"/>
    <w:rsid w:val="260333D3"/>
    <w:rsid w:val="261E49C3"/>
    <w:rsid w:val="26321F0A"/>
    <w:rsid w:val="265979B6"/>
    <w:rsid w:val="265A320F"/>
    <w:rsid w:val="266A7053"/>
    <w:rsid w:val="267E0CAB"/>
    <w:rsid w:val="26D7660D"/>
    <w:rsid w:val="26DC0EAD"/>
    <w:rsid w:val="26E01966"/>
    <w:rsid w:val="27066D5D"/>
    <w:rsid w:val="27082C6B"/>
    <w:rsid w:val="271F37F7"/>
    <w:rsid w:val="272623C3"/>
    <w:rsid w:val="27377336"/>
    <w:rsid w:val="274E68CF"/>
    <w:rsid w:val="2758774E"/>
    <w:rsid w:val="275A6A08"/>
    <w:rsid w:val="276369C9"/>
    <w:rsid w:val="27637EA1"/>
    <w:rsid w:val="27734377"/>
    <w:rsid w:val="2775448E"/>
    <w:rsid w:val="27AC5D76"/>
    <w:rsid w:val="27B801ED"/>
    <w:rsid w:val="27D17500"/>
    <w:rsid w:val="27DF5779"/>
    <w:rsid w:val="27E0754F"/>
    <w:rsid w:val="27E86D24"/>
    <w:rsid w:val="28072F22"/>
    <w:rsid w:val="282B45DC"/>
    <w:rsid w:val="282D4482"/>
    <w:rsid w:val="284D302B"/>
    <w:rsid w:val="289357A5"/>
    <w:rsid w:val="289D1501"/>
    <w:rsid w:val="28A349F9"/>
    <w:rsid w:val="28AF15F0"/>
    <w:rsid w:val="28C72DDD"/>
    <w:rsid w:val="28C917BD"/>
    <w:rsid w:val="28DC0EB9"/>
    <w:rsid w:val="28DF17A9"/>
    <w:rsid w:val="29107EF8"/>
    <w:rsid w:val="291E3518"/>
    <w:rsid w:val="29210E84"/>
    <w:rsid w:val="293304FB"/>
    <w:rsid w:val="29654899"/>
    <w:rsid w:val="29791BFE"/>
    <w:rsid w:val="29843362"/>
    <w:rsid w:val="299710C1"/>
    <w:rsid w:val="299E2FD9"/>
    <w:rsid w:val="29A96399"/>
    <w:rsid w:val="29C8077F"/>
    <w:rsid w:val="29CA4207"/>
    <w:rsid w:val="29E97D3D"/>
    <w:rsid w:val="29F34B17"/>
    <w:rsid w:val="29FA2C50"/>
    <w:rsid w:val="2A0E0598"/>
    <w:rsid w:val="2A1060BE"/>
    <w:rsid w:val="2A133292"/>
    <w:rsid w:val="2A213641"/>
    <w:rsid w:val="2A273408"/>
    <w:rsid w:val="2A2846EE"/>
    <w:rsid w:val="2A900FAD"/>
    <w:rsid w:val="2A930A9D"/>
    <w:rsid w:val="2AA47BB8"/>
    <w:rsid w:val="2AAE3A4E"/>
    <w:rsid w:val="2ACB2699"/>
    <w:rsid w:val="2AF4778E"/>
    <w:rsid w:val="2B0A1143"/>
    <w:rsid w:val="2B1D3441"/>
    <w:rsid w:val="2B34402E"/>
    <w:rsid w:val="2B4641E9"/>
    <w:rsid w:val="2B612949"/>
    <w:rsid w:val="2B66245D"/>
    <w:rsid w:val="2B6C7C6C"/>
    <w:rsid w:val="2B9176D3"/>
    <w:rsid w:val="2B936FA7"/>
    <w:rsid w:val="2B996587"/>
    <w:rsid w:val="2BEE242F"/>
    <w:rsid w:val="2BFD1C8E"/>
    <w:rsid w:val="2BFE6E61"/>
    <w:rsid w:val="2C0E2AD1"/>
    <w:rsid w:val="2C453F9C"/>
    <w:rsid w:val="2C4958B7"/>
    <w:rsid w:val="2C4C3D54"/>
    <w:rsid w:val="2C4E15A2"/>
    <w:rsid w:val="2C892EEA"/>
    <w:rsid w:val="2C9E1DAA"/>
    <w:rsid w:val="2CAB6F47"/>
    <w:rsid w:val="2CBE35D8"/>
    <w:rsid w:val="2CCD158A"/>
    <w:rsid w:val="2CDC2BCF"/>
    <w:rsid w:val="2CE11F94"/>
    <w:rsid w:val="2CE51A84"/>
    <w:rsid w:val="2D145EC5"/>
    <w:rsid w:val="2D2A56E9"/>
    <w:rsid w:val="2D406CBA"/>
    <w:rsid w:val="2D5335BB"/>
    <w:rsid w:val="2D670A89"/>
    <w:rsid w:val="2D684463"/>
    <w:rsid w:val="2D6F134E"/>
    <w:rsid w:val="2D7778A2"/>
    <w:rsid w:val="2D7C214E"/>
    <w:rsid w:val="2D8D3B25"/>
    <w:rsid w:val="2D964B2C"/>
    <w:rsid w:val="2D9B2143"/>
    <w:rsid w:val="2DA30439"/>
    <w:rsid w:val="2DA52FC1"/>
    <w:rsid w:val="2DA53720"/>
    <w:rsid w:val="2DBB7CF3"/>
    <w:rsid w:val="2DD03097"/>
    <w:rsid w:val="2DD90EBD"/>
    <w:rsid w:val="2E3507E9"/>
    <w:rsid w:val="2E4427DA"/>
    <w:rsid w:val="2E4C52CA"/>
    <w:rsid w:val="2E51362F"/>
    <w:rsid w:val="2E734E6D"/>
    <w:rsid w:val="2E781406"/>
    <w:rsid w:val="2E8928E3"/>
    <w:rsid w:val="2ECD499D"/>
    <w:rsid w:val="2EDE38E8"/>
    <w:rsid w:val="2EE63891"/>
    <w:rsid w:val="2EE90A29"/>
    <w:rsid w:val="2F19457D"/>
    <w:rsid w:val="2F2F5238"/>
    <w:rsid w:val="2F3D2FF9"/>
    <w:rsid w:val="2F633B47"/>
    <w:rsid w:val="2F6F7579"/>
    <w:rsid w:val="2F803CE6"/>
    <w:rsid w:val="2FC811E9"/>
    <w:rsid w:val="2FDD4C94"/>
    <w:rsid w:val="2FFB1E92"/>
    <w:rsid w:val="302D729E"/>
    <w:rsid w:val="30352B1A"/>
    <w:rsid w:val="303643A5"/>
    <w:rsid w:val="30433A93"/>
    <w:rsid w:val="304E5B92"/>
    <w:rsid w:val="305331A8"/>
    <w:rsid w:val="30817D16"/>
    <w:rsid w:val="308E4678"/>
    <w:rsid w:val="30A30434"/>
    <w:rsid w:val="30A65028"/>
    <w:rsid w:val="30D75B88"/>
    <w:rsid w:val="30EE2ED1"/>
    <w:rsid w:val="30FC55EE"/>
    <w:rsid w:val="313528AE"/>
    <w:rsid w:val="3135465C"/>
    <w:rsid w:val="31392F94"/>
    <w:rsid w:val="313B05AF"/>
    <w:rsid w:val="31415B72"/>
    <w:rsid w:val="314B20D2"/>
    <w:rsid w:val="31781E8C"/>
    <w:rsid w:val="318D77E8"/>
    <w:rsid w:val="31AA4585"/>
    <w:rsid w:val="31B32C77"/>
    <w:rsid w:val="31C206FD"/>
    <w:rsid w:val="31C36BC4"/>
    <w:rsid w:val="31CB6D6E"/>
    <w:rsid w:val="31FD7870"/>
    <w:rsid w:val="3200597D"/>
    <w:rsid w:val="320F6600"/>
    <w:rsid w:val="3253235A"/>
    <w:rsid w:val="32891103"/>
    <w:rsid w:val="32894C60"/>
    <w:rsid w:val="3293788C"/>
    <w:rsid w:val="32AF6E4E"/>
    <w:rsid w:val="32B43608"/>
    <w:rsid w:val="32B56658"/>
    <w:rsid w:val="32F834E1"/>
    <w:rsid w:val="331566E2"/>
    <w:rsid w:val="331871FA"/>
    <w:rsid w:val="331C1F78"/>
    <w:rsid w:val="334D2131"/>
    <w:rsid w:val="335B643D"/>
    <w:rsid w:val="336A7052"/>
    <w:rsid w:val="33AB5266"/>
    <w:rsid w:val="33B43F5E"/>
    <w:rsid w:val="33BE6B8B"/>
    <w:rsid w:val="33D75E9F"/>
    <w:rsid w:val="34056568"/>
    <w:rsid w:val="340824FC"/>
    <w:rsid w:val="340C0ABA"/>
    <w:rsid w:val="340F388A"/>
    <w:rsid w:val="342033A2"/>
    <w:rsid w:val="342717FA"/>
    <w:rsid w:val="342E2D95"/>
    <w:rsid w:val="343A1AA0"/>
    <w:rsid w:val="344C0595"/>
    <w:rsid w:val="34605E94"/>
    <w:rsid w:val="347253F1"/>
    <w:rsid w:val="34954A09"/>
    <w:rsid w:val="34EA39B0"/>
    <w:rsid w:val="34F65339"/>
    <w:rsid w:val="35047F97"/>
    <w:rsid w:val="3513521D"/>
    <w:rsid w:val="353B1EBC"/>
    <w:rsid w:val="35415CC5"/>
    <w:rsid w:val="354945A6"/>
    <w:rsid w:val="356D1377"/>
    <w:rsid w:val="35854AE6"/>
    <w:rsid w:val="35A55BCA"/>
    <w:rsid w:val="35B11194"/>
    <w:rsid w:val="35B340DD"/>
    <w:rsid w:val="35B71AE4"/>
    <w:rsid w:val="35D01E45"/>
    <w:rsid w:val="362D1DA6"/>
    <w:rsid w:val="36344B3E"/>
    <w:rsid w:val="36372C24"/>
    <w:rsid w:val="36390214"/>
    <w:rsid w:val="3652180C"/>
    <w:rsid w:val="36654085"/>
    <w:rsid w:val="366C6D72"/>
    <w:rsid w:val="36716B82"/>
    <w:rsid w:val="367C6FA7"/>
    <w:rsid w:val="3699743B"/>
    <w:rsid w:val="369F69CA"/>
    <w:rsid w:val="36A22794"/>
    <w:rsid w:val="36E36908"/>
    <w:rsid w:val="36F17277"/>
    <w:rsid w:val="37137803"/>
    <w:rsid w:val="375A12C0"/>
    <w:rsid w:val="375C6DE7"/>
    <w:rsid w:val="376D5B0D"/>
    <w:rsid w:val="37723458"/>
    <w:rsid w:val="37785474"/>
    <w:rsid w:val="37837646"/>
    <w:rsid w:val="37922808"/>
    <w:rsid w:val="37B7401D"/>
    <w:rsid w:val="37BC5AD7"/>
    <w:rsid w:val="37D311BE"/>
    <w:rsid w:val="37D379C3"/>
    <w:rsid w:val="38230A85"/>
    <w:rsid w:val="38404012"/>
    <w:rsid w:val="38471845"/>
    <w:rsid w:val="384B7432"/>
    <w:rsid w:val="38687147"/>
    <w:rsid w:val="388303A3"/>
    <w:rsid w:val="388365F5"/>
    <w:rsid w:val="38855EC9"/>
    <w:rsid w:val="388E71DA"/>
    <w:rsid w:val="38B76C24"/>
    <w:rsid w:val="38B95544"/>
    <w:rsid w:val="38BB7B3D"/>
    <w:rsid w:val="38C203B4"/>
    <w:rsid w:val="38F17A02"/>
    <w:rsid w:val="38FB262F"/>
    <w:rsid w:val="390C65EA"/>
    <w:rsid w:val="39194863"/>
    <w:rsid w:val="393618B9"/>
    <w:rsid w:val="394418E0"/>
    <w:rsid w:val="394502F2"/>
    <w:rsid w:val="397D74B9"/>
    <w:rsid w:val="398048E2"/>
    <w:rsid w:val="39843AD1"/>
    <w:rsid w:val="39900FC9"/>
    <w:rsid w:val="39904B26"/>
    <w:rsid w:val="399860D0"/>
    <w:rsid w:val="39B822CE"/>
    <w:rsid w:val="39E71123"/>
    <w:rsid w:val="3A1A6B47"/>
    <w:rsid w:val="3A1C0AAF"/>
    <w:rsid w:val="3A4F01E6"/>
    <w:rsid w:val="3A5169AB"/>
    <w:rsid w:val="3A7176B4"/>
    <w:rsid w:val="3A7A4997"/>
    <w:rsid w:val="3A884D57"/>
    <w:rsid w:val="3A9254CC"/>
    <w:rsid w:val="3A9C76A1"/>
    <w:rsid w:val="3AE71449"/>
    <w:rsid w:val="3AED7D56"/>
    <w:rsid w:val="3B0A0908"/>
    <w:rsid w:val="3B0A6B5A"/>
    <w:rsid w:val="3B190B4B"/>
    <w:rsid w:val="3B4756B8"/>
    <w:rsid w:val="3B5953EB"/>
    <w:rsid w:val="3B7223D4"/>
    <w:rsid w:val="3B842468"/>
    <w:rsid w:val="3BAC7A40"/>
    <w:rsid w:val="3BC7662E"/>
    <w:rsid w:val="3BCB2689"/>
    <w:rsid w:val="3BCF4FEC"/>
    <w:rsid w:val="3BF13876"/>
    <w:rsid w:val="3BFF41E4"/>
    <w:rsid w:val="3C237D2E"/>
    <w:rsid w:val="3C3A6FCB"/>
    <w:rsid w:val="3C430575"/>
    <w:rsid w:val="3C5F2ED5"/>
    <w:rsid w:val="3CA56B3A"/>
    <w:rsid w:val="3CAB68B6"/>
    <w:rsid w:val="3CEF2D59"/>
    <w:rsid w:val="3CFE624A"/>
    <w:rsid w:val="3D1837B0"/>
    <w:rsid w:val="3D250042"/>
    <w:rsid w:val="3D6267D9"/>
    <w:rsid w:val="3D65497F"/>
    <w:rsid w:val="3DAE1A1E"/>
    <w:rsid w:val="3DB124E1"/>
    <w:rsid w:val="3DB741D2"/>
    <w:rsid w:val="3DC91483"/>
    <w:rsid w:val="3DE56543"/>
    <w:rsid w:val="3DF7194C"/>
    <w:rsid w:val="3DFC6C2D"/>
    <w:rsid w:val="3E044368"/>
    <w:rsid w:val="3E0E18D5"/>
    <w:rsid w:val="3E1D4DF6"/>
    <w:rsid w:val="3E345388"/>
    <w:rsid w:val="3E4923C6"/>
    <w:rsid w:val="3E546A69"/>
    <w:rsid w:val="3E7569E0"/>
    <w:rsid w:val="3E7E3AE6"/>
    <w:rsid w:val="3EA74DBF"/>
    <w:rsid w:val="3EA74F13"/>
    <w:rsid w:val="3ED26777"/>
    <w:rsid w:val="3F1A40AA"/>
    <w:rsid w:val="3F2F6B8F"/>
    <w:rsid w:val="3F316DAB"/>
    <w:rsid w:val="3F386405"/>
    <w:rsid w:val="3F8213B4"/>
    <w:rsid w:val="3FA07A8C"/>
    <w:rsid w:val="3FCB1F18"/>
    <w:rsid w:val="3FE616DC"/>
    <w:rsid w:val="3FE63AE9"/>
    <w:rsid w:val="3FF22C1F"/>
    <w:rsid w:val="400C0BB3"/>
    <w:rsid w:val="403326AF"/>
    <w:rsid w:val="404D1BDE"/>
    <w:rsid w:val="40525844"/>
    <w:rsid w:val="405A76CC"/>
    <w:rsid w:val="405C3814"/>
    <w:rsid w:val="4074740A"/>
    <w:rsid w:val="409C64A6"/>
    <w:rsid w:val="40A51F86"/>
    <w:rsid w:val="40B76E3C"/>
    <w:rsid w:val="40E165AE"/>
    <w:rsid w:val="40EF3EA0"/>
    <w:rsid w:val="40F63E08"/>
    <w:rsid w:val="41341CAF"/>
    <w:rsid w:val="4142704D"/>
    <w:rsid w:val="414C1C7A"/>
    <w:rsid w:val="41524DB6"/>
    <w:rsid w:val="41771541"/>
    <w:rsid w:val="41A16BEC"/>
    <w:rsid w:val="41CF6896"/>
    <w:rsid w:val="41D37CA5"/>
    <w:rsid w:val="41EA69A6"/>
    <w:rsid w:val="41F12821"/>
    <w:rsid w:val="42100EF9"/>
    <w:rsid w:val="421D396C"/>
    <w:rsid w:val="421F2EEA"/>
    <w:rsid w:val="422C6571"/>
    <w:rsid w:val="42380450"/>
    <w:rsid w:val="423B3B33"/>
    <w:rsid w:val="42642FF3"/>
    <w:rsid w:val="42674891"/>
    <w:rsid w:val="426810C2"/>
    <w:rsid w:val="428365DA"/>
    <w:rsid w:val="42B07FE6"/>
    <w:rsid w:val="42B23D5F"/>
    <w:rsid w:val="42B3220B"/>
    <w:rsid w:val="42C1320E"/>
    <w:rsid w:val="42E44134"/>
    <w:rsid w:val="42E8403D"/>
    <w:rsid w:val="42F411DD"/>
    <w:rsid w:val="43093A2D"/>
    <w:rsid w:val="43104F29"/>
    <w:rsid w:val="431F6F1A"/>
    <w:rsid w:val="432E715D"/>
    <w:rsid w:val="43394480"/>
    <w:rsid w:val="433A2942"/>
    <w:rsid w:val="433B1FA6"/>
    <w:rsid w:val="43456981"/>
    <w:rsid w:val="43653619"/>
    <w:rsid w:val="43827BD5"/>
    <w:rsid w:val="43852AB7"/>
    <w:rsid w:val="43880F25"/>
    <w:rsid w:val="43ED0628"/>
    <w:rsid w:val="43F3462F"/>
    <w:rsid w:val="440663BD"/>
    <w:rsid w:val="44265081"/>
    <w:rsid w:val="447135BD"/>
    <w:rsid w:val="448B4867"/>
    <w:rsid w:val="44AE0556"/>
    <w:rsid w:val="44AF59AA"/>
    <w:rsid w:val="44B268C1"/>
    <w:rsid w:val="44BF09B5"/>
    <w:rsid w:val="44C71617"/>
    <w:rsid w:val="44CE0BF8"/>
    <w:rsid w:val="44E53793"/>
    <w:rsid w:val="44EE129A"/>
    <w:rsid w:val="44F16BE0"/>
    <w:rsid w:val="45120AE5"/>
    <w:rsid w:val="455C6204"/>
    <w:rsid w:val="45631704"/>
    <w:rsid w:val="458903FC"/>
    <w:rsid w:val="459534C4"/>
    <w:rsid w:val="45E2495B"/>
    <w:rsid w:val="45EE5580"/>
    <w:rsid w:val="4604068C"/>
    <w:rsid w:val="46581214"/>
    <w:rsid w:val="465D0485"/>
    <w:rsid w:val="468F7CE5"/>
    <w:rsid w:val="46BA58D8"/>
    <w:rsid w:val="46BC1893"/>
    <w:rsid w:val="46BC778C"/>
    <w:rsid w:val="46CC37DE"/>
    <w:rsid w:val="46E82445"/>
    <w:rsid w:val="46EF3BBC"/>
    <w:rsid w:val="47096B79"/>
    <w:rsid w:val="47157FC3"/>
    <w:rsid w:val="471D19C3"/>
    <w:rsid w:val="4729480B"/>
    <w:rsid w:val="472E3BD0"/>
    <w:rsid w:val="473311E6"/>
    <w:rsid w:val="473C4D24"/>
    <w:rsid w:val="475E44B5"/>
    <w:rsid w:val="47694DF0"/>
    <w:rsid w:val="476F5330"/>
    <w:rsid w:val="477041E8"/>
    <w:rsid w:val="47721377"/>
    <w:rsid w:val="47A9561C"/>
    <w:rsid w:val="47AB41F2"/>
    <w:rsid w:val="47CA1F9B"/>
    <w:rsid w:val="47E95570"/>
    <w:rsid w:val="47EC7CE9"/>
    <w:rsid w:val="47F60B91"/>
    <w:rsid w:val="48100774"/>
    <w:rsid w:val="481B23A6"/>
    <w:rsid w:val="48315726"/>
    <w:rsid w:val="483C349D"/>
    <w:rsid w:val="484C27CE"/>
    <w:rsid w:val="48675F0E"/>
    <w:rsid w:val="486C0E54"/>
    <w:rsid w:val="487B1097"/>
    <w:rsid w:val="4891382A"/>
    <w:rsid w:val="489A2C9E"/>
    <w:rsid w:val="489C75A0"/>
    <w:rsid w:val="48C93BB0"/>
    <w:rsid w:val="48CC36A0"/>
    <w:rsid w:val="48CE664D"/>
    <w:rsid w:val="49127B66"/>
    <w:rsid w:val="4921664A"/>
    <w:rsid w:val="49302F0F"/>
    <w:rsid w:val="494F5AAB"/>
    <w:rsid w:val="497955D6"/>
    <w:rsid w:val="497F6965"/>
    <w:rsid w:val="49805491"/>
    <w:rsid w:val="498C2BBE"/>
    <w:rsid w:val="49B02596"/>
    <w:rsid w:val="49BC1967"/>
    <w:rsid w:val="49C10790"/>
    <w:rsid w:val="49D071C0"/>
    <w:rsid w:val="49D46202"/>
    <w:rsid w:val="49FB248F"/>
    <w:rsid w:val="4A021105"/>
    <w:rsid w:val="4A17094B"/>
    <w:rsid w:val="4A25750C"/>
    <w:rsid w:val="4A513E5D"/>
    <w:rsid w:val="4A546F5A"/>
    <w:rsid w:val="4A5D51F1"/>
    <w:rsid w:val="4A64235F"/>
    <w:rsid w:val="4A7B35D0"/>
    <w:rsid w:val="4A9D70A2"/>
    <w:rsid w:val="4AAA17BF"/>
    <w:rsid w:val="4ABE526B"/>
    <w:rsid w:val="4AD000B9"/>
    <w:rsid w:val="4B0950C5"/>
    <w:rsid w:val="4B4E2A92"/>
    <w:rsid w:val="4B59328B"/>
    <w:rsid w:val="4B906C07"/>
    <w:rsid w:val="4B9B7534"/>
    <w:rsid w:val="4BB01057"/>
    <w:rsid w:val="4BCC3B39"/>
    <w:rsid w:val="4BD061D0"/>
    <w:rsid w:val="4BF9250F"/>
    <w:rsid w:val="4C0070ED"/>
    <w:rsid w:val="4C143394"/>
    <w:rsid w:val="4C325F10"/>
    <w:rsid w:val="4C4C72B9"/>
    <w:rsid w:val="4C856040"/>
    <w:rsid w:val="4C902266"/>
    <w:rsid w:val="4C9B15B0"/>
    <w:rsid w:val="4CAB5124"/>
    <w:rsid w:val="4CBE6047"/>
    <w:rsid w:val="4CDD40CE"/>
    <w:rsid w:val="4CE70AA9"/>
    <w:rsid w:val="4CF526B4"/>
    <w:rsid w:val="4CFA6A2E"/>
    <w:rsid w:val="4D1B3E0F"/>
    <w:rsid w:val="4D241CFD"/>
    <w:rsid w:val="4D3F6B37"/>
    <w:rsid w:val="4D4C308F"/>
    <w:rsid w:val="4D5C1497"/>
    <w:rsid w:val="4D751BE7"/>
    <w:rsid w:val="4D7C5695"/>
    <w:rsid w:val="4DD728CB"/>
    <w:rsid w:val="4DE33C9A"/>
    <w:rsid w:val="4DE44FE8"/>
    <w:rsid w:val="4DF571F5"/>
    <w:rsid w:val="4DF6495C"/>
    <w:rsid w:val="4E057946"/>
    <w:rsid w:val="4E225197"/>
    <w:rsid w:val="4E2D2E33"/>
    <w:rsid w:val="4E311B8B"/>
    <w:rsid w:val="4E31540D"/>
    <w:rsid w:val="4E5E123E"/>
    <w:rsid w:val="4E662786"/>
    <w:rsid w:val="4E6E54A9"/>
    <w:rsid w:val="4E747709"/>
    <w:rsid w:val="4E7E3DFA"/>
    <w:rsid w:val="4E8D742E"/>
    <w:rsid w:val="4E9129D2"/>
    <w:rsid w:val="4EA01857"/>
    <w:rsid w:val="4EA34EA3"/>
    <w:rsid w:val="4EAC1FAA"/>
    <w:rsid w:val="4EBC63CA"/>
    <w:rsid w:val="4ECD1F20"/>
    <w:rsid w:val="4EDF75D0"/>
    <w:rsid w:val="4EEE499B"/>
    <w:rsid w:val="4EFC5B2C"/>
    <w:rsid w:val="4F041DE6"/>
    <w:rsid w:val="4F3D2C02"/>
    <w:rsid w:val="4F6F03A8"/>
    <w:rsid w:val="4F80586C"/>
    <w:rsid w:val="4F893A3A"/>
    <w:rsid w:val="4FBF6032"/>
    <w:rsid w:val="4FC93269"/>
    <w:rsid w:val="4FD35314"/>
    <w:rsid w:val="4FF40D50"/>
    <w:rsid w:val="5014722C"/>
    <w:rsid w:val="50153B7F"/>
    <w:rsid w:val="50302320"/>
    <w:rsid w:val="50493828"/>
    <w:rsid w:val="504E7F51"/>
    <w:rsid w:val="50516697"/>
    <w:rsid w:val="50594A98"/>
    <w:rsid w:val="50614E0C"/>
    <w:rsid w:val="50964BCC"/>
    <w:rsid w:val="50B22B68"/>
    <w:rsid w:val="50B61A8D"/>
    <w:rsid w:val="50BE468A"/>
    <w:rsid w:val="50CF01D2"/>
    <w:rsid w:val="50E800E3"/>
    <w:rsid w:val="50F11EF6"/>
    <w:rsid w:val="510D3E11"/>
    <w:rsid w:val="51167BAE"/>
    <w:rsid w:val="51373CF8"/>
    <w:rsid w:val="5139564B"/>
    <w:rsid w:val="5160707C"/>
    <w:rsid w:val="5167665C"/>
    <w:rsid w:val="51786173"/>
    <w:rsid w:val="517C6304"/>
    <w:rsid w:val="5198144D"/>
    <w:rsid w:val="51A90A23"/>
    <w:rsid w:val="51BA678C"/>
    <w:rsid w:val="51E1640E"/>
    <w:rsid w:val="51E23F34"/>
    <w:rsid w:val="51E25CE3"/>
    <w:rsid w:val="51EB4B97"/>
    <w:rsid w:val="520B348B"/>
    <w:rsid w:val="520F6696"/>
    <w:rsid w:val="521E44F1"/>
    <w:rsid w:val="52241842"/>
    <w:rsid w:val="523A78CD"/>
    <w:rsid w:val="5245699D"/>
    <w:rsid w:val="526146C4"/>
    <w:rsid w:val="526B217C"/>
    <w:rsid w:val="52750C6A"/>
    <w:rsid w:val="527F4A80"/>
    <w:rsid w:val="528A3282"/>
    <w:rsid w:val="52D265DD"/>
    <w:rsid w:val="52F932E4"/>
    <w:rsid w:val="532E04C6"/>
    <w:rsid w:val="536A21E5"/>
    <w:rsid w:val="53725E9B"/>
    <w:rsid w:val="53785DDB"/>
    <w:rsid w:val="53790DBB"/>
    <w:rsid w:val="53B042EA"/>
    <w:rsid w:val="53CC3A07"/>
    <w:rsid w:val="53D55892"/>
    <w:rsid w:val="53F0796A"/>
    <w:rsid w:val="540041D6"/>
    <w:rsid w:val="54210D44"/>
    <w:rsid w:val="54277EBD"/>
    <w:rsid w:val="54297BF9"/>
    <w:rsid w:val="543570E8"/>
    <w:rsid w:val="543A0058"/>
    <w:rsid w:val="5455187A"/>
    <w:rsid w:val="545804DE"/>
    <w:rsid w:val="54667951"/>
    <w:rsid w:val="54712395"/>
    <w:rsid w:val="547215A0"/>
    <w:rsid w:val="54790B80"/>
    <w:rsid w:val="54825CEA"/>
    <w:rsid w:val="54927384"/>
    <w:rsid w:val="549B300C"/>
    <w:rsid w:val="54CA13DC"/>
    <w:rsid w:val="54D44008"/>
    <w:rsid w:val="54E56216"/>
    <w:rsid w:val="54EA3FCD"/>
    <w:rsid w:val="54F54FF8"/>
    <w:rsid w:val="54FA3343"/>
    <w:rsid w:val="550A31C9"/>
    <w:rsid w:val="55254399"/>
    <w:rsid w:val="553C6991"/>
    <w:rsid w:val="554A7DEE"/>
    <w:rsid w:val="554B69C8"/>
    <w:rsid w:val="55517407"/>
    <w:rsid w:val="555E05B9"/>
    <w:rsid w:val="556E5178"/>
    <w:rsid w:val="5572710F"/>
    <w:rsid w:val="55794F37"/>
    <w:rsid w:val="557E5F56"/>
    <w:rsid w:val="55911EF9"/>
    <w:rsid w:val="55B856D8"/>
    <w:rsid w:val="55D90693"/>
    <w:rsid w:val="55E10639"/>
    <w:rsid w:val="55E43954"/>
    <w:rsid w:val="55F34962"/>
    <w:rsid w:val="560E068D"/>
    <w:rsid w:val="56180D02"/>
    <w:rsid w:val="561B7A15"/>
    <w:rsid w:val="568367B8"/>
    <w:rsid w:val="568704D0"/>
    <w:rsid w:val="568850AA"/>
    <w:rsid w:val="56A33C92"/>
    <w:rsid w:val="56A96DCF"/>
    <w:rsid w:val="56DC4AE0"/>
    <w:rsid w:val="56FD57EE"/>
    <w:rsid w:val="5714339D"/>
    <w:rsid w:val="57160908"/>
    <w:rsid w:val="5722434B"/>
    <w:rsid w:val="573174F0"/>
    <w:rsid w:val="573772E4"/>
    <w:rsid w:val="573E1C0D"/>
    <w:rsid w:val="5745440F"/>
    <w:rsid w:val="574D0D7E"/>
    <w:rsid w:val="574D2284"/>
    <w:rsid w:val="57645D49"/>
    <w:rsid w:val="57914433"/>
    <w:rsid w:val="579B5EF4"/>
    <w:rsid w:val="57AB30AE"/>
    <w:rsid w:val="57B40121"/>
    <w:rsid w:val="57C069AE"/>
    <w:rsid w:val="57E24C8E"/>
    <w:rsid w:val="580E7AA5"/>
    <w:rsid w:val="583F3F0A"/>
    <w:rsid w:val="584D762E"/>
    <w:rsid w:val="585F62DF"/>
    <w:rsid w:val="58661122"/>
    <w:rsid w:val="58A80780"/>
    <w:rsid w:val="58AA2330"/>
    <w:rsid w:val="58B73A25"/>
    <w:rsid w:val="58F1517B"/>
    <w:rsid w:val="59044790"/>
    <w:rsid w:val="59104C5B"/>
    <w:rsid w:val="59142E80"/>
    <w:rsid w:val="591D0F5A"/>
    <w:rsid w:val="594159E5"/>
    <w:rsid w:val="59484FC5"/>
    <w:rsid w:val="594A7B0E"/>
    <w:rsid w:val="595225FB"/>
    <w:rsid w:val="595818DA"/>
    <w:rsid w:val="596A4F3B"/>
    <w:rsid w:val="597F4352"/>
    <w:rsid w:val="599B5EB8"/>
    <w:rsid w:val="599F2F70"/>
    <w:rsid w:val="59BC3267"/>
    <w:rsid w:val="59D218B4"/>
    <w:rsid w:val="59E36F52"/>
    <w:rsid w:val="59F34917"/>
    <w:rsid w:val="5A0E58C7"/>
    <w:rsid w:val="5A1F32BB"/>
    <w:rsid w:val="5A2C21F1"/>
    <w:rsid w:val="5A405D64"/>
    <w:rsid w:val="5A5474AC"/>
    <w:rsid w:val="5A5B2AD6"/>
    <w:rsid w:val="5A736072"/>
    <w:rsid w:val="5A9146E7"/>
    <w:rsid w:val="5AAA108F"/>
    <w:rsid w:val="5ACB7C5C"/>
    <w:rsid w:val="5B0D68E2"/>
    <w:rsid w:val="5B125502"/>
    <w:rsid w:val="5B18214B"/>
    <w:rsid w:val="5B1C4013"/>
    <w:rsid w:val="5B1C4E96"/>
    <w:rsid w:val="5B2D4472"/>
    <w:rsid w:val="5B38151E"/>
    <w:rsid w:val="5B471301"/>
    <w:rsid w:val="5B482822"/>
    <w:rsid w:val="5B4A5024"/>
    <w:rsid w:val="5B6516C6"/>
    <w:rsid w:val="5B7C4AB2"/>
    <w:rsid w:val="5B8B4FF2"/>
    <w:rsid w:val="5B995664"/>
    <w:rsid w:val="5BA858A7"/>
    <w:rsid w:val="5BAB639E"/>
    <w:rsid w:val="5BB10BFF"/>
    <w:rsid w:val="5BC22E0D"/>
    <w:rsid w:val="5BC719E8"/>
    <w:rsid w:val="5BCA3A6F"/>
    <w:rsid w:val="5BDA0EB3"/>
    <w:rsid w:val="5BFA5291"/>
    <w:rsid w:val="5C176227"/>
    <w:rsid w:val="5C1E7634"/>
    <w:rsid w:val="5C2F7D76"/>
    <w:rsid w:val="5C3322C6"/>
    <w:rsid w:val="5C367357"/>
    <w:rsid w:val="5C5F065B"/>
    <w:rsid w:val="5C6739B4"/>
    <w:rsid w:val="5C7A242E"/>
    <w:rsid w:val="5C7F5681"/>
    <w:rsid w:val="5C864897"/>
    <w:rsid w:val="5C890CFB"/>
    <w:rsid w:val="5C8D0CB7"/>
    <w:rsid w:val="5C904CB9"/>
    <w:rsid w:val="5C9C0A55"/>
    <w:rsid w:val="5CA00C74"/>
    <w:rsid w:val="5CC20BEA"/>
    <w:rsid w:val="5CCF2FF7"/>
    <w:rsid w:val="5CD65397"/>
    <w:rsid w:val="5CEE378D"/>
    <w:rsid w:val="5D243653"/>
    <w:rsid w:val="5D301FF8"/>
    <w:rsid w:val="5DBD041C"/>
    <w:rsid w:val="5DC625EE"/>
    <w:rsid w:val="5DE36F42"/>
    <w:rsid w:val="5DE9165D"/>
    <w:rsid w:val="5E00746B"/>
    <w:rsid w:val="5E203E1A"/>
    <w:rsid w:val="5E304E22"/>
    <w:rsid w:val="5E327616"/>
    <w:rsid w:val="5E4C68C7"/>
    <w:rsid w:val="5E56783C"/>
    <w:rsid w:val="5E7B72A3"/>
    <w:rsid w:val="5E96232F"/>
    <w:rsid w:val="5EB033F0"/>
    <w:rsid w:val="5EB75901"/>
    <w:rsid w:val="5ECE0333"/>
    <w:rsid w:val="5ED15115"/>
    <w:rsid w:val="5EE17A4E"/>
    <w:rsid w:val="5EE52377"/>
    <w:rsid w:val="5F0F573E"/>
    <w:rsid w:val="5F155949"/>
    <w:rsid w:val="5F224EFE"/>
    <w:rsid w:val="5F294F51"/>
    <w:rsid w:val="5F361D15"/>
    <w:rsid w:val="5F806A68"/>
    <w:rsid w:val="5F8D38C9"/>
    <w:rsid w:val="5F97635E"/>
    <w:rsid w:val="5F994966"/>
    <w:rsid w:val="5FC73B44"/>
    <w:rsid w:val="5FCB6008"/>
    <w:rsid w:val="5FD70E51"/>
    <w:rsid w:val="5FD72BFF"/>
    <w:rsid w:val="5FDF2203"/>
    <w:rsid w:val="60020B3B"/>
    <w:rsid w:val="60043B33"/>
    <w:rsid w:val="6005151A"/>
    <w:rsid w:val="602C59E5"/>
    <w:rsid w:val="604A1623"/>
    <w:rsid w:val="604F397F"/>
    <w:rsid w:val="607603E4"/>
    <w:rsid w:val="607E751E"/>
    <w:rsid w:val="60910E0B"/>
    <w:rsid w:val="60E6759D"/>
    <w:rsid w:val="60EB2B78"/>
    <w:rsid w:val="60EE6452"/>
    <w:rsid w:val="60F414CB"/>
    <w:rsid w:val="612C36A6"/>
    <w:rsid w:val="6138147B"/>
    <w:rsid w:val="615F4EB7"/>
    <w:rsid w:val="61632783"/>
    <w:rsid w:val="617D3C5C"/>
    <w:rsid w:val="61977CCE"/>
    <w:rsid w:val="619C4100"/>
    <w:rsid w:val="619D0B2C"/>
    <w:rsid w:val="61B34FA6"/>
    <w:rsid w:val="61D70C94"/>
    <w:rsid w:val="61D77B32"/>
    <w:rsid w:val="61D92C5E"/>
    <w:rsid w:val="61ED495B"/>
    <w:rsid w:val="620D0B5A"/>
    <w:rsid w:val="62163B1E"/>
    <w:rsid w:val="62402CDD"/>
    <w:rsid w:val="62601CA5"/>
    <w:rsid w:val="627228EA"/>
    <w:rsid w:val="62740BD9"/>
    <w:rsid w:val="627477E0"/>
    <w:rsid w:val="628E3B6D"/>
    <w:rsid w:val="62910952"/>
    <w:rsid w:val="62A212A2"/>
    <w:rsid w:val="62A90D64"/>
    <w:rsid w:val="62BE1E54"/>
    <w:rsid w:val="62CC4571"/>
    <w:rsid w:val="62CF1F42"/>
    <w:rsid w:val="62EA7BC4"/>
    <w:rsid w:val="62F12635"/>
    <w:rsid w:val="63121C38"/>
    <w:rsid w:val="632B09A8"/>
    <w:rsid w:val="63332842"/>
    <w:rsid w:val="633839B4"/>
    <w:rsid w:val="63386532"/>
    <w:rsid w:val="633A3BD0"/>
    <w:rsid w:val="63680D12"/>
    <w:rsid w:val="63A92B04"/>
    <w:rsid w:val="63AB687C"/>
    <w:rsid w:val="63CD007F"/>
    <w:rsid w:val="63DA2CBD"/>
    <w:rsid w:val="63DB6012"/>
    <w:rsid w:val="63DD10C8"/>
    <w:rsid w:val="63E1404C"/>
    <w:rsid w:val="63EB6C79"/>
    <w:rsid w:val="63F518A5"/>
    <w:rsid w:val="63F56535"/>
    <w:rsid w:val="64124205"/>
    <w:rsid w:val="6417181C"/>
    <w:rsid w:val="642B3519"/>
    <w:rsid w:val="644C3213"/>
    <w:rsid w:val="647B7FFD"/>
    <w:rsid w:val="647D2112"/>
    <w:rsid w:val="648570CD"/>
    <w:rsid w:val="64B20B57"/>
    <w:rsid w:val="64C94A22"/>
    <w:rsid w:val="64DF4A2F"/>
    <w:rsid w:val="64FF0C2E"/>
    <w:rsid w:val="651D5558"/>
    <w:rsid w:val="65287D40"/>
    <w:rsid w:val="653528A1"/>
    <w:rsid w:val="653B5BC3"/>
    <w:rsid w:val="654C7BEB"/>
    <w:rsid w:val="656B0071"/>
    <w:rsid w:val="658E5B0E"/>
    <w:rsid w:val="659155FE"/>
    <w:rsid w:val="65AE61B0"/>
    <w:rsid w:val="65BB267B"/>
    <w:rsid w:val="65D57BE0"/>
    <w:rsid w:val="65E87914"/>
    <w:rsid w:val="65E91AFE"/>
    <w:rsid w:val="661E5B72"/>
    <w:rsid w:val="662E268A"/>
    <w:rsid w:val="663315F2"/>
    <w:rsid w:val="66842A24"/>
    <w:rsid w:val="668D79FF"/>
    <w:rsid w:val="66B27F22"/>
    <w:rsid w:val="66C341C3"/>
    <w:rsid w:val="66CD2DC2"/>
    <w:rsid w:val="66D439F4"/>
    <w:rsid w:val="66D61DD0"/>
    <w:rsid w:val="66DD26E1"/>
    <w:rsid w:val="66F66060"/>
    <w:rsid w:val="66FC374D"/>
    <w:rsid w:val="673B1CC5"/>
    <w:rsid w:val="674A6189"/>
    <w:rsid w:val="6784067A"/>
    <w:rsid w:val="6797741A"/>
    <w:rsid w:val="67980ED3"/>
    <w:rsid w:val="67B35CFF"/>
    <w:rsid w:val="67DF4D46"/>
    <w:rsid w:val="67FD51CC"/>
    <w:rsid w:val="68077DF9"/>
    <w:rsid w:val="680B78E9"/>
    <w:rsid w:val="68210EBB"/>
    <w:rsid w:val="68302A9A"/>
    <w:rsid w:val="68631F6E"/>
    <w:rsid w:val="686E7D63"/>
    <w:rsid w:val="687920A3"/>
    <w:rsid w:val="688B27D8"/>
    <w:rsid w:val="68B910F3"/>
    <w:rsid w:val="68DB3760"/>
    <w:rsid w:val="68DD74D8"/>
    <w:rsid w:val="690D296D"/>
    <w:rsid w:val="691F2946"/>
    <w:rsid w:val="69286279"/>
    <w:rsid w:val="69405F1C"/>
    <w:rsid w:val="695452C0"/>
    <w:rsid w:val="69687F50"/>
    <w:rsid w:val="696C085C"/>
    <w:rsid w:val="699062FE"/>
    <w:rsid w:val="69C064B2"/>
    <w:rsid w:val="69DC30FA"/>
    <w:rsid w:val="69F0323B"/>
    <w:rsid w:val="69F04FE9"/>
    <w:rsid w:val="6A0445F0"/>
    <w:rsid w:val="6A2D1C65"/>
    <w:rsid w:val="6A37610C"/>
    <w:rsid w:val="6A3C6480"/>
    <w:rsid w:val="6A4D3AC6"/>
    <w:rsid w:val="6A8A4523"/>
    <w:rsid w:val="6AAB0F10"/>
    <w:rsid w:val="6AAF3268"/>
    <w:rsid w:val="6AAF6B23"/>
    <w:rsid w:val="6AC975E8"/>
    <w:rsid w:val="6ACB781C"/>
    <w:rsid w:val="6AF6662F"/>
    <w:rsid w:val="6B0E7DE3"/>
    <w:rsid w:val="6B225676"/>
    <w:rsid w:val="6B227C68"/>
    <w:rsid w:val="6B2B0B08"/>
    <w:rsid w:val="6B2B3DFF"/>
    <w:rsid w:val="6B3C21FD"/>
    <w:rsid w:val="6B6C4B43"/>
    <w:rsid w:val="6B7B2FD8"/>
    <w:rsid w:val="6B7B6B34"/>
    <w:rsid w:val="6B917FC1"/>
    <w:rsid w:val="6B96571C"/>
    <w:rsid w:val="6B99004E"/>
    <w:rsid w:val="6B9B2D32"/>
    <w:rsid w:val="6BA933E1"/>
    <w:rsid w:val="6BAB040D"/>
    <w:rsid w:val="6BC07F13"/>
    <w:rsid w:val="6BC155C6"/>
    <w:rsid w:val="6BD519FB"/>
    <w:rsid w:val="6BD5538A"/>
    <w:rsid w:val="6BD957D8"/>
    <w:rsid w:val="6BE26BB3"/>
    <w:rsid w:val="6BFF3568"/>
    <w:rsid w:val="6C031862"/>
    <w:rsid w:val="6C1846F6"/>
    <w:rsid w:val="6C4A1A33"/>
    <w:rsid w:val="6C5D6233"/>
    <w:rsid w:val="6C6121CE"/>
    <w:rsid w:val="6C621AA2"/>
    <w:rsid w:val="6C705F6D"/>
    <w:rsid w:val="6C8C6B1F"/>
    <w:rsid w:val="6C8D2FC3"/>
    <w:rsid w:val="6CA746E3"/>
    <w:rsid w:val="6CB80ACB"/>
    <w:rsid w:val="6CD66EB9"/>
    <w:rsid w:val="6CD97945"/>
    <w:rsid w:val="6CF272CA"/>
    <w:rsid w:val="6CFC5A53"/>
    <w:rsid w:val="6D0D1A0E"/>
    <w:rsid w:val="6D0D4104"/>
    <w:rsid w:val="6D0D75C7"/>
    <w:rsid w:val="6D323B6A"/>
    <w:rsid w:val="6D6F4477"/>
    <w:rsid w:val="6D707E48"/>
    <w:rsid w:val="6D7E78B1"/>
    <w:rsid w:val="6D837F22"/>
    <w:rsid w:val="6D94212F"/>
    <w:rsid w:val="6D94372C"/>
    <w:rsid w:val="6DB64AFB"/>
    <w:rsid w:val="6DCE71F3"/>
    <w:rsid w:val="6DD62748"/>
    <w:rsid w:val="6DD644F6"/>
    <w:rsid w:val="6DE24C48"/>
    <w:rsid w:val="6E023763"/>
    <w:rsid w:val="6E217E67"/>
    <w:rsid w:val="6E25722B"/>
    <w:rsid w:val="6E313E22"/>
    <w:rsid w:val="6E3D389C"/>
    <w:rsid w:val="6E437D5D"/>
    <w:rsid w:val="6E6733A0"/>
    <w:rsid w:val="6E7B5241"/>
    <w:rsid w:val="6E7D6FD3"/>
    <w:rsid w:val="6EBB7FD5"/>
    <w:rsid w:val="6EC425A0"/>
    <w:rsid w:val="6EC53E47"/>
    <w:rsid w:val="6ECC76A7"/>
    <w:rsid w:val="6EDE3179"/>
    <w:rsid w:val="6EEB4883"/>
    <w:rsid w:val="6F311163"/>
    <w:rsid w:val="6F5A4CB2"/>
    <w:rsid w:val="6F653D83"/>
    <w:rsid w:val="6F727FAE"/>
    <w:rsid w:val="6F821624"/>
    <w:rsid w:val="6FB22D40"/>
    <w:rsid w:val="6FB645DF"/>
    <w:rsid w:val="6FB84495"/>
    <w:rsid w:val="6FBC1FDA"/>
    <w:rsid w:val="6FD05AC5"/>
    <w:rsid w:val="6FD1666C"/>
    <w:rsid w:val="70025A76"/>
    <w:rsid w:val="70173032"/>
    <w:rsid w:val="701A1063"/>
    <w:rsid w:val="70234BD4"/>
    <w:rsid w:val="70276408"/>
    <w:rsid w:val="70457711"/>
    <w:rsid w:val="70492B26"/>
    <w:rsid w:val="706347E4"/>
    <w:rsid w:val="70BD4168"/>
    <w:rsid w:val="70C52038"/>
    <w:rsid w:val="70DA344F"/>
    <w:rsid w:val="70E1516E"/>
    <w:rsid w:val="70E64A50"/>
    <w:rsid w:val="70F03B20"/>
    <w:rsid w:val="70F27582"/>
    <w:rsid w:val="70F27898"/>
    <w:rsid w:val="71033854"/>
    <w:rsid w:val="71094E85"/>
    <w:rsid w:val="710B6BAC"/>
    <w:rsid w:val="713003C1"/>
    <w:rsid w:val="713D340E"/>
    <w:rsid w:val="71614A1E"/>
    <w:rsid w:val="718129CA"/>
    <w:rsid w:val="718A2EC2"/>
    <w:rsid w:val="71977BCF"/>
    <w:rsid w:val="71A7412D"/>
    <w:rsid w:val="71BB412E"/>
    <w:rsid w:val="71FC3878"/>
    <w:rsid w:val="72142629"/>
    <w:rsid w:val="7238577F"/>
    <w:rsid w:val="72514A93"/>
    <w:rsid w:val="725A3947"/>
    <w:rsid w:val="727644F9"/>
    <w:rsid w:val="727D5888"/>
    <w:rsid w:val="728704B4"/>
    <w:rsid w:val="72994641"/>
    <w:rsid w:val="729A01E8"/>
    <w:rsid w:val="72A41616"/>
    <w:rsid w:val="72A572A1"/>
    <w:rsid w:val="72B33057"/>
    <w:rsid w:val="72B6519C"/>
    <w:rsid w:val="72CE1C3F"/>
    <w:rsid w:val="72EA1782"/>
    <w:rsid w:val="72FF5251"/>
    <w:rsid w:val="73010267"/>
    <w:rsid w:val="73076EFF"/>
    <w:rsid w:val="733068D3"/>
    <w:rsid w:val="735A34D3"/>
    <w:rsid w:val="735B4307"/>
    <w:rsid w:val="73700F48"/>
    <w:rsid w:val="737E32EA"/>
    <w:rsid w:val="737F7E83"/>
    <w:rsid w:val="73863118"/>
    <w:rsid w:val="738F647D"/>
    <w:rsid w:val="73A62747"/>
    <w:rsid w:val="73B9644B"/>
    <w:rsid w:val="73C15123"/>
    <w:rsid w:val="73DA0F58"/>
    <w:rsid w:val="73F162D3"/>
    <w:rsid w:val="740D2FF4"/>
    <w:rsid w:val="74267521"/>
    <w:rsid w:val="742B01C3"/>
    <w:rsid w:val="74343D24"/>
    <w:rsid w:val="74360ABB"/>
    <w:rsid w:val="745F76B0"/>
    <w:rsid w:val="74675EA7"/>
    <w:rsid w:val="748C590E"/>
    <w:rsid w:val="74940C67"/>
    <w:rsid w:val="74982505"/>
    <w:rsid w:val="74A215D5"/>
    <w:rsid w:val="74B530B7"/>
    <w:rsid w:val="74C257D4"/>
    <w:rsid w:val="74D701CC"/>
    <w:rsid w:val="74FD05BA"/>
    <w:rsid w:val="75091655"/>
    <w:rsid w:val="752036D5"/>
    <w:rsid w:val="75371D1E"/>
    <w:rsid w:val="75456D8B"/>
    <w:rsid w:val="75695C4F"/>
    <w:rsid w:val="75703482"/>
    <w:rsid w:val="75847957"/>
    <w:rsid w:val="75CA0DE4"/>
    <w:rsid w:val="75ED23E3"/>
    <w:rsid w:val="75FC1EB2"/>
    <w:rsid w:val="7606616F"/>
    <w:rsid w:val="762F6E99"/>
    <w:rsid w:val="764B4E0A"/>
    <w:rsid w:val="7662726E"/>
    <w:rsid w:val="766969CB"/>
    <w:rsid w:val="76816FC9"/>
    <w:rsid w:val="76946CFC"/>
    <w:rsid w:val="76B31878"/>
    <w:rsid w:val="76BB072D"/>
    <w:rsid w:val="76CE2434"/>
    <w:rsid w:val="76F0487A"/>
    <w:rsid w:val="76F71960"/>
    <w:rsid w:val="770245AD"/>
    <w:rsid w:val="771B11CB"/>
    <w:rsid w:val="7725204A"/>
    <w:rsid w:val="77273BF4"/>
    <w:rsid w:val="77395A92"/>
    <w:rsid w:val="773D2FC5"/>
    <w:rsid w:val="774D73D3"/>
    <w:rsid w:val="776B2686"/>
    <w:rsid w:val="776C6933"/>
    <w:rsid w:val="776D1464"/>
    <w:rsid w:val="777C0FE5"/>
    <w:rsid w:val="77876861"/>
    <w:rsid w:val="77C35AEB"/>
    <w:rsid w:val="77D200E8"/>
    <w:rsid w:val="77D44DFB"/>
    <w:rsid w:val="77F83CF8"/>
    <w:rsid w:val="784722A5"/>
    <w:rsid w:val="78485EB0"/>
    <w:rsid w:val="785D632A"/>
    <w:rsid w:val="785E48BC"/>
    <w:rsid w:val="78B82F50"/>
    <w:rsid w:val="78CA0299"/>
    <w:rsid w:val="78CA10FB"/>
    <w:rsid w:val="78D427BB"/>
    <w:rsid w:val="78D73D7A"/>
    <w:rsid w:val="78E81581"/>
    <w:rsid w:val="78FC360C"/>
    <w:rsid w:val="790538AF"/>
    <w:rsid w:val="7969241A"/>
    <w:rsid w:val="796B2533"/>
    <w:rsid w:val="7984574E"/>
    <w:rsid w:val="798F7942"/>
    <w:rsid w:val="79A454A8"/>
    <w:rsid w:val="79A61220"/>
    <w:rsid w:val="79CC6F35"/>
    <w:rsid w:val="79D43A8B"/>
    <w:rsid w:val="79DD6C0C"/>
    <w:rsid w:val="79F006ED"/>
    <w:rsid w:val="79FE1559"/>
    <w:rsid w:val="7A2D36EF"/>
    <w:rsid w:val="7A4E42C3"/>
    <w:rsid w:val="7A6510DB"/>
    <w:rsid w:val="7A6D4434"/>
    <w:rsid w:val="7A99501E"/>
    <w:rsid w:val="7AAA35A9"/>
    <w:rsid w:val="7AAD4830"/>
    <w:rsid w:val="7ABC1467"/>
    <w:rsid w:val="7ACF38BF"/>
    <w:rsid w:val="7AD518B3"/>
    <w:rsid w:val="7B0E1773"/>
    <w:rsid w:val="7B114C33"/>
    <w:rsid w:val="7B164183"/>
    <w:rsid w:val="7B41005A"/>
    <w:rsid w:val="7B42141C"/>
    <w:rsid w:val="7B540400"/>
    <w:rsid w:val="7B615D46"/>
    <w:rsid w:val="7BA67BFD"/>
    <w:rsid w:val="7BB14E24"/>
    <w:rsid w:val="7BBA7205"/>
    <w:rsid w:val="7BC6204D"/>
    <w:rsid w:val="7BE73D72"/>
    <w:rsid w:val="7C093DEE"/>
    <w:rsid w:val="7C0C5586"/>
    <w:rsid w:val="7C1C2FA1"/>
    <w:rsid w:val="7C1F52BA"/>
    <w:rsid w:val="7C1F60B6"/>
    <w:rsid w:val="7C4D2C95"/>
    <w:rsid w:val="7C5A5067"/>
    <w:rsid w:val="7C635AEE"/>
    <w:rsid w:val="7C6D1B33"/>
    <w:rsid w:val="7C792743"/>
    <w:rsid w:val="7C8051CC"/>
    <w:rsid w:val="7CAA57F4"/>
    <w:rsid w:val="7CAB4D9F"/>
    <w:rsid w:val="7CB60FC6"/>
    <w:rsid w:val="7CD45D36"/>
    <w:rsid w:val="7CD6006E"/>
    <w:rsid w:val="7CE02C9B"/>
    <w:rsid w:val="7CEB2B22"/>
    <w:rsid w:val="7D0F532E"/>
    <w:rsid w:val="7D1324D3"/>
    <w:rsid w:val="7D1C7A4B"/>
    <w:rsid w:val="7D203F29"/>
    <w:rsid w:val="7D33726F"/>
    <w:rsid w:val="7D3A70A9"/>
    <w:rsid w:val="7D3C79DA"/>
    <w:rsid w:val="7D3F4A67"/>
    <w:rsid w:val="7D44147C"/>
    <w:rsid w:val="7D5611AF"/>
    <w:rsid w:val="7D5B2447"/>
    <w:rsid w:val="7D6D001F"/>
    <w:rsid w:val="7D711B45"/>
    <w:rsid w:val="7D9F1089"/>
    <w:rsid w:val="7DA43CC8"/>
    <w:rsid w:val="7DA56AAE"/>
    <w:rsid w:val="7DAA1F98"/>
    <w:rsid w:val="7DC6583E"/>
    <w:rsid w:val="7DDA3B8E"/>
    <w:rsid w:val="7DDE36A1"/>
    <w:rsid w:val="7DF42F88"/>
    <w:rsid w:val="7E0A3D5F"/>
    <w:rsid w:val="7E152E18"/>
    <w:rsid w:val="7E156974"/>
    <w:rsid w:val="7E3D6145"/>
    <w:rsid w:val="7E4E4BDF"/>
    <w:rsid w:val="7E4F632A"/>
    <w:rsid w:val="7E4F76FE"/>
    <w:rsid w:val="7E725B75"/>
    <w:rsid w:val="7E76704B"/>
    <w:rsid w:val="7EAD4DFF"/>
    <w:rsid w:val="7ED71E7C"/>
    <w:rsid w:val="7EE10DD5"/>
    <w:rsid w:val="7EED2764"/>
    <w:rsid w:val="7F155EF0"/>
    <w:rsid w:val="7F3A57B2"/>
    <w:rsid w:val="7F3E1EFB"/>
    <w:rsid w:val="7F505CEA"/>
    <w:rsid w:val="7F584290"/>
    <w:rsid w:val="7F776299"/>
    <w:rsid w:val="7F780266"/>
    <w:rsid w:val="7F8853FB"/>
    <w:rsid w:val="7FA95021"/>
    <w:rsid w:val="7FC05959"/>
    <w:rsid w:val="7FD27A3C"/>
    <w:rsid w:val="7FDF0F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6"/>
    <w:qFormat/>
    <w:uiPriority w:val="9"/>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link w:val="99"/>
    <w:unhideWhenUsed/>
    <w:qFormat/>
    <w:uiPriority w:val="9"/>
    <w:pPr>
      <w:keepNext/>
      <w:keepLines/>
      <w:spacing w:before="160" w:after="80"/>
      <w:outlineLvl w:val="1"/>
    </w:pPr>
    <w:rPr>
      <w:rFonts w:ascii="Calibri Light" w:hAnsi="Calibri Light" w:eastAsia="宋体" w:cs="黑体"/>
      <w:color w:val="2D539E"/>
      <w:sz w:val="40"/>
      <w:szCs w:val="40"/>
    </w:rPr>
  </w:style>
  <w:style w:type="paragraph" w:styleId="4">
    <w:name w:val="heading 3"/>
    <w:basedOn w:val="1"/>
    <w:next w:val="1"/>
    <w:link w:val="107"/>
    <w:unhideWhenUsed/>
    <w:qFormat/>
    <w:uiPriority w:val="9"/>
    <w:pPr>
      <w:keepNext/>
      <w:keepLines/>
      <w:spacing w:before="260" w:after="260" w:line="416" w:lineRule="auto"/>
      <w:outlineLvl w:val="2"/>
    </w:pPr>
    <w:rPr>
      <w:rFonts w:ascii="Calibri" w:hAnsi="Calibri" w:eastAsia="宋体" w:cs="黑体"/>
      <w:b/>
      <w:bCs/>
      <w:sz w:val="32"/>
      <w:szCs w:val="32"/>
    </w:rPr>
  </w:style>
  <w:style w:type="paragraph" w:styleId="5">
    <w:name w:val="heading 4"/>
    <w:basedOn w:val="1"/>
    <w:next w:val="1"/>
    <w:link w:val="100"/>
    <w:unhideWhenUsed/>
    <w:qFormat/>
    <w:uiPriority w:val="9"/>
    <w:pPr>
      <w:keepNext/>
      <w:keepLines/>
      <w:spacing w:before="80" w:after="40"/>
      <w:outlineLvl w:val="3"/>
    </w:pPr>
    <w:rPr>
      <w:rFonts w:cs="黑体"/>
      <w:color w:val="2D539E"/>
      <w:sz w:val="28"/>
      <w:szCs w:val="28"/>
    </w:rPr>
  </w:style>
  <w:style w:type="paragraph" w:styleId="6">
    <w:name w:val="heading 5"/>
    <w:basedOn w:val="1"/>
    <w:next w:val="1"/>
    <w:link w:val="101"/>
    <w:unhideWhenUsed/>
    <w:qFormat/>
    <w:uiPriority w:val="9"/>
    <w:pPr>
      <w:keepNext/>
      <w:keepLines/>
      <w:spacing w:before="80" w:after="40"/>
      <w:outlineLvl w:val="4"/>
    </w:pPr>
    <w:rPr>
      <w:rFonts w:cs="黑体"/>
      <w:color w:val="2D539E"/>
      <w:sz w:val="24"/>
    </w:rPr>
  </w:style>
  <w:style w:type="paragraph" w:styleId="7">
    <w:name w:val="heading 6"/>
    <w:basedOn w:val="1"/>
    <w:next w:val="1"/>
    <w:link w:val="102"/>
    <w:unhideWhenUsed/>
    <w:qFormat/>
    <w:uiPriority w:val="9"/>
    <w:pPr>
      <w:keepNext/>
      <w:keepLines/>
      <w:spacing w:before="40"/>
      <w:outlineLvl w:val="5"/>
    </w:pPr>
    <w:rPr>
      <w:rFonts w:cs="黑体"/>
      <w:b/>
      <w:bCs/>
      <w:color w:val="2D539E"/>
    </w:rPr>
  </w:style>
  <w:style w:type="paragraph" w:styleId="8">
    <w:name w:val="heading 7"/>
    <w:basedOn w:val="1"/>
    <w:next w:val="1"/>
    <w:link w:val="103"/>
    <w:unhideWhenUsed/>
    <w:qFormat/>
    <w:uiPriority w:val="9"/>
    <w:pPr>
      <w:keepNext/>
      <w:keepLines/>
      <w:spacing w:before="40"/>
      <w:outlineLvl w:val="6"/>
    </w:pPr>
    <w:rPr>
      <w:rFonts w:cs="黑体"/>
      <w:b/>
      <w:bCs/>
      <w:color w:val="565656"/>
    </w:rPr>
  </w:style>
  <w:style w:type="paragraph" w:styleId="9">
    <w:name w:val="heading 8"/>
    <w:basedOn w:val="1"/>
    <w:next w:val="1"/>
    <w:link w:val="104"/>
    <w:unhideWhenUsed/>
    <w:qFormat/>
    <w:uiPriority w:val="9"/>
    <w:pPr>
      <w:keepNext/>
      <w:keepLines/>
      <w:outlineLvl w:val="7"/>
    </w:pPr>
    <w:rPr>
      <w:rFonts w:cs="黑体"/>
      <w:color w:val="565656"/>
    </w:rPr>
  </w:style>
  <w:style w:type="paragraph" w:styleId="10">
    <w:name w:val="heading 9"/>
    <w:basedOn w:val="1"/>
    <w:next w:val="1"/>
    <w:link w:val="105"/>
    <w:unhideWhenUsed/>
    <w:qFormat/>
    <w:uiPriority w:val="9"/>
    <w:pPr>
      <w:keepNext/>
      <w:keepLines/>
      <w:outlineLvl w:val="8"/>
    </w:pPr>
    <w:rPr>
      <w:rFonts w:eastAsia="宋体" w:cs="黑体"/>
      <w:color w:val="565656"/>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11">
    <w:name w:val="annotation text"/>
    <w:basedOn w:val="1"/>
    <w:link w:val="97"/>
    <w:qFormat/>
    <w:uiPriority w:val="0"/>
    <w:pPr>
      <w:jc w:val="left"/>
    </w:pPr>
  </w:style>
  <w:style w:type="paragraph" w:styleId="12">
    <w:name w:val="Body Text"/>
    <w:basedOn w:val="1"/>
    <w:next w:val="1"/>
    <w:qFormat/>
    <w:uiPriority w:val="0"/>
    <w:pPr>
      <w:spacing w:after="120"/>
    </w:pPr>
  </w:style>
  <w:style w:type="paragraph" w:styleId="13">
    <w:name w:val="Plain Text"/>
    <w:basedOn w:val="1"/>
    <w:next w:val="1"/>
    <w:qFormat/>
    <w:uiPriority w:val="0"/>
    <w:rPr>
      <w:rFonts w:ascii="宋体" w:hAnsi="Courier New"/>
    </w:rPr>
  </w:style>
  <w:style w:type="paragraph" w:styleId="14">
    <w:name w:val="Balloon Text"/>
    <w:basedOn w:val="1"/>
    <w:link w:val="96"/>
    <w:qFormat/>
    <w:uiPriority w:val="0"/>
    <w:rPr>
      <w:sz w:val="18"/>
      <w:szCs w:val="18"/>
    </w:rPr>
  </w:style>
  <w:style w:type="paragraph" w:styleId="15">
    <w:name w:val="footer"/>
    <w:basedOn w:val="1"/>
    <w:link w:val="115"/>
    <w:qFormat/>
    <w:uiPriority w:val="99"/>
    <w:pPr>
      <w:tabs>
        <w:tab w:val="center" w:pos="4153"/>
        <w:tab w:val="right" w:pos="8306"/>
      </w:tabs>
      <w:snapToGrid w:val="0"/>
      <w:jc w:val="left"/>
    </w:pPr>
    <w:rPr>
      <w:sz w:val="18"/>
    </w:rPr>
  </w:style>
  <w:style w:type="paragraph" w:styleId="16">
    <w:name w:val="header"/>
    <w:basedOn w:val="1"/>
    <w:link w:val="1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style>
  <w:style w:type="paragraph" w:styleId="18">
    <w:name w:val="Subtitle"/>
    <w:basedOn w:val="1"/>
    <w:next w:val="1"/>
    <w:link w:val="109"/>
    <w:qFormat/>
    <w:uiPriority w:val="11"/>
    <w:pPr>
      <w:spacing w:after="160"/>
      <w:jc w:val="center"/>
    </w:pPr>
    <w:rPr>
      <w:rFonts w:ascii="Calibri Light" w:hAnsi="Calibri Light" w:eastAsia="宋体" w:cs="黑体"/>
      <w:color w:val="565656"/>
      <w:spacing w:val="15"/>
      <w:sz w:val="28"/>
      <w:szCs w:val="28"/>
    </w:rPr>
  </w:style>
  <w:style w:type="paragraph" w:styleId="19">
    <w:name w:val="footnote text"/>
    <w:basedOn w:val="1"/>
    <w:qFormat/>
    <w:uiPriority w:val="0"/>
    <w:pPr>
      <w:snapToGrid w:val="0"/>
      <w:jc w:val="left"/>
    </w:pPr>
    <w:rPr>
      <w:sz w:val="18"/>
    </w:rPr>
  </w:style>
  <w:style w:type="paragraph" w:styleId="20">
    <w:name w:val="index 9"/>
    <w:basedOn w:val="1"/>
    <w:next w:val="1"/>
    <w:qFormat/>
    <w:uiPriority w:val="0"/>
    <w:pPr>
      <w:ind w:left="1600" w:leftChars="1600"/>
    </w:pPr>
  </w:style>
  <w:style w:type="paragraph" w:styleId="21">
    <w:name w:val="toc 2"/>
    <w:basedOn w:val="1"/>
    <w:next w:val="1"/>
    <w:qFormat/>
    <w:uiPriority w:val="39"/>
    <w:pPr>
      <w:ind w:left="420" w:leftChars="200"/>
    </w:pPr>
  </w:style>
  <w:style w:type="paragraph" w:styleId="22">
    <w:name w:val="Normal (Web)"/>
    <w:basedOn w:val="1"/>
    <w:qFormat/>
    <w:uiPriority w:val="0"/>
    <w:pPr>
      <w:spacing w:beforeAutospacing="1" w:afterAutospacing="1"/>
      <w:jc w:val="left"/>
    </w:pPr>
    <w:rPr>
      <w:kern w:val="0"/>
      <w:sz w:val="24"/>
    </w:rPr>
  </w:style>
  <w:style w:type="paragraph" w:styleId="23">
    <w:name w:val="Title"/>
    <w:basedOn w:val="1"/>
    <w:next w:val="1"/>
    <w:link w:val="108"/>
    <w:qFormat/>
    <w:uiPriority w:val="10"/>
    <w:pPr>
      <w:spacing w:after="80"/>
      <w:contextualSpacing/>
      <w:jc w:val="center"/>
    </w:pPr>
    <w:rPr>
      <w:rFonts w:ascii="Calibri Light" w:hAnsi="Calibri Light" w:eastAsia="宋体" w:cs="黑体"/>
      <w:spacing w:val="-10"/>
      <w:kern w:val="28"/>
      <w:sz w:val="56"/>
      <w:szCs w:val="56"/>
    </w:rPr>
  </w:style>
  <w:style w:type="paragraph" w:styleId="24">
    <w:name w:val="annotation subject"/>
    <w:basedOn w:val="11"/>
    <w:next w:val="11"/>
    <w:link w:val="98"/>
    <w:qFormat/>
    <w:uiPriority w:val="0"/>
    <w:rPr>
      <w:b/>
      <w:bCs/>
    </w:rPr>
  </w:style>
  <w:style w:type="paragraph" w:styleId="25">
    <w:name w:val="Body Text First Indent"/>
    <w:basedOn w:val="1"/>
    <w:qFormat/>
    <w:uiPriority w:val="0"/>
    <w:pPr>
      <w:spacing w:line="560" w:lineRule="exact"/>
      <w:ind w:firstLine="640" w:firstLineChars="200"/>
    </w:pPr>
    <w:rPr>
      <w:rFonts w:ascii="Calibri" w:hAnsi="Calibri" w:eastAsia="仿宋_GB2312"/>
      <w:sz w:val="32"/>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Hyperlink"/>
    <w:basedOn w:val="28"/>
    <w:unhideWhenUsed/>
    <w:qFormat/>
    <w:uiPriority w:val="99"/>
    <w:rPr>
      <w:color w:val="0026E5"/>
      <w:u w:val="single"/>
    </w:rPr>
  </w:style>
  <w:style w:type="character" w:styleId="31">
    <w:name w:val="annotation reference"/>
    <w:basedOn w:val="28"/>
    <w:qFormat/>
    <w:uiPriority w:val="0"/>
    <w:rPr>
      <w:sz w:val="21"/>
      <w:szCs w:val="21"/>
    </w:rPr>
  </w:style>
  <w:style w:type="character" w:styleId="32">
    <w:name w:val="footnote reference"/>
    <w:basedOn w:val="28"/>
    <w:qFormat/>
    <w:uiPriority w:val="0"/>
    <w:rPr>
      <w:vertAlign w:val="superscript"/>
    </w:rPr>
  </w:style>
  <w:style w:type="paragraph" w:customStyle="1" w:styleId="33">
    <w:name w:val="Heading1"/>
    <w:basedOn w:val="13"/>
    <w:next w:val="1"/>
    <w:qFormat/>
    <w:uiPriority w:val="0"/>
    <w:pPr>
      <w:keepNext/>
      <w:keepLines/>
      <w:spacing w:before="340" w:after="330" w:line="576" w:lineRule="auto"/>
      <w:textAlignment w:val="baseline"/>
    </w:pPr>
    <w:rPr>
      <w:rFonts w:ascii="Times New Roman" w:hAnsi="Times New Roman"/>
      <w:b/>
      <w:kern w:val="44"/>
    </w:rPr>
  </w:style>
  <w:style w:type="paragraph" w:customStyle="1" w:styleId="34">
    <w:name w:val="List Paragraph"/>
    <w:basedOn w:val="1"/>
    <w:unhideWhenUsed/>
    <w:qFormat/>
    <w:uiPriority w:val="34"/>
    <w:pPr>
      <w:ind w:firstLine="420" w:firstLineChars="200"/>
    </w:pPr>
  </w:style>
  <w:style w:type="paragraph" w:customStyle="1" w:styleId="35">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6">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7">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8">
    <w:name w:val="Quote"/>
    <w:basedOn w:val="1"/>
    <w:next w:val="1"/>
    <w:link w:val="110"/>
    <w:qFormat/>
    <w:uiPriority w:val="29"/>
    <w:pPr>
      <w:spacing w:before="160" w:after="160"/>
      <w:jc w:val="center"/>
    </w:pPr>
    <w:rPr>
      <w:i/>
      <w:iCs/>
      <w:color w:val="3F3F3F"/>
    </w:rPr>
  </w:style>
  <w:style w:type="paragraph" w:customStyle="1" w:styleId="39">
    <w:name w:val="Intense Quote"/>
    <w:basedOn w:val="1"/>
    <w:next w:val="1"/>
    <w:link w:val="112"/>
    <w:qFormat/>
    <w:uiPriority w:val="30"/>
    <w:pPr>
      <w:pBdr>
        <w:top w:val="single" w:color="2D54A0" w:sz="4" w:space="10"/>
        <w:bottom w:val="single" w:color="2D54A0" w:sz="4" w:space="10"/>
      </w:pBdr>
      <w:spacing w:before="360" w:after="360"/>
      <w:ind w:left="864" w:right="864"/>
      <w:jc w:val="center"/>
    </w:pPr>
    <w:rPr>
      <w:i/>
      <w:iCs/>
      <w:color w:val="2D539E"/>
    </w:rPr>
  </w:style>
  <w:style w:type="paragraph" w:customStyle="1" w:styleId="4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2">
    <w:name w:val="font1"/>
    <w:basedOn w:val="1"/>
    <w:qFormat/>
    <w:uiPriority w:val="0"/>
    <w:pPr>
      <w:widowControl/>
      <w:spacing w:before="100" w:beforeAutospacing="1" w:after="100" w:afterAutospacing="1"/>
      <w:jc w:val="left"/>
    </w:pPr>
    <w:rPr>
      <w:rFonts w:ascii="宋体" w:hAnsi="宋体" w:cs="宋体"/>
      <w:color w:val="000000"/>
      <w:kern w:val="0"/>
      <w:sz w:val="40"/>
      <w:szCs w:val="40"/>
    </w:rPr>
  </w:style>
  <w:style w:type="paragraph" w:customStyle="1" w:styleId="43">
    <w:name w:val="font2"/>
    <w:basedOn w:val="1"/>
    <w:qFormat/>
    <w:uiPriority w:val="0"/>
    <w:pPr>
      <w:widowControl/>
      <w:spacing w:before="100" w:beforeAutospacing="1" w:after="100" w:afterAutospacing="1"/>
      <w:jc w:val="left"/>
    </w:pPr>
    <w:rPr>
      <w:rFonts w:ascii="宋体" w:hAnsi="宋体" w:cs="宋体"/>
      <w:color w:val="000000"/>
      <w:kern w:val="0"/>
      <w:sz w:val="48"/>
      <w:szCs w:val="48"/>
    </w:rPr>
  </w:style>
  <w:style w:type="paragraph" w:customStyle="1" w:styleId="44">
    <w:name w:val="font3"/>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5">
    <w:name w:val="font4"/>
    <w:basedOn w:val="1"/>
    <w:qFormat/>
    <w:uiPriority w:val="0"/>
    <w:pPr>
      <w:widowControl/>
      <w:spacing w:before="100" w:beforeAutospacing="1" w:after="100" w:afterAutospacing="1"/>
      <w:jc w:val="left"/>
    </w:pPr>
    <w:rPr>
      <w:rFonts w:ascii="宋体" w:hAnsi="宋体" w:cs="宋体"/>
      <w:color w:val="000000"/>
      <w:kern w:val="0"/>
      <w:sz w:val="36"/>
      <w:szCs w:val="36"/>
    </w:rPr>
  </w:style>
  <w:style w:type="paragraph" w:customStyle="1" w:styleId="46">
    <w:name w:val="font5"/>
    <w:basedOn w:val="1"/>
    <w:qFormat/>
    <w:uiPriority w:val="0"/>
    <w:pPr>
      <w:widowControl/>
      <w:spacing w:before="100" w:beforeAutospacing="1" w:after="100" w:afterAutospacing="1"/>
      <w:jc w:val="left"/>
    </w:pPr>
    <w:rPr>
      <w:rFonts w:ascii="微软雅黑" w:hAnsi="微软雅黑" w:eastAsia="微软雅黑" w:cs="宋体"/>
      <w:b/>
      <w:bCs/>
      <w:color w:val="000000"/>
      <w:kern w:val="0"/>
      <w:sz w:val="24"/>
    </w:rPr>
  </w:style>
  <w:style w:type="paragraph" w:customStyle="1" w:styleId="47">
    <w:name w:val="font6"/>
    <w:basedOn w:val="1"/>
    <w:qFormat/>
    <w:uiPriority w:val="0"/>
    <w:pPr>
      <w:widowControl/>
      <w:spacing w:before="100" w:beforeAutospacing="1" w:after="100" w:afterAutospacing="1"/>
      <w:jc w:val="left"/>
    </w:pPr>
    <w:rPr>
      <w:rFonts w:ascii="微软雅黑" w:hAnsi="微软雅黑" w:eastAsia="微软雅黑" w:cs="宋体"/>
      <w:color w:val="000000"/>
      <w:kern w:val="0"/>
      <w:sz w:val="24"/>
    </w:rPr>
  </w:style>
  <w:style w:type="paragraph" w:customStyle="1" w:styleId="48">
    <w:name w:val="font7"/>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9">
    <w:name w:val="et4"/>
    <w:basedOn w:val="1"/>
    <w:qFormat/>
    <w:uiPriority w:val="0"/>
    <w:pPr>
      <w:widowControl/>
      <w:spacing w:before="100" w:beforeAutospacing="1" w:after="100" w:afterAutospacing="1"/>
      <w:jc w:val="center"/>
    </w:pPr>
    <w:rPr>
      <w:rFonts w:ascii="宋体" w:hAnsi="宋体" w:cs="宋体"/>
      <w:color w:val="000000"/>
      <w:kern w:val="0"/>
      <w:sz w:val="40"/>
      <w:szCs w:val="40"/>
    </w:rPr>
  </w:style>
  <w:style w:type="paragraph" w:customStyle="1" w:styleId="50">
    <w:name w:val="et5"/>
    <w:basedOn w:val="1"/>
    <w:qFormat/>
    <w:uiPriority w:val="0"/>
    <w:pPr>
      <w:widowControl/>
      <w:shd w:val="clear" w:color="auto" w:fill="FFFFFF"/>
      <w:spacing w:before="100" w:beforeAutospacing="1" w:after="100" w:afterAutospacing="1"/>
      <w:jc w:val="center"/>
    </w:pPr>
    <w:rPr>
      <w:rFonts w:ascii="宋体" w:hAnsi="宋体" w:cs="宋体"/>
      <w:color w:val="000000"/>
      <w:kern w:val="0"/>
      <w:sz w:val="40"/>
      <w:szCs w:val="40"/>
    </w:rPr>
  </w:style>
  <w:style w:type="paragraph" w:customStyle="1" w:styleId="51">
    <w:name w:val="et6"/>
    <w:basedOn w:val="1"/>
    <w:qFormat/>
    <w:uiPriority w:val="0"/>
    <w:pPr>
      <w:widowControl/>
      <w:spacing w:before="100" w:beforeAutospacing="1" w:after="100" w:afterAutospacing="1"/>
    </w:pPr>
    <w:rPr>
      <w:rFonts w:ascii="宋体" w:hAnsi="宋体" w:cs="宋体"/>
      <w:color w:val="000000"/>
      <w:kern w:val="0"/>
      <w:sz w:val="40"/>
      <w:szCs w:val="40"/>
    </w:rPr>
  </w:style>
  <w:style w:type="paragraph" w:customStyle="1" w:styleId="52">
    <w:name w:val="et7"/>
    <w:basedOn w:val="1"/>
    <w:qFormat/>
    <w:uiPriority w:val="0"/>
    <w:pPr>
      <w:widowControl/>
      <w:spacing w:before="100" w:beforeAutospacing="1" w:after="100" w:afterAutospacing="1"/>
      <w:jc w:val="left"/>
    </w:pPr>
    <w:rPr>
      <w:rFonts w:ascii="宋体" w:hAnsi="宋体" w:cs="宋体"/>
      <w:color w:val="000000"/>
      <w:kern w:val="0"/>
      <w:sz w:val="48"/>
      <w:szCs w:val="48"/>
    </w:rPr>
  </w:style>
  <w:style w:type="paragraph" w:customStyle="1" w:styleId="53">
    <w:name w:val="et8"/>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54">
    <w:name w:val="et9"/>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55">
    <w:name w:val="et10"/>
    <w:basedOn w:val="1"/>
    <w:qFormat/>
    <w:uiPriority w:val="0"/>
    <w:pPr>
      <w:widowControl/>
      <w:shd w:val="clear" w:color="auto" w:fill="FFFFFF"/>
      <w:spacing w:before="100" w:beforeAutospacing="1" w:after="100" w:afterAutospacing="1"/>
      <w:jc w:val="left"/>
    </w:pPr>
    <w:rPr>
      <w:rFonts w:ascii="宋体" w:hAnsi="宋体" w:cs="宋体"/>
      <w:color w:val="000000"/>
      <w:kern w:val="0"/>
      <w:sz w:val="36"/>
      <w:szCs w:val="36"/>
    </w:rPr>
  </w:style>
  <w:style w:type="paragraph" w:customStyle="1" w:styleId="56">
    <w:name w:val="et11"/>
    <w:basedOn w:val="1"/>
    <w:qFormat/>
    <w:uiPriority w:val="0"/>
    <w:pPr>
      <w:widowControl/>
      <w:shd w:val="clear" w:color="auto" w:fill="FFFFFF"/>
      <w:spacing w:before="100" w:beforeAutospacing="1" w:after="100" w:afterAutospacing="1"/>
      <w:jc w:val="left"/>
    </w:pPr>
    <w:rPr>
      <w:rFonts w:ascii="宋体" w:hAnsi="宋体" w:cs="宋体"/>
      <w:color w:val="000000"/>
      <w:kern w:val="0"/>
      <w:sz w:val="24"/>
    </w:rPr>
  </w:style>
  <w:style w:type="paragraph" w:customStyle="1" w:styleId="57">
    <w:name w:val="et12"/>
    <w:basedOn w:val="1"/>
    <w:qFormat/>
    <w:uiPriority w:val="0"/>
    <w:pPr>
      <w:widowControl/>
      <w:spacing w:before="100" w:beforeAutospacing="1" w:after="100" w:afterAutospacing="1"/>
      <w:jc w:val="left"/>
    </w:pPr>
    <w:rPr>
      <w:rFonts w:ascii="宋体" w:hAnsi="宋体" w:cs="宋体"/>
      <w:color w:val="000000"/>
      <w:kern w:val="0"/>
      <w:sz w:val="36"/>
      <w:szCs w:val="36"/>
    </w:rPr>
  </w:style>
  <w:style w:type="paragraph" w:customStyle="1" w:styleId="58">
    <w:name w:val="et1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59">
    <w:name w:val="et1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60">
    <w:name w:val="et15"/>
    <w:basedOn w:val="1"/>
    <w:qFormat/>
    <w:uiPriority w:val="0"/>
    <w:pPr>
      <w:widowControl/>
      <w:pBdr>
        <w:top w:val="single" w:color="000000" w:sz="4" w:space="0"/>
        <w:left w:val="single" w:color="000000" w:sz="4" w:space="0"/>
        <w:bottom w:val="single" w:color="000000" w:sz="4" w:space="0"/>
        <w:right w:val="single" w:color="000000" w:sz="4" w:space="0"/>
      </w:pBdr>
      <w:shd w:val="clear" w:color="FFFF99"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61">
    <w:name w:val="et16"/>
    <w:basedOn w:val="1"/>
    <w:qFormat/>
    <w:uiPriority w:val="0"/>
    <w:pPr>
      <w:widowControl/>
      <w:pBdr>
        <w:top w:val="single" w:color="000000" w:sz="4" w:space="0"/>
        <w:left w:val="single" w:color="000000" w:sz="4" w:space="0"/>
        <w:bottom w:val="single" w:color="000000" w:sz="4" w:space="0"/>
        <w:right w:val="single" w:color="000000" w:sz="4" w:space="0"/>
      </w:pBdr>
      <w:shd w:val="clear" w:color="FFFF99"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62">
    <w:name w:val="et17"/>
    <w:basedOn w:val="1"/>
    <w:qFormat/>
    <w:uiPriority w:val="0"/>
    <w:pPr>
      <w:widowControl/>
      <w:pBdr>
        <w:top w:val="single" w:color="000000" w:sz="4" w:space="0"/>
        <w:left w:val="single" w:color="000000" w:sz="4" w:space="0"/>
        <w:bottom w:val="single" w:color="000000" w:sz="4" w:space="0"/>
        <w:right w:val="single" w:color="000000" w:sz="4" w:space="0"/>
      </w:pBdr>
      <w:shd w:val="clear" w:color="FFFF99"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63">
    <w:name w:val="et18"/>
    <w:basedOn w:val="1"/>
    <w:qFormat/>
    <w:uiPriority w:val="0"/>
    <w:pPr>
      <w:widowControl/>
      <w:pBdr>
        <w:top w:val="single" w:color="000000" w:sz="4" w:space="0"/>
        <w:left w:val="single" w:color="000000" w:sz="4" w:space="0"/>
        <w:bottom w:val="single" w:color="000000" w:sz="4" w:space="0"/>
        <w:right w:val="single" w:color="000000" w:sz="4" w:space="0"/>
      </w:pBdr>
      <w:shd w:val="clear" w:color="FFFF99" w:fill="C0C0C0"/>
      <w:spacing w:before="100" w:beforeAutospacing="1" w:after="100" w:afterAutospacing="1"/>
      <w:jc w:val="center"/>
    </w:pPr>
    <w:rPr>
      <w:rFonts w:ascii="微软雅黑" w:hAnsi="微软雅黑" w:eastAsia="微软雅黑" w:cs="宋体"/>
      <w:b/>
      <w:bCs/>
      <w:color w:val="000000"/>
      <w:kern w:val="0"/>
      <w:sz w:val="24"/>
    </w:rPr>
  </w:style>
  <w:style w:type="paragraph" w:customStyle="1" w:styleId="64">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b/>
      <w:bCs/>
      <w:color w:val="000000"/>
      <w:kern w:val="0"/>
      <w:sz w:val="24"/>
    </w:rPr>
  </w:style>
  <w:style w:type="paragraph" w:customStyle="1" w:styleId="65">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b/>
      <w:bCs/>
      <w:color w:val="000000"/>
      <w:kern w:val="0"/>
      <w:sz w:val="24"/>
    </w:rPr>
  </w:style>
  <w:style w:type="paragraph" w:customStyle="1" w:styleId="66">
    <w:name w:val="et2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left"/>
    </w:pPr>
    <w:rPr>
      <w:rFonts w:ascii="微软雅黑" w:hAnsi="微软雅黑" w:eastAsia="微软雅黑" w:cs="宋体"/>
      <w:b/>
      <w:bCs/>
      <w:color w:val="000000"/>
      <w:kern w:val="0"/>
      <w:sz w:val="24"/>
    </w:rPr>
  </w:style>
  <w:style w:type="paragraph" w:customStyle="1" w:styleId="67">
    <w:name w:val="et2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C0C0C0"/>
      <w:spacing w:before="100" w:beforeAutospacing="1" w:after="100" w:afterAutospacing="1"/>
      <w:jc w:val="left"/>
    </w:pPr>
    <w:rPr>
      <w:rFonts w:ascii="微软雅黑" w:hAnsi="微软雅黑" w:eastAsia="微软雅黑" w:cs="宋体"/>
      <w:b/>
      <w:bCs/>
      <w:color w:val="000000"/>
      <w:kern w:val="0"/>
      <w:sz w:val="24"/>
    </w:rPr>
  </w:style>
  <w:style w:type="paragraph" w:customStyle="1" w:styleId="68">
    <w:name w:val="et2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69">
    <w:name w:val="et2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70">
    <w:name w:val="et2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微软雅黑" w:hAnsi="微软雅黑" w:eastAsia="微软雅黑" w:cs="宋体"/>
      <w:color w:val="000000"/>
      <w:kern w:val="0"/>
      <w:sz w:val="24"/>
    </w:rPr>
  </w:style>
  <w:style w:type="paragraph" w:customStyle="1" w:styleId="71">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72">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73">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74">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75">
    <w:name w:val="et3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76">
    <w:name w:val="et3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微软雅黑" w:hAnsi="微软雅黑" w:eastAsia="微软雅黑" w:cs="宋体"/>
      <w:color w:val="000000"/>
      <w:kern w:val="0"/>
      <w:sz w:val="24"/>
    </w:rPr>
  </w:style>
  <w:style w:type="paragraph" w:customStyle="1" w:styleId="77">
    <w:name w:val="et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78">
    <w:name w:val="et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79">
    <w:name w:val="et3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微软雅黑" w:hAnsi="微软雅黑" w:eastAsia="微软雅黑" w:cs="宋体"/>
      <w:color w:val="000000"/>
      <w:kern w:val="0"/>
      <w:sz w:val="24"/>
    </w:rPr>
  </w:style>
  <w:style w:type="paragraph" w:customStyle="1" w:styleId="80">
    <w:name w:val="et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1">
    <w:name w:val="et3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2">
    <w:name w:val="et3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3">
    <w:name w:val="et3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84">
    <w:name w:val="et3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微软雅黑" w:hAnsi="微软雅黑" w:eastAsia="微软雅黑" w:cs="宋体"/>
      <w:color w:val="000000"/>
      <w:kern w:val="0"/>
      <w:sz w:val="24"/>
    </w:rPr>
  </w:style>
  <w:style w:type="paragraph" w:customStyle="1" w:styleId="85">
    <w:name w:val="et4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6">
    <w:name w:val="et4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7">
    <w:name w:val="et4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微软雅黑" w:hAnsi="微软雅黑" w:eastAsia="微软雅黑" w:cs="宋体"/>
      <w:color w:val="000000"/>
      <w:kern w:val="0"/>
      <w:sz w:val="24"/>
    </w:rPr>
  </w:style>
  <w:style w:type="paragraph" w:customStyle="1" w:styleId="88">
    <w:name w:val="et4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89">
    <w:name w:val="et4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90">
    <w:name w:val="et4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微软雅黑" w:hAnsi="微软雅黑" w:eastAsia="微软雅黑" w:cs="宋体"/>
      <w:color w:val="000000"/>
      <w:kern w:val="0"/>
      <w:sz w:val="24"/>
    </w:rPr>
  </w:style>
  <w:style w:type="paragraph" w:customStyle="1" w:styleId="91">
    <w:name w:val="et4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92">
    <w:name w:val="et4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微软雅黑" w:hAnsi="微软雅黑" w:eastAsia="微软雅黑" w:cs="宋体"/>
      <w:color w:val="000000"/>
      <w:kern w:val="0"/>
      <w:sz w:val="24"/>
    </w:rPr>
  </w:style>
  <w:style w:type="paragraph" w:customStyle="1" w:styleId="93">
    <w:name w:val="et4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color w:val="000000"/>
      <w:kern w:val="0"/>
      <w:sz w:val="24"/>
    </w:rPr>
  </w:style>
  <w:style w:type="paragraph" w:customStyle="1" w:styleId="94">
    <w:name w:val="et4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微软雅黑" w:hAnsi="微软雅黑" w:eastAsia="微软雅黑" w:cs="宋体"/>
      <w:color w:val="000000"/>
      <w:kern w:val="0"/>
      <w:sz w:val="24"/>
    </w:rPr>
  </w:style>
  <w:style w:type="paragraph" w:customStyle="1" w:styleId="95">
    <w:name w:val="et5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color w:val="000000"/>
      <w:kern w:val="0"/>
      <w:sz w:val="24"/>
    </w:rPr>
  </w:style>
  <w:style w:type="character" w:customStyle="1" w:styleId="96">
    <w:name w:val="批注框文本 字符"/>
    <w:basedOn w:val="28"/>
    <w:link w:val="14"/>
    <w:qFormat/>
    <w:uiPriority w:val="0"/>
    <w:rPr>
      <w:kern w:val="2"/>
      <w:sz w:val="18"/>
      <w:szCs w:val="18"/>
    </w:rPr>
  </w:style>
  <w:style w:type="character" w:customStyle="1" w:styleId="97">
    <w:name w:val="批注文字 字符"/>
    <w:basedOn w:val="28"/>
    <w:link w:val="11"/>
    <w:qFormat/>
    <w:uiPriority w:val="0"/>
    <w:rPr>
      <w:kern w:val="2"/>
      <w:sz w:val="21"/>
      <w:szCs w:val="24"/>
    </w:rPr>
  </w:style>
  <w:style w:type="character" w:customStyle="1" w:styleId="98">
    <w:name w:val="批注主题 字符"/>
    <w:basedOn w:val="97"/>
    <w:link w:val="24"/>
    <w:qFormat/>
    <w:uiPriority w:val="0"/>
    <w:rPr>
      <w:b/>
      <w:bCs/>
      <w:kern w:val="2"/>
      <w:sz w:val="21"/>
      <w:szCs w:val="24"/>
    </w:rPr>
  </w:style>
  <w:style w:type="character" w:customStyle="1" w:styleId="99">
    <w:name w:val="标题 2 字符"/>
    <w:basedOn w:val="28"/>
    <w:link w:val="3"/>
    <w:semiHidden/>
    <w:qFormat/>
    <w:uiPriority w:val="9"/>
    <w:rPr>
      <w:rFonts w:ascii="Calibri Light" w:hAnsi="Calibri Light" w:eastAsia="宋体" w:cs="黑体"/>
      <w:color w:val="2D539E"/>
      <w:kern w:val="2"/>
      <w:sz w:val="40"/>
      <w:szCs w:val="40"/>
    </w:rPr>
  </w:style>
  <w:style w:type="character" w:customStyle="1" w:styleId="100">
    <w:name w:val="标题 4 字符"/>
    <w:basedOn w:val="28"/>
    <w:link w:val="5"/>
    <w:semiHidden/>
    <w:qFormat/>
    <w:uiPriority w:val="9"/>
    <w:rPr>
      <w:rFonts w:cs="黑体"/>
      <w:color w:val="2D539E"/>
      <w:kern w:val="2"/>
      <w:sz w:val="28"/>
      <w:szCs w:val="28"/>
    </w:rPr>
  </w:style>
  <w:style w:type="character" w:customStyle="1" w:styleId="101">
    <w:name w:val="标题 5 字符"/>
    <w:basedOn w:val="28"/>
    <w:link w:val="6"/>
    <w:semiHidden/>
    <w:qFormat/>
    <w:uiPriority w:val="9"/>
    <w:rPr>
      <w:rFonts w:cs="黑体"/>
      <w:color w:val="2D539E"/>
      <w:kern w:val="2"/>
      <w:sz w:val="24"/>
      <w:szCs w:val="24"/>
    </w:rPr>
  </w:style>
  <w:style w:type="character" w:customStyle="1" w:styleId="102">
    <w:name w:val="标题 6 字符"/>
    <w:basedOn w:val="28"/>
    <w:link w:val="7"/>
    <w:semiHidden/>
    <w:qFormat/>
    <w:uiPriority w:val="9"/>
    <w:rPr>
      <w:rFonts w:cs="黑体"/>
      <w:b/>
      <w:bCs/>
      <w:color w:val="2D539E"/>
      <w:kern w:val="2"/>
      <w:sz w:val="21"/>
      <w:szCs w:val="24"/>
    </w:rPr>
  </w:style>
  <w:style w:type="character" w:customStyle="1" w:styleId="103">
    <w:name w:val="标题 7 字符"/>
    <w:basedOn w:val="28"/>
    <w:link w:val="8"/>
    <w:semiHidden/>
    <w:qFormat/>
    <w:uiPriority w:val="9"/>
    <w:rPr>
      <w:rFonts w:cs="黑体"/>
      <w:b/>
      <w:bCs/>
      <w:color w:val="565656"/>
      <w:kern w:val="2"/>
      <w:sz w:val="21"/>
      <w:szCs w:val="24"/>
    </w:rPr>
  </w:style>
  <w:style w:type="character" w:customStyle="1" w:styleId="104">
    <w:name w:val="标题 8 字符"/>
    <w:basedOn w:val="28"/>
    <w:link w:val="9"/>
    <w:semiHidden/>
    <w:qFormat/>
    <w:uiPriority w:val="9"/>
    <w:rPr>
      <w:rFonts w:cs="黑体"/>
      <w:color w:val="565656"/>
      <w:kern w:val="2"/>
      <w:sz w:val="21"/>
      <w:szCs w:val="24"/>
    </w:rPr>
  </w:style>
  <w:style w:type="character" w:customStyle="1" w:styleId="105">
    <w:name w:val="标题 9 字符"/>
    <w:basedOn w:val="28"/>
    <w:link w:val="10"/>
    <w:semiHidden/>
    <w:qFormat/>
    <w:uiPriority w:val="9"/>
    <w:rPr>
      <w:rFonts w:eastAsia="宋体" w:cs="黑体"/>
      <w:color w:val="565656"/>
      <w:kern w:val="2"/>
      <w:sz w:val="21"/>
      <w:szCs w:val="24"/>
    </w:rPr>
  </w:style>
  <w:style w:type="character" w:customStyle="1" w:styleId="106">
    <w:name w:val="标题 1 字符"/>
    <w:basedOn w:val="28"/>
    <w:link w:val="2"/>
    <w:qFormat/>
    <w:uiPriority w:val="9"/>
    <w:rPr>
      <w:rFonts w:ascii="宋体" w:hAnsi="宋体"/>
      <w:b/>
      <w:bCs/>
      <w:kern w:val="44"/>
      <w:sz w:val="48"/>
      <w:szCs w:val="48"/>
    </w:rPr>
  </w:style>
  <w:style w:type="character" w:customStyle="1" w:styleId="107">
    <w:name w:val="标题 3 字符"/>
    <w:basedOn w:val="28"/>
    <w:link w:val="4"/>
    <w:qFormat/>
    <w:uiPriority w:val="9"/>
    <w:rPr>
      <w:rFonts w:ascii="Calibri" w:hAnsi="Calibri" w:eastAsia="宋体" w:cs="黑体"/>
      <w:b/>
      <w:bCs/>
      <w:kern w:val="2"/>
      <w:sz w:val="32"/>
      <w:szCs w:val="32"/>
    </w:rPr>
  </w:style>
  <w:style w:type="character" w:customStyle="1" w:styleId="108">
    <w:name w:val="标题 字符"/>
    <w:basedOn w:val="28"/>
    <w:link w:val="23"/>
    <w:qFormat/>
    <w:uiPriority w:val="10"/>
    <w:rPr>
      <w:rFonts w:ascii="Calibri Light" w:hAnsi="Calibri Light" w:eastAsia="宋体" w:cs="黑体"/>
      <w:spacing w:val="-10"/>
      <w:kern w:val="28"/>
      <w:sz w:val="56"/>
      <w:szCs w:val="56"/>
    </w:rPr>
  </w:style>
  <w:style w:type="character" w:customStyle="1" w:styleId="109">
    <w:name w:val="副标题 字符"/>
    <w:basedOn w:val="28"/>
    <w:link w:val="18"/>
    <w:qFormat/>
    <w:uiPriority w:val="11"/>
    <w:rPr>
      <w:rFonts w:ascii="Calibri Light" w:hAnsi="Calibri Light" w:eastAsia="宋体" w:cs="黑体"/>
      <w:color w:val="565656"/>
      <w:spacing w:val="15"/>
      <w:kern w:val="2"/>
      <w:sz w:val="28"/>
      <w:szCs w:val="28"/>
    </w:rPr>
  </w:style>
  <w:style w:type="character" w:customStyle="1" w:styleId="110">
    <w:name w:val="引用 字符"/>
    <w:basedOn w:val="28"/>
    <w:link w:val="38"/>
    <w:qFormat/>
    <w:uiPriority w:val="29"/>
    <w:rPr>
      <w:i/>
      <w:iCs/>
      <w:color w:val="3F3F3F"/>
      <w:kern w:val="2"/>
      <w:sz w:val="21"/>
      <w:szCs w:val="24"/>
    </w:rPr>
  </w:style>
  <w:style w:type="character" w:customStyle="1" w:styleId="111">
    <w:name w:val="明显强调1"/>
    <w:basedOn w:val="28"/>
    <w:qFormat/>
    <w:uiPriority w:val="21"/>
    <w:rPr>
      <w:i/>
      <w:iCs/>
      <w:color w:val="2D539E"/>
    </w:rPr>
  </w:style>
  <w:style w:type="character" w:customStyle="1" w:styleId="112">
    <w:name w:val="明显引用 字符"/>
    <w:basedOn w:val="28"/>
    <w:link w:val="39"/>
    <w:qFormat/>
    <w:uiPriority w:val="30"/>
    <w:rPr>
      <w:i/>
      <w:iCs/>
      <w:color w:val="2D539E"/>
      <w:kern w:val="2"/>
      <w:sz w:val="21"/>
      <w:szCs w:val="24"/>
    </w:rPr>
  </w:style>
  <w:style w:type="character" w:customStyle="1" w:styleId="113">
    <w:name w:val="明显参考1"/>
    <w:basedOn w:val="28"/>
    <w:qFormat/>
    <w:uiPriority w:val="32"/>
    <w:rPr>
      <w:b/>
      <w:bCs/>
      <w:smallCaps/>
      <w:color w:val="2D539E"/>
      <w:spacing w:val="5"/>
    </w:rPr>
  </w:style>
  <w:style w:type="character" w:customStyle="1" w:styleId="114">
    <w:name w:val="页眉 字符"/>
    <w:basedOn w:val="28"/>
    <w:link w:val="16"/>
    <w:qFormat/>
    <w:uiPriority w:val="99"/>
    <w:rPr>
      <w:kern w:val="2"/>
      <w:sz w:val="18"/>
      <w:szCs w:val="24"/>
    </w:rPr>
  </w:style>
  <w:style w:type="character" w:customStyle="1" w:styleId="115">
    <w:name w:val="页脚 字符"/>
    <w:basedOn w:val="28"/>
    <w:link w:val="15"/>
    <w:qFormat/>
    <w:uiPriority w:val="99"/>
    <w:rPr>
      <w:kern w:val="2"/>
      <w:sz w:val="18"/>
      <w:szCs w:val="24"/>
    </w:rPr>
  </w:style>
  <w:style w:type="character" w:customStyle="1" w:styleId="116">
    <w:name w:val="font51"/>
    <w:basedOn w:val="28"/>
    <w:qFormat/>
    <w:uiPriority w:val="0"/>
    <w:rPr>
      <w:rFonts w:hint="eastAsia" w:ascii="微软雅黑" w:hAnsi="微软雅黑" w:eastAsia="微软雅黑"/>
      <w:color w:val="FF0000"/>
      <w:sz w:val="24"/>
      <w:szCs w:val="24"/>
      <w:u w:val="none"/>
    </w:rPr>
  </w:style>
  <w:style w:type="character" w:customStyle="1" w:styleId="117">
    <w:name w:val="font31"/>
    <w:basedOn w:val="28"/>
    <w:qFormat/>
    <w:uiPriority w:val="0"/>
    <w:rPr>
      <w:rFonts w:hint="eastAsia" w:ascii="微软雅黑" w:hAnsi="微软雅黑" w:eastAsia="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21326</Words>
  <Characters>21626</Characters>
  <Lines>223</Lines>
  <Paragraphs>62</Paragraphs>
  <TotalTime>0</TotalTime>
  <ScaleCrop>false</ScaleCrop>
  <LinksUpToDate>false</LinksUpToDate>
  <CharactersWithSpaces>21670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2026-04-28T05:24:00Z</dcterms:created>
  <dc:creator>嘉嘉</dc:creator>
  <cp:lastModifiedBy>Administrator</cp:lastModifiedBy>
  <cp:lastPrinted>2026-02-26T01:49:00Z</cp:lastPrinted>
  <dcterms:modified xsi:type="dcterms:W3CDTF">2026-06-09T03:16:58Z</dcterms:modified>
  <dc:title>密云区“十五五”时期中关村密云园高质量发展规划</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FDC1DECDC293405E91F80CFC1AB3B124_13</vt:lpwstr>
  </property>
  <property fmtid="{D5CDD505-2E9C-101B-9397-08002B2CF9AE}" pid="4" name="KSOTemplateDocerSaveRecord">
    <vt:lpwstr>eyJoZGlkIjoiZjk4MWI1NWYwNjI0MGNjMjBjYWVjZTQwZTFjZjRiYWQiLCJ1c2VySWQiOiIxMjYzNzQ5MDIifQ==</vt:lpwstr>
  </property>
</Properties>
</file>