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58DA">
      <w:pPr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37B9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2025年度经开区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eastAsia="zh-CN"/>
        </w:rPr>
        <w:t>群众性文化团队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扶持奖励</w:t>
      </w:r>
    </w:p>
    <w:p w14:paraId="40709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办事指南</w:t>
      </w:r>
    </w:p>
    <w:p w14:paraId="375F5CBA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</w:p>
    <w:p w14:paraId="371D933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一、政策依据</w:t>
      </w:r>
    </w:p>
    <w:p w14:paraId="5288447D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《北京经济技术开发区群众性文化团队、文化活动基地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奖励办法》</w:t>
      </w:r>
    </w:p>
    <w:p w14:paraId="7090BD8B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二、申报事项</w:t>
      </w:r>
    </w:p>
    <w:p w14:paraId="45F6511A">
      <w:pPr>
        <w:spacing w:line="5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2025年度经开区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群众性文化团队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扶持奖励</w:t>
      </w:r>
    </w:p>
    <w:p w14:paraId="557FB54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  <w:t>三、申报条件</w:t>
      </w:r>
    </w:p>
    <w:p w14:paraId="5F29D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.导向正确。以习近平文化思想为指导，坚持中国特色社会主义文化发展道路，积极践行社会主义核心价值观，严格遵守法律法规，恪守行为规范，近三年无任何违法犯罪行为、无违规演出记录、无不良信用记录、无重大负面舆情。</w:t>
      </w:r>
    </w:p>
    <w:p w14:paraId="5C91D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2.人员团队。成立时间在2年以上，有固定的团队名称、热衷群众性文化活动的团队负责人、相对稳定的队伍（一般不少于20人）及基本的艺术形式。</w:t>
      </w:r>
    </w:p>
    <w:p w14:paraId="5D43E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3.活动情况。经常开展或参与各类群众性文化活动，积极参与经开区举办的各类文化活动和国家级、市级文艺活动或比赛，全年组织开展或参与各类文艺活动10场次以上。</w:t>
      </w:r>
    </w:p>
    <w:p w14:paraId="20A71C3B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  <w:t>四、支持内容及标准</w:t>
      </w:r>
    </w:p>
    <w:p w14:paraId="6B1A1F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群团组织、园区、企业单位组建的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文化团队进行评分，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评分结果确定优秀（5个）、良好（不超过10个）两个扶持等级，分别给予5万元、3万元扶持资金。</w:t>
      </w:r>
    </w:p>
    <w:p w14:paraId="3999170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对当年组织参加市级及以上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宣传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思想文化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系统主办的线下展演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活动及人民团体所组织的活动，并获得奖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的，给予不超过5万元奖励。</w:t>
      </w:r>
    </w:p>
    <w:p w14:paraId="2684FBDA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反映社会主义核心价值观、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中华优秀传统文化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且与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亦庄新城创新发展主题高度契合的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原创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文化艺术作品，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并实际公开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展演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出版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发行，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好社会影响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给予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一次性奖励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，具体奖励金额根据原创作品创排演出或出版发行的投入情况，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bidi="ar-SA"/>
        </w:rPr>
        <w:t>通过既定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程序组织评定，在当年或次年予以奖励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最高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3BDE084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五、申报材料及要求</w:t>
      </w:r>
    </w:p>
    <w:p w14:paraId="40F652ED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1.北京经济技术开发区群众性文化团队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扶持奖励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申报表，在线填写；</w:t>
      </w:r>
    </w:p>
    <w:p w14:paraId="4E1BBD0A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文化团队责任主体的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注册登记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其中企业营业执照选取电子证照，其他证照原件彩色扫描上传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389D4F16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.承诺书，下载模板填写，签字、加盖公章，彩色扫描上传；</w:t>
      </w:r>
    </w:p>
    <w:p w14:paraId="782FA54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.银行账户信息，下载模板填写，加盖公章，彩色扫描上传；</w:t>
      </w:r>
    </w:p>
    <w:p w14:paraId="3A13D229">
      <w:pPr>
        <w:spacing w:line="5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5.文化团队章程，加盖公章，彩色扫描上传；</w:t>
      </w:r>
    </w:p>
    <w:p w14:paraId="56372838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.文化团队基本情况及202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年度开展活动等情况的证明材料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，包括人员团队名册、组织管理制度、举办活动（时间、地点、内容，活动照片带水印）、参加区级活动（时间、地点、内容，活动照片带水印）、创编能力、协作协调等情况，加盖公章，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614D2951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7.文化团队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社会形象与影响力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及获奖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（奖项、奖励等）情况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的证明材料，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原件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;</w:t>
      </w:r>
    </w:p>
    <w:p w14:paraId="353318BC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2025年度工作总结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加盖公章，彩色扫描上传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2676329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六、办理程序</w:t>
      </w:r>
    </w:p>
    <w:p w14:paraId="745A762E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北京市人民政府门户网站“政策兑现专区”（https://zhengce.beijing.gov.cn）或经开区官网“政策兑现”栏目（zcdx.kfqgw.beijing.gov.cn）进入政策兑现综合服务平台，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注册登录后进行项目申报。如未在规定时间内提交申请的，视为自动放弃。</w:t>
      </w:r>
    </w:p>
    <w:p w14:paraId="2DDDBA2B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对申报主体提交的材料进行完整性审查，材料不齐全或不符合要求的，告知申报主体补齐补正。</w:t>
      </w:r>
    </w:p>
    <w:p w14:paraId="6F8CBFB6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材料进行实质审核。</w:t>
      </w:r>
    </w:p>
    <w:p w14:paraId="5D2E72DD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shd w:val="clear" w:color="auto" w:fill="auto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组织专家线下对申请材料进行评审，评审后将结果上传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系统。</w:t>
      </w:r>
    </w:p>
    <w:p w14:paraId="427EA169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对审核通过的申报主体拟定兑现扶持奖励金额。</w:t>
      </w:r>
    </w:p>
    <w:p w14:paraId="0D2FD928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对审核通过的申报主体进行公示。</w:t>
      </w:r>
    </w:p>
    <w:p w14:paraId="14D4A24B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：经公示无异议的，完成资金拨付。</w:t>
      </w:r>
    </w:p>
    <w:p w14:paraId="037A053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七、主责部门</w:t>
      </w:r>
    </w:p>
    <w:p w14:paraId="710ADAF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shd w:val="clear" w:color="auto" w:fill="auto"/>
        </w:rPr>
        <w:t>经开区</w:t>
      </w:r>
      <w:r>
        <w:rPr>
          <w:rFonts w:hint="eastAsia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</w:p>
    <w:p w14:paraId="25798F8F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八、受理窗口</w:t>
      </w:r>
    </w:p>
    <w:p w14:paraId="441111EF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“政策申报”窗口</w:t>
      </w:r>
    </w:p>
    <w:p w14:paraId="0411B889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申报时间</w:t>
      </w:r>
      <w:bookmarkStart w:id="0" w:name="_GoBack"/>
      <w:bookmarkEnd w:id="0"/>
    </w:p>
    <w:p w14:paraId="743C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2026年6月3日至2026年6月22日</w:t>
      </w:r>
    </w:p>
    <w:p w14:paraId="4260027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十、联系方式</w:t>
      </w:r>
    </w:p>
    <w:p w14:paraId="420BD71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>政策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咨询：</w:t>
      </w:r>
    </w:p>
    <w:p w14:paraId="6E816517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经开区政务服务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>大厅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010-67857878转4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010-67857687，工作日上午9:00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12:00，下午1:30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5:00。</w:t>
      </w:r>
    </w:p>
    <w:p w14:paraId="30819F39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郑云、王雅萱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83508099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6:00。</w:t>
      </w:r>
    </w:p>
    <w:p w14:paraId="3D47A71D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技术支持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6:00。</w:t>
      </w:r>
    </w:p>
    <w:p w14:paraId="350175F9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十一、收费标准</w:t>
      </w:r>
    </w:p>
    <w:p w14:paraId="2EB4EA7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不收费</w:t>
      </w:r>
    </w:p>
    <w:p w14:paraId="5B647872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十二、特别说明</w:t>
      </w:r>
    </w:p>
    <w:p w14:paraId="14D7477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shd w:val="clear" w:color="auto" w:fill="auto"/>
          <w:lang w:val="en-US" w:eastAsia="zh-CN"/>
        </w:rPr>
        <w:t>同一单位、同一主体、同一事项符合经开区其他政策规定的，按照“从高从优不重复”的原则予以支持，另有规定的除外；以上政策条款与本区或者亦庄新城新扩区（大兴、通州）等区实施的其他政策条款性质相同的，申报主体只能适用其中之一条款，不得重复申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FC16D"/>
    <w:multiLevelType w:val="singleLevel"/>
    <w:tmpl w:val="8D3FC16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FkOThlMjE5ZWRmZmFmNDdiOTQxNWJkZDk3YTg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490000"/>
    <w:rsid w:val="025430A8"/>
    <w:rsid w:val="026102BC"/>
    <w:rsid w:val="0278373A"/>
    <w:rsid w:val="028C44B2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A4312"/>
    <w:rsid w:val="04BF0B67"/>
    <w:rsid w:val="052A15A0"/>
    <w:rsid w:val="05876389"/>
    <w:rsid w:val="05933C0C"/>
    <w:rsid w:val="05AE227A"/>
    <w:rsid w:val="05AE34A7"/>
    <w:rsid w:val="05D14D85"/>
    <w:rsid w:val="06113255"/>
    <w:rsid w:val="063722CC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74443"/>
    <w:rsid w:val="093955CA"/>
    <w:rsid w:val="09431F7E"/>
    <w:rsid w:val="09677F84"/>
    <w:rsid w:val="09FF2B6A"/>
    <w:rsid w:val="0A12715A"/>
    <w:rsid w:val="0A192B78"/>
    <w:rsid w:val="0A262B2B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ED4A75"/>
    <w:rsid w:val="0FF757D0"/>
    <w:rsid w:val="101D1DF8"/>
    <w:rsid w:val="10452D67"/>
    <w:rsid w:val="106018C4"/>
    <w:rsid w:val="10653491"/>
    <w:rsid w:val="10706EEF"/>
    <w:rsid w:val="1092296C"/>
    <w:rsid w:val="10A01313"/>
    <w:rsid w:val="10A94DC2"/>
    <w:rsid w:val="10C13CF3"/>
    <w:rsid w:val="10E13271"/>
    <w:rsid w:val="11760EDB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ED4F14"/>
    <w:rsid w:val="15F61B74"/>
    <w:rsid w:val="16057493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690FD0"/>
    <w:rsid w:val="197A58E4"/>
    <w:rsid w:val="19856C91"/>
    <w:rsid w:val="19B8431B"/>
    <w:rsid w:val="19B94B48"/>
    <w:rsid w:val="19DB76A4"/>
    <w:rsid w:val="19EC634B"/>
    <w:rsid w:val="19F32EB8"/>
    <w:rsid w:val="1A0B0313"/>
    <w:rsid w:val="1A0C4625"/>
    <w:rsid w:val="1A972A1D"/>
    <w:rsid w:val="1AB25631"/>
    <w:rsid w:val="1AC071AC"/>
    <w:rsid w:val="1AC627E0"/>
    <w:rsid w:val="1AF423CA"/>
    <w:rsid w:val="1B424EE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CA613B3"/>
    <w:rsid w:val="1D075252"/>
    <w:rsid w:val="1D451EB0"/>
    <w:rsid w:val="1D615728"/>
    <w:rsid w:val="1D761D5A"/>
    <w:rsid w:val="1DA400D3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B041B6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DE6247"/>
    <w:rsid w:val="21F93416"/>
    <w:rsid w:val="220962A9"/>
    <w:rsid w:val="22C10ADF"/>
    <w:rsid w:val="22C97BF8"/>
    <w:rsid w:val="22F6591B"/>
    <w:rsid w:val="23117B7A"/>
    <w:rsid w:val="231A5872"/>
    <w:rsid w:val="23403409"/>
    <w:rsid w:val="2344764D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7F74EC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813E08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3C2928"/>
    <w:rsid w:val="315A3762"/>
    <w:rsid w:val="31624147"/>
    <w:rsid w:val="31682C84"/>
    <w:rsid w:val="318637D9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A81BC0"/>
    <w:rsid w:val="33D85697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855AA0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EE6B0C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4D26E2"/>
    <w:rsid w:val="3A5D281B"/>
    <w:rsid w:val="3A906CBE"/>
    <w:rsid w:val="3AA934A6"/>
    <w:rsid w:val="3AAF2FEE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DEF6CB9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4271B2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D742D"/>
    <w:rsid w:val="49FE7196"/>
    <w:rsid w:val="4A2E4F9F"/>
    <w:rsid w:val="4A3148B7"/>
    <w:rsid w:val="4A3C2091"/>
    <w:rsid w:val="4A41431D"/>
    <w:rsid w:val="4A633B90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32E0F"/>
    <w:rsid w:val="4C373125"/>
    <w:rsid w:val="4C990DFC"/>
    <w:rsid w:val="4CBC3A42"/>
    <w:rsid w:val="4CDC02F4"/>
    <w:rsid w:val="4CF91E5B"/>
    <w:rsid w:val="4D181700"/>
    <w:rsid w:val="4D1C75B6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5368C9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940581"/>
    <w:rsid w:val="51AA50CA"/>
    <w:rsid w:val="51D12D37"/>
    <w:rsid w:val="51E46BB8"/>
    <w:rsid w:val="52087BB7"/>
    <w:rsid w:val="521F04B3"/>
    <w:rsid w:val="528E639D"/>
    <w:rsid w:val="52C6112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7701DD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0E740D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33896"/>
    <w:rsid w:val="5D442416"/>
    <w:rsid w:val="5D5B7524"/>
    <w:rsid w:val="5D70062B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F7F077"/>
    <w:rsid w:val="601B4866"/>
    <w:rsid w:val="60235E44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7E55B4"/>
    <w:rsid w:val="62812C52"/>
    <w:rsid w:val="6284439F"/>
    <w:rsid w:val="6298596F"/>
    <w:rsid w:val="62BE7C21"/>
    <w:rsid w:val="634E079D"/>
    <w:rsid w:val="635553E5"/>
    <w:rsid w:val="63E9591E"/>
    <w:rsid w:val="640F4520"/>
    <w:rsid w:val="644E2961"/>
    <w:rsid w:val="64797172"/>
    <w:rsid w:val="649C056B"/>
    <w:rsid w:val="64AE5736"/>
    <w:rsid w:val="64BF20F5"/>
    <w:rsid w:val="64CE25B3"/>
    <w:rsid w:val="64DB4BB5"/>
    <w:rsid w:val="65155138"/>
    <w:rsid w:val="651627F0"/>
    <w:rsid w:val="65342BA2"/>
    <w:rsid w:val="658A3C2E"/>
    <w:rsid w:val="65BE0B5B"/>
    <w:rsid w:val="65C17632"/>
    <w:rsid w:val="65E9368C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A9A65FB"/>
    <w:rsid w:val="6B351E91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B7955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1321E7"/>
    <w:rsid w:val="6F345206"/>
    <w:rsid w:val="6F941165"/>
    <w:rsid w:val="6F9D2D94"/>
    <w:rsid w:val="6FA56C7C"/>
    <w:rsid w:val="6FBC2D32"/>
    <w:rsid w:val="70007B47"/>
    <w:rsid w:val="700C3790"/>
    <w:rsid w:val="702F1D23"/>
    <w:rsid w:val="705342C1"/>
    <w:rsid w:val="706A7177"/>
    <w:rsid w:val="708D3892"/>
    <w:rsid w:val="70A8641D"/>
    <w:rsid w:val="70B56644"/>
    <w:rsid w:val="70B75CF8"/>
    <w:rsid w:val="70C079DE"/>
    <w:rsid w:val="70CC6AA5"/>
    <w:rsid w:val="712573D2"/>
    <w:rsid w:val="7155010D"/>
    <w:rsid w:val="715C4E8A"/>
    <w:rsid w:val="717F152D"/>
    <w:rsid w:val="71D07EE4"/>
    <w:rsid w:val="720F3D8F"/>
    <w:rsid w:val="728F6E67"/>
    <w:rsid w:val="72956934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4F278FB"/>
    <w:rsid w:val="75250E17"/>
    <w:rsid w:val="75576C93"/>
    <w:rsid w:val="755B6103"/>
    <w:rsid w:val="75711074"/>
    <w:rsid w:val="75893E4D"/>
    <w:rsid w:val="75AB2673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6FD689C"/>
    <w:rsid w:val="770B2702"/>
    <w:rsid w:val="7718563E"/>
    <w:rsid w:val="776A3F9A"/>
    <w:rsid w:val="77901978"/>
    <w:rsid w:val="77915027"/>
    <w:rsid w:val="779D4F4D"/>
    <w:rsid w:val="77CF1648"/>
    <w:rsid w:val="77F63D9C"/>
    <w:rsid w:val="781D2C7A"/>
    <w:rsid w:val="783A56AF"/>
    <w:rsid w:val="78413BD7"/>
    <w:rsid w:val="788273A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93CE8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AFB70441"/>
    <w:rsid w:val="C7DB93C8"/>
    <w:rsid w:val="DD7E7DC7"/>
    <w:rsid w:val="DEF5E07B"/>
    <w:rsid w:val="E7F53A42"/>
    <w:rsid w:val="EEFBDD22"/>
    <w:rsid w:val="EFEEB9E2"/>
    <w:rsid w:val="F5DBA8FA"/>
    <w:rsid w:val="FD3F4F5C"/>
    <w:rsid w:val="FEEF00F5"/>
    <w:rsid w:val="FFF73784"/>
    <w:rsid w:val="FFF7E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1610</Words>
  <Characters>1793</Characters>
  <Lines>11</Lines>
  <Paragraphs>3</Paragraphs>
  <TotalTime>3</TotalTime>
  <ScaleCrop>false</ScaleCrop>
  <LinksUpToDate>false</LinksUpToDate>
  <CharactersWithSpaces>1797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2019-08-13T06:54:00Z</dcterms:created>
  <dc:creator>zkk</dc:creator>
  <cp:lastModifiedBy>张九峰</cp:lastModifiedBy>
  <cp:lastPrinted>2025-11-14T10:04:00Z</cp:lastPrinted>
  <dcterms:modified xsi:type="dcterms:W3CDTF">2026-05-27T05:02:08Z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CD11F4992E274012BC42D5D7B1E1C7CD_13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