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2F19F9">
      <w:pPr>
        <w:jc w:val="center"/>
        <w:rPr>
          <w:rFonts w:hint="eastAsia"/>
          <w:b/>
          <w:bCs/>
          <w:sz w:val="44"/>
          <w:szCs w:val="44"/>
        </w:rPr>
      </w:pPr>
      <w:r>
        <w:rPr>
          <w:rFonts w:hint="eastAsia"/>
          <w:b/>
          <w:bCs/>
          <w:sz w:val="44"/>
          <w:szCs w:val="44"/>
        </w:rPr>
        <w:t>《关于北京城市副中心支持工业和软件信息服务业绿色低碳转型发展的若干措施》</w:t>
      </w:r>
    </w:p>
    <w:p w14:paraId="1E713D3C">
      <w:pPr>
        <w:jc w:val="center"/>
        <w:rPr>
          <w:rFonts w:hint="eastAsia"/>
          <w:b/>
          <w:bCs/>
          <w:sz w:val="44"/>
          <w:szCs w:val="44"/>
        </w:rPr>
      </w:pPr>
      <w:r>
        <w:rPr>
          <w:rFonts w:hint="eastAsia"/>
          <w:b/>
          <w:bCs/>
          <w:sz w:val="44"/>
          <w:szCs w:val="44"/>
        </w:rPr>
        <w:t>起草说明</w:t>
      </w:r>
      <w:bookmarkStart w:id="2" w:name="_GoBack"/>
      <w:bookmarkEnd w:id="2"/>
    </w:p>
    <w:p w14:paraId="5411D04A">
      <w:pPr>
        <w:rPr>
          <w:rFonts w:hint="eastAsia" w:ascii="仿宋" w:hAnsi="仿宋" w:eastAsia="仿宋" w:cs="仿宋"/>
          <w:sz w:val="32"/>
          <w:szCs w:val="32"/>
        </w:rPr>
      </w:pPr>
    </w:p>
    <w:p w14:paraId="6C4F6C87">
      <w:pPr>
        <w:ind w:firstLine="640" w:firstLineChars="200"/>
        <w:rPr>
          <w:rFonts w:hint="eastAsia" w:ascii="黑体" w:hAnsi="黑体" w:eastAsia="黑体" w:cs="黑体"/>
          <w:sz w:val="32"/>
          <w:szCs w:val="32"/>
        </w:rPr>
      </w:pPr>
      <w:r>
        <w:rPr>
          <w:rFonts w:hint="eastAsia" w:ascii="黑体" w:hAnsi="黑体" w:eastAsia="黑体" w:cs="黑体"/>
          <w:sz w:val="32"/>
          <w:szCs w:val="32"/>
        </w:rPr>
        <w:t>一、制定背景</w:t>
      </w:r>
    </w:p>
    <w:p w14:paraId="09484934">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政策背景</w:t>
      </w:r>
      <w:r>
        <w:rPr>
          <w:rFonts w:hint="eastAsia" w:ascii="楷体" w:hAnsi="楷体" w:eastAsia="楷体" w:cs="楷体"/>
          <w:b/>
          <w:bCs/>
          <w:sz w:val="32"/>
          <w:szCs w:val="32"/>
          <w:lang w:eastAsia="zh-CN"/>
        </w:rPr>
        <w:t>：</w:t>
      </w:r>
      <w:r>
        <w:rPr>
          <w:rFonts w:hint="eastAsia" w:ascii="仿宋" w:hAnsi="仿宋" w:eastAsia="仿宋" w:cs="仿宋"/>
          <w:sz w:val="32"/>
          <w:szCs w:val="32"/>
        </w:rPr>
        <w:t>依据《北京城市副中心建设国家绿色发展示范区实施方案》（发改环资〔2024〕241号）及《关于加快推进北京城市副中心产业高质量发展若干措施》（通政发〔2024〕8号），为落实“双碳”战略目标，强化绿色低碳产业引领作用，推动副中心产业全方位绿色转型，制定本</w:t>
      </w:r>
      <w:r>
        <w:rPr>
          <w:rFonts w:hint="eastAsia" w:ascii="仿宋" w:hAnsi="仿宋" w:eastAsia="仿宋" w:cs="仿宋"/>
          <w:sz w:val="32"/>
          <w:szCs w:val="32"/>
          <w:lang w:eastAsia="zh-CN"/>
        </w:rPr>
        <w:t>措施</w:t>
      </w:r>
      <w:r>
        <w:rPr>
          <w:rFonts w:hint="eastAsia" w:ascii="仿宋" w:hAnsi="仿宋" w:eastAsia="仿宋" w:cs="仿宋"/>
          <w:sz w:val="32"/>
          <w:szCs w:val="32"/>
        </w:rPr>
        <w:t>。</w:t>
      </w:r>
    </w:p>
    <w:p w14:paraId="175EAC49">
      <w:pPr>
        <w:ind w:firstLine="640" w:firstLineChars="200"/>
        <w:rPr>
          <w:rFonts w:hint="eastAsia" w:ascii="仿宋" w:hAnsi="仿宋" w:eastAsia="仿宋" w:cs="仿宋"/>
          <w:sz w:val="32"/>
          <w:szCs w:val="32"/>
        </w:rPr>
      </w:pPr>
      <w:r>
        <w:rPr>
          <w:rFonts w:hint="eastAsia" w:ascii="仿宋" w:hAnsi="仿宋" w:eastAsia="仿宋" w:cs="仿宋"/>
          <w:sz w:val="32"/>
          <w:szCs w:val="32"/>
        </w:rPr>
        <w:t>当前，副中心正处于产业升级与绿色发展的关键阶段，亟需通过政策引导，激发企业创新活力，完善绿色产业链条，构建低碳生产模式。</w:t>
      </w:r>
    </w:p>
    <w:p w14:paraId="70285A54">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目标定位</w:t>
      </w:r>
      <w:r>
        <w:rPr>
          <w:rFonts w:hint="eastAsia" w:ascii="楷体" w:hAnsi="楷体" w:eastAsia="楷体" w:cs="楷体"/>
          <w:b/>
          <w:bCs/>
          <w:sz w:val="32"/>
          <w:szCs w:val="32"/>
          <w:lang w:eastAsia="zh-CN"/>
        </w:rPr>
        <w:t>：</w:t>
      </w:r>
      <w:r>
        <w:rPr>
          <w:rFonts w:hint="eastAsia" w:ascii="仿宋" w:hAnsi="仿宋" w:eastAsia="仿宋" w:cs="仿宋"/>
          <w:sz w:val="32"/>
          <w:szCs w:val="32"/>
        </w:rPr>
        <w:t>通过技术创新、场景应用、集群建设、生态构建四大路径，培育绿色低碳新动能，助力副中心打造全国绿色发展标杆。聚焦新能源、节能环保、绿色制造等核心领域，推动企业、园区、科研机构协同发展，形成绿色低碳产业生态闭环。</w:t>
      </w:r>
    </w:p>
    <w:p w14:paraId="40AF9ED9">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必要性</w:t>
      </w:r>
      <w:r>
        <w:rPr>
          <w:rFonts w:hint="eastAsia" w:ascii="楷体" w:hAnsi="楷体" w:eastAsia="楷体" w:cs="楷体"/>
          <w:b/>
          <w:bCs/>
          <w:sz w:val="32"/>
          <w:szCs w:val="32"/>
          <w:lang w:eastAsia="zh-CN"/>
        </w:rPr>
        <w:t>：</w:t>
      </w:r>
      <w:r>
        <w:rPr>
          <w:rFonts w:hint="eastAsia" w:ascii="仿宋" w:hAnsi="仿宋" w:eastAsia="仿宋" w:cs="仿宋"/>
          <w:sz w:val="32"/>
          <w:szCs w:val="32"/>
        </w:rPr>
        <w:t>现行政策对绿色低碳领域的支持力度不足，需通过资金奖励、场景开放、平台建设等组合措施，加速产业绿色化、高端化进程。本</w:t>
      </w:r>
      <w:r>
        <w:rPr>
          <w:rFonts w:hint="eastAsia" w:ascii="仿宋" w:hAnsi="仿宋" w:eastAsia="仿宋" w:cs="仿宋"/>
          <w:sz w:val="32"/>
          <w:szCs w:val="32"/>
          <w:lang w:eastAsia="zh-CN"/>
        </w:rPr>
        <w:t>措施</w:t>
      </w:r>
      <w:r>
        <w:rPr>
          <w:rFonts w:hint="eastAsia" w:ascii="仿宋" w:hAnsi="仿宋" w:eastAsia="仿宋" w:cs="仿宋"/>
          <w:sz w:val="32"/>
          <w:szCs w:val="32"/>
        </w:rPr>
        <w:t>将填补副中心绿色低碳产业专项政策空白。</w:t>
      </w:r>
    </w:p>
    <w:p w14:paraId="6717C783">
      <w:pPr>
        <w:ind w:firstLine="640" w:firstLineChars="200"/>
        <w:rPr>
          <w:rFonts w:hint="eastAsia" w:ascii="黑体" w:hAnsi="黑体" w:eastAsia="黑体" w:cs="黑体"/>
          <w:sz w:val="32"/>
          <w:szCs w:val="32"/>
        </w:rPr>
      </w:pPr>
      <w:r>
        <w:rPr>
          <w:rFonts w:hint="eastAsia" w:ascii="黑体" w:hAnsi="黑体" w:eastAsia="黑体" w:cs="黑体"/>
          <w:sz w:val="32"/>
          <w:szCs w:val="32"/>
        </w:rPr>
        <w:t>二、主要内容说明</w:t>
      </w:r>
    </w:p>
    <w:p w14:paraId="5A24DA89">
      <w:pPr>
        <w:ind w:firstLine="643" w:firstLineChars="200"/>
        <w:rPr>
          <w:rFonts w:hint="eastAsia" w:ascii="楷体" w:hAnsi="楷体" w:eastAsia="楷体" w:cs="楷体"/>
          <w:b/>
          <w:bCs/>
          <w:sz w:val="32"/>
          <w:szCs w:val="32"/>
        </w:rPr>
      </w:pPr>
      <w:r>
        <w:rPr>
          <w:rFonts w:hint="eastAsia" w:ascii="楷体" w:hAnsi="楷体" w:eastAsia="楷体" w:cs="楷体"/>
          <w:b/>
          <w:bCs/>
          <w:sz w:val="32"/>
          <w:szCs w:val="32"/>
        </w:rPr>
        <w:t>本</w:t>
      </w:r>
      <w:r>
        <w:rPr>
          <w:rFonts w:hint="eastAsia" w:ascii="楷体" w:hAnsi="楷体" w:eastAsia="楷体" w:cs="楷体"/>
          <w:b/>
          <w:bCs/>
          <w:sz w:val="32"/>
          <w:szCs w:val="32"/>
          <w:lang w:eastAsia="zh-CN"/>
        </w:rPr>
        <w:t>措施</w:t>
      </w:r>
      <w:r>
        <w:rPr>
          <w:rFonts w:hint="eastAsia" w:ascii="楷体" w:hAnsi="楷体" w:eastAsia="楷体" w:cs="楷体"/>
          <w:b/>
          <w:bCs/>
          <w:sz w:val="32"/>
          <w:szCs w:val="32"/>
        </w:rPr>
        <w:t>共</w:t>
      </w:r>
      <w:r>
        <w:rPr>
          <w:rFonts w:hint="eastAsia" w:ascii="楷体" w:hAnsi="楷体" w:eastAsia="楷体" w:cs="楷体"/>
          <w:b/>
          <w:bCs/>
          <w:sz w:val="32"/>
          <w:szCs w:val="32"/>
          <w:lang w:eastAsia="zh-CN"/>
        </w:rPr>
        <w:t>三</w:t>
      </w:r>
      <w:r>
        <w:rPr>
          <w:rFonts w:hint="eastAsia" w:ascii="楷体" w:hAnsi="楷体" w:eastAsia="楷体" w:cs="楷体"/>
          <w:b/>
          <w:bCs/>
          <w:sz w:val="32"/>
          <w:szCs w:val="32"/>
        </w:rPr>
        <w:t>章</w:t>
      </w:r>
      <w:r>
        <w:rPr>
          <w:rFonts w:hint="eastAsia" w:ascii="楷体" w:hAnsi="楷体" w:eastAsia="楷体" w:cs="楷体"/>
          <w:b/>
          <w:bCs/>
          <w:sz w:val="32"/>
          <w:szCs w:val="32"/>
          <w:lang w:eastAsia="zh-CN"/>
        </w:rPr>
        <w:t>五</w:t>
      </w:r>
      <w:r>
        <w:rPr>
          <w:rFonts w:hint="eastAsia" w:ascii="楷体" w:hAnsi="楷体" w:eastAsia="楷体" w:cs="楷体"/>
          <w:b/>
          <w:bCs/>
          <w:sz w:val="32"/>
          <w:szCs w:val="32"/>
        </w:rPr>
        <w:t>条，核心内容如下：</w:t>
      </w:r>
    </w:p>
    <w:p w14:paraId="6B11397A">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第一章 总则</w:t>
      </w:r>
    </w:p>
    <w:p w14:paraId="68CCD9BF">
      <w:pPr>
        <w:ind w:firstLine="640" w:firstLineChars="200"/>
        <w:rPr>
          <w:rFonts w:hint="default" w:ascii="仿宋" w:hAnsi="仿宋" w:eastAsia="仿宋" w:cs="仿宋"/>
          <w:b w:val="0"/>
          <w:bCs w:val="0"/>
          <w:sz w:val="32"/>
          <w:szCs w:val="32"/>
        </w:rPr>
      </w:pPr>
      <w:bookmarkStart w:id="0" w:name="OLE_LINK4"/>
      <w:r>
        <w:rPr>
          <w:rFonts w:hint="eastAsia" w:ascii="仿宋" w:hAnsi="仿宋" w:eastAsia="仿宋" w:cs="仿宋"/>
          <w:b w:val="0"/>
          <w:bCs w:val="0"/>
          <w:sz w:val="32"/>
          <w:szCs w:val="32"/>
          <w:lang w:eastAsia="zh-CN"/>
        </w:rPr>
        <w:t>为落实</w:t>
      </w:r>
      <w:r>
        <w:rPr>
          <w:rFonts w:hint="default" w:ascii="仿宋" w:hAnsi="仿宋" w:eastAsia="仿宋" w:cs="仿宋"/>
          <w:b w:val="0"/>
          <w:bCs w:val="0"/>
          <w:sz w:val="32"/>
          <w:szCs w:val="32"/>
          <w:lang w:eastAsia="zh-CN"/>
        </w:rPr>
        <w:t>《北京城市副中心建设国家绿色发展示范区实施方案》《关于北京市加快建设国际绿色经济标杆城市的实施意见》</w:t>
      </w:r>
      <w:r>
        <w:rPr>
          <w:rFonts w:hint="default" w:ascii="仿宋" w:hAnsi="仿宋" w:eastAsia="仿宋" w:cs="仿宋"/>
          <w:b w:val="0"/>
          <w:bCs w:val="0"/>
          <w:sz w:val="32"/>
          <w:szCs w:val="32"/>
        </w:rPr>
        <w:t>，加快</w:t>
      </w:r>
      <w:r>
        <w:rPr>
          <w:rFonts w:hint="eastAsia" w:ascii="仿宋" w:hAnsi="仿宋" w:eastAsia="仿宋" w:cs="仿宋"/>
          <w:b w:val="0"/>
          <w:bCs w:val="0"/>
          <w:sz w:val="32"/>
          <w:szCs w:val="32"/>
          <w:lang w:eastAsia="zh-CN"/>
        </w:rPr>
        <w:t>北京城市</w:t>
      </w:r>
      <w:r>
        <w:rPr>
          <w:rFonts w:hint="default" w:ascii="仿宋" w:hAnsi="仿宋" w:eastAsia="仿宋" w:cs="仿宋"/>
          <w:b w:val="0"/>
          <w:bCs w:val="0"/>
          <w:sz w:val="32"/>
          <w:szCs w:val="32"/>
        </w:rPr>
        <w:t>副中心工业和软件信息服务业绿色低碳</w:t>
      </w:r>
      <w:r>
        <w:rPr>
          <w:rFonts w:hint="eastAsia" w:ascii="仿宋" w:hAnsi="仿宋" w:eastAsia="仿宋" w:cs="仿宋"/>
          <w:b w:val="0"/>
          <w:bCs w:val="0"/>
          <w:sz w:val="32"/>
          <w:szCs w:val="32"/>
          <w:lang w:val="en-US" w:eastAsia="zh-CN"/>
        </w:rPr>
        <w:t>转型</w:t>
      </w:r>
      <w:r>
        <w:rPr>
          <w:rFonts w:hint="default" w:ascii="仿宋" w:hAnsi="仿宋" w:eastAsia="仿宋" w:cs="仿宋"/>
          <w:b w:val="0"/>
          <w:bCs w:val="0"/>
          <w:sz w:val="32"/>
          <w:szCs w:val="32"/>
        </w:rPr>
        <w:t>，积极构建绿色低碳生产模式，</w:t>
      </w:r>
      <w:r>
        <w:rPr>
          <w:rFonts w:hint="eastAsia" w:ascii="仿宋" w:hAnsi="仿宋" w:eastAsia="仿宋" w:cs="仿宋"/>
          <w:b w:val="0"/>
          <w:bCs w:val="0"/>
          <w:sz w:val="32"/>
          <w:szCs w:val="32"/>
          <w:lang w:eastAsia="zh-CN"/>
        </w:rPr>
        <w:t>助力国家</w:t>
      </w:r>
      <w:r>
        <w:rPr>
          <w:rFonts w:hint="default" w:ascii="仿宋" w:hAnsi="仿宋" w:eastAsia="仿宋" w:cs="仿宋"/>
          <w:b w:val="0"/>
          <w:bCs w:val="0"/>
          <w:sz w:val="32"/>
          <w:szCs w:val="32"/>
        </w:rPr>
        <w:t>绿色发展示范区</w:t>
      </w:r>
      <w:r>
        <w:rPr>
          <w:rFonts w:hint="eastAsia" w:ascii="仿宋" w:hAnsi="仿宋" w:eastAsia="仿宋" w:cs="仿宋"/>
          <w:b w:val="0"/>
          <w:bCs w:val="0"/>
          <w:sz w:val="32"/>
          <w:szCs w:val="32"/>
          <w:lang w:eastAsia="zh-CN"/>
        </w:rPr>
        <w:t>建设，</w:t>
      </w:r>
      <w:r>
        <w:rPr>
          <w:rFonts w:hint="default" w:ascii="仿宋" w:hAnsi="仿宋" w:eastAsia="仿宋" w:cs="仿宋"/>
          <w:b w:val="0"/>
          <w:bCs w:val="0"/>
          <w:sz w:val="32"/>
          <w:szCs w:val="32"/>
        </w:rPr>
        <w:t>特制定本</w:t>
      </w:r>
      <w:r>
        <w:rPr>
          <w:rFonts w:hint="eastAsia" w:ascii="仿宋" w:hAnsi="仿宋" w:eastAsia="仿宋" w:cs="仿宋"/>
          <w:b w:val="0"/>
          <w:bCs w:val="0"/>
          <w:sz w:val="32"/>
          <w:szCs w:val="32"/>
          <w:lang w:eastAsia="zh-CN"/>
        </w:rPr>
        <w:t>措施</w:t>
      </w:r>
      <w:r>
        <w:rPr>
          <w:rFonts w:hint="default" w:ascii="仿宋" w:hAnsi="仿宋" w:eastAsia="仿宋" w:cs="仿宋"/>
          <w:b w:val="0"/>
          <w:bCs w:val="0"/>
          <w:sz w:val="32"/>
          <w:szCs w:val="32"/>
        </w:rPr>
        <w:t>。</w:t>
      </w:r>
    </w:p>
    <w:bookmarkEnd w:id="0"/>
    <w:p w14:paraId="1F2FB954">
      <w:pPr>
        <w:ind w:firstLine="643" w:firstLineChars="200"/>
        <w:rPr>
          <w:rFonts w:hint="eastAsia" w:ascii="仿宋" w:hAnsi="仿宋" w:eastAsia="仿宋" w:cs="仿宋"/>
          <w:sz w:val="32"/>
          <w:szCs w:val="32"/>
        </w:rPr>
      </w:pPr>
      <w:r>
        <w:rPr>
          <w:rFonts w:hint="eastAsia" w:ascii="楷体" w:hAnsi="楷体" w:eastAsia="楷体" w:cs="楷体"/>
          <w:b/>
          <w:bCs/>
          <w:sz w:val="32"/>
          <w:szCs w:val="32"/>
        </w:rPr>
        <w:t>第二章 支持内容及标准</w:t>
      </w:r>
    </w:p>
    <w:p w14:paraId="1E513A11">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1、</w:t>
      </w:r>
      <w:r>
        <w:rPr>
          <w:rFonts w:hint="default" w:ascii="仿宋" w:hAnsi="仿宋" w:eastAsia="仿宋" w:cs="仿宋"/>
          <w:b/>
          <w:bCs/>
          <w:sz w:val="32"/>
          <w:szCs w:val="32"/>
          <w:lang w:val="en-US" w:eastAsia="zh-CN"/>
        </w:rPr>
        <w:t>绿色低碳改造升级</w:t>
      </w:r>
      <w:r>
        <w:rPr>
          <w:rFonts w:hint="eastAsia" w:ascii="仿宋" w:hAnsi="仿宋" w:eastAsia="仿宋" w:cs="仿宋"/>
          <w:b/>
          <w:bCs/>
          <w:sz w:val="32"/>
          <w:szCs w:val="32"/>
          <w:lang w:val="en-US" w:eastAsia="zh-CN"/>
        </w:rPr>
        <w:t>：</w:t>
      </w:r>
      <w:r>
        <w:rPr>
          <w:rFonts w:hint="eastAsia" w:ascii="仿宋" w:hAnsi="仿宋" w:eastAsia="仿宋" w:cs="仿宋"/>
          <w:sz w:val="32"/>
          <w:szCs w:val="32"/>
          <w:lang w:val="en-US" w:eastAsia="zh-CN"/>
        </w:rPr>
        <w:t>鼓励制造业企业及数据中心开展节能、节水、减排技术改造、清洁生产改造，加速生产方式绿色化数字化协同转型，给予最高100万元支持。</w:t>
      </w:r>
    </w:p>
    <w:p w14:paraId="637367F0">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2、企业绿色能力提升：</w:t>
      </w:r>
      <w:r>
        <w:rPr>
          <w:rFonts w:hint="default" w:ascii="仿宋" w:hAnsi="仿宋" w:eastAsia="仿宋" w:cs="仿宋"/>
          <w:sz w:val="32"/>
          <w:szCs w:val="32"/>
          <w:lang w:val="en-US" w:eastAsia="zh-CN"/>
        </w:rPr>
        <w:t>鼓励制造业企业</w:t>
      </w:r>
      <w:r>
        <w:rPr>
          <w:rFonts w:hint="eastAsia" w:ascii="仿宋" w:hAnsi="仿宋" w:eastAsia="仿宋" w:cs="仿宋"/>
          <w:sz w:val="32"/>
          <w:szCs w:val="32"/>
          <w:lang w:val="en-US" w:eastAsia="zh-CN"/>
        </w:rPr>
        <w:t>全面提升绿色化水平，达到</w:t>
      </w:r>
      <w:r>
        <w:rPr>
          <w:rFonts w:hint="default" w:ascii="仿宋" w:hAnsi="仿宋" w:eastAsia="仿宋" w:cs="仿宋"/>
          <w:sz w:val="32"/>
          <w:szCs w:val="32"/>
          <w:lang w:val="en-US" w:eastAsia="zh-CN"/>
        </w:rPr>
        <w:t>用地集约化、原料无害化、生产洁净化、废物资源化、能源低碳化，给予最高100万元支持。</w:t>
      </w:r>
    </w:p>
    <w:p w14:paraId="6C8029CA">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3、低碳、零碳转型：</w:t>
      </w:r>
      <w:r>
        <w:rPr>
          <w:rFonts w:hint="eastAsia" w:ascii="仿宋" w:hAnsi="仿宋" w:eastAsia="仿宋" w:cs="仿宋"/>
          <w:sz w:val="32"/>
          <w:szCs w:val="32"/>
          <w:lang w:val="en-US" w:eastAsia="zh-CN"/>
        </w:rPr>
        <w:t>鼓励制造业低碳零碳发展。对上年度全年碳排放强度同比下降5%及以上，企业通过非交易行为实现减少二氧化碳排放总量同比减少500吨及以上的，最高给予50万元支持。</w:t>
      </w:r>
    </w:p>
    <w:p w14:paraId="1CBAB33A">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支持制造业企业开展碳足迹管理，准确核算产品在整个生命周期内的碳排放情况，提升制造业企业碳排放管理水平。对首次开展碳足迹管理且覆盖企业主要业务领域的制造业企业，最高给予50万元支持。</w:t>
      </w:r>
    </w:p>
    <w:p w14:paraId="6DE01F32">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对通过自身节能减排措施，实现碳排放量减少，并在碳交易市场中出售核证自愿减排量（CCER）或其他合规碳减排指标的企业，根据当期碳交易量给予阶梯式奖励，最高给予15万元支持。</w:t>
      </w:r>
    </w:p>
    <w:p w14:paraId="1CE72D0E">
      <w:pPr>
        <w:ind w:firstLine="643" w:firstLineChars="200"/>
        <w:rPr>
          <w:rFonts w:hint="default" w:ascii="仿宋" w:hAnsi="仿宋" w:eastAsia="仿宋" w:cs="仿宋"/>
          <w:sz w:val="32"/>
          <w:szCs w:val="32"/>
          <w:lang w:val="en-US" w:eastAsia="zh-CN"/>
        </w:rPr>
      </w:pPr>
      <w:r>
        <w:rPr>
          <w:rFonts w:hint="eastAsia" w:ascii="仿宋" w:hAnsi="仿宋" w:eastAsia="仿宋" w:cs="仿宋"/>
          <w:b/>
          <w:bCs/>
          <w:sz w:val="32"/>
          <w:szCs w:val="32"/>
          <w:lang w:val="en-US" w:eastAsia="zh-CN"/>
        </w:rPr>
        <w:t>4、</w:t>
      </w:r>
      <w:r>
        <w:rPr>
          <w:rFonts w:hint="default" w:ascii="仿宋" w:hAnsi="仿宋" w:eastAsia="仿宋" w:cs="仿宋"/>
          <w:b/>
          <w:bCs/>
          <w:sz w:val="32"/>
          <w:szCs w:val="32"/>
          <w:lang w:val="en-US" w:eastAsia="zh-CN"/>
        </w:rPr>
        <w:t>可再生能源利用</w:t>
      </w:r>
      <w:r>
        <w:rPr>
          <w:rFonts w:hint="eastAsia" w:ascii="仿宋" w:hAnsi="仿宋" w:eastAsia="仿宋" w:cs="仿宋"/>
          <w:b/>
          <w:bCs/>
          <w:sz w:val="32"/>
          <w:szCs w:val="32"/>
          <w:lang w:val="en-US" w:eastAsia="zh-CN"/>
        </w:rPr>
        <w:t>：</w:t>
      </w:r>
      <w:r>
        <w:rPr>
          <w:rFonts w:hint="default" w:ascii="仿宋" w:hAnsi="仿宋" w:eastAsia="仿宋" w:cs="仿宋"/>
          <w:sz w:val="32"/>
          <w:szCs w:val="32"/>
          <w:lang w:val="en-US" w:eastAsia="zh-CN"/>
        </w:rPr>
        <w:t>鼓励工业企业、软件信息服务业企业因地制宜使用可再生能源替代化石能源，从根源上减少碳排放。对</w:t>
      </w:r>
      <w:r>
        <w:rPr>
          <w:rFonts w:hint="eastAsia" w:ascii="仿宋" w:hAnsi="仿宋" w:eastAsia="仿宋" w:cs="仿宋"/>
          <w:sz w:val="32"/>
          <w:szCs w:val="32"/>
          <w:lang w:val="en-US" w:eastAsia="zh-CN"/>
        </w:rPr>
        <w:t>建设</w:t>
      </w:r>
      <w:r>
        <w:rPr>
          <w:rFonts w:hint="default" w:ascii="仿宋" w:hAnsi="仿宋" w:eastAsia="仿宋" w:cs="仿宋"/>
          <w:sz w:val="32"/>
          <w:szCs w:val="32"/>
          <w:lang w:val="en-US" w:eastAsia="zh-CN"/>
        </w:rPr>
        <w:t>分布式光伏、地源热泵、空气源热泵、污水源热泵、生物质能源</w:t>
      </w:r>
      <w:r>
        <w:rPr>
          <w:rFonts w:hint="eastAsia" w:ascii="仿宋" w:hAnsi="仿宋" w:eastAsia="仿宋" w:cs="仿宋"/>
          <w:sz w:val="32"/>
          <w:szCs w:val="32"/>
          <w:lang w:val="en-US" w:eastAsia="zh-CN"/>
        </w:rPr>
        <w:t>及储能</w:t>
      </w:r>
      <w:r>
        <w:rPr>
          <w:rFonts w:hint="default" w:ascii="仿宋" w:hAnsi="仿宋" w:eastAsia="仿宋" w:cs="仿宋"/>
          <w:sz w:val="32"/>
          <w:szCs w:val="32"/>
          <w:lang w:val="en-US" w:eastAsia="zh-CN"/>
        </w:rPr>
        <w:t>等新能源利用项目</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给予最高100万元支持。</w:t>
      </w:r>
    </w:p>
    <w:p w14:paraId="12561FDA">
      <w:pPr>
        <w:ind w:firstLine="643" w:firstLineChars="200"/>
        <w:rPr>
          <w:rFonts w:hint="eastAsia" w:ascii="仿宋" w:hAnsi="仿宋" w:eastAsia="仿宋" w:cs="仿宋"/>
          <w:sz w:val="32"/>
          <w:szCs w:val="32"/>
          <w:lang w:val="en-US" w:eastAsia="zh-CN"/>
        </w:rPr>
      </w:pPr>
      <w:r>
        <w:rPr>
          <w:rFonts w:hint="eastAsia" w:ascii="仿宋" w:hAnsi="仿宋" w:eastAsia="仿宋" w:cs="仿宋"/>
          <w:b/>
          <w:bCs/>
          <w:sz w:val="32"/>
          <w:szCs w:val="32"/>
          <w:lang w:val="en-US" w:eastAsia="zh-CN"/>
        </w:rPr>
        <w:t>5、</w:t>
      </w:r>
      <w:r>
        <w:rPr>
          <w:rFonts w:hint="default" w:ascii="仿宋" w:hAnsi="仿宋" w:eastAsia="仿宋" w:cs="仿宋"/>
          <w:b/>
          <w:bCs/>
          <w:sz w:val="32"/>
          <w:szCs w:val="32"/>
          <w:lang w:val="en-US" w:eastAsia="zh-CN"/>
        </w:rPr>
        <w:t>绿色低碳会展</w:t>
      </w:r>
      <w:r>
        <w:rPr>
          <w:rFonts w:hint="eastAsia" w:ascii="仿宋" w:hAnsi="仿宋" w:eastAsia="仿宋" w:cs="仿宋"/>
          <w:b/>
          <w:bCs/>
          <w:sz w:val="32"/>
          <w:szCs w:val="32"/>
          <w:lang w:val="en-US" w:eastAsia="zh-CN"/>
        </w:rPr>
        <w:t>活动：</w:t>
      </w:r>
      <w:r>
        <w:rPr>
          <w:rFonts w:hint="default" w:ascii="仿宋" w:hAnsi="仿宋" w:eastAsia="仿宋" w:cs="仿宋"/>
          <w:sz w:val="32"/>
          <w:szCs w:val="32"/>
          <w:lang w:val="en-US" w:eastAsia="zh-CN"/>
        </w:rPr>
        <w:t>鼓励企业、行业组织举办绿色低碳学术论坛、产业峰会、行业展会、赛事等活动，根据活动规模和行业影响力，</w:t>
      </w:r>
      <w:bookmarkStart w:id="1" w:name="OLE_LINK29"/>
      <w:r>
        <w:rPr>
          <w:rFonts w:hint="default" w:ascii="仿宋" w:hAnsi="仿宋" w:eastAsia="仿宋" w:cs="仿宋"/>
          <w:sz w:val="32"/>
          <w:szCs w:val="32"/>
          <w:lang w:val="en-US" w:eastAsia="zh-CN"/>
        </w:rPr>
        <w:t>最高支持100万元</w:t>
      </w:r>
      <w:bookmarkEnd w:id="1"/>
      <w:r>
        <w:rPr>
          <w:rFonts w:hint="default" w:ascii="仿宋" w:hAnsi="仿宋" w:eastAsia="仿宋" w:cs="仿宋"/>
          <w:sz w:val="32"/>
          <w:szCs w:val="32"/>
          <w:lang w:val="en-US" w:eastAsia="zh-CN"/>
        </w:rPr>
        <w:t>。</w:t>
      </w:r>
    </w:p>
    <w:p w14:paraId="575D38A6">
      <w:pPr>
        <w:ind w:firstLine="643" w:firstLineChars="200"/>
        <w:rPr>
          <w:rFonts w:hint="eastAsia" w:ascii="仿宋" w:hAnsi="仿宋" w:eastAsia="仿宋" w:cs="仿宋"/>
          <w:sz w:val="32"/>
          <w:szCs w:val="32"/>
        </w:rPr>
      </w:pPr>
      <w:r>
        <w:rPr>
          <w:rFonts w:hint="eastAsia" w:ascii="楷体" w:hAnsi="楷体" w:eastAsia="楷体" w:cs="楷体"/>
          <w:b/>
          <w:bCs/>
          <w:sz w:val="32"/>
          <w:szCs w:val="32"/>
        </w:rPr>
        <w:t xml:space="preserve">第三章 </w:t>
      </w:r>
      <w:r>
        <w:rPr>
          <w:rFonts w:hint="default" w:ascii="楷体" w:hAnsi="楷体" w:eastAsia="楷体" w:cs="楷体"/>
          <w:b/>
          <w:bCs/>
          <w:sz w:val="32"/>
          <w:szCs w:val="32"/>
          <w:lang w:val="en-US" w:eastAsia="zh-CN"/>
        </w:rPr>
        <w:t>附则</w:t>
      </w:r>
    </w:p>
    <w:p w14:paraId="6D88C9F6">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资金管理：明确“从优不重复”原则，可叠加市级政策。</w:t>
      </w:r>
    </w:p>
    <w:p w14:paraId="1783DA68">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rPr>
        <w:t>解释权与时效：由通州区经信局负责解释，原</w:t>
      </w:r>
      <w:r>
        <w:rPr>
          <w:rFonts w:hint="eastAsia" w:ascii="仿宋" w:hAnsi="仿宋" w:eastAsia="仿宋" w:cs="仿宋"/>
          <w:sz w:val="32"/>
          <w:szCs w:val="32"/>
          <w:lang w:eastAsia="zh-CN"/>
        </w:rPr>
        <w:t>施</w:t>
      </w:r>
      <w:r>
        <w:rPr>
          <w:rFonts w:hint="eastAsia" w:ascii="仿宋" w:hAnsi="仿宋" w:eastAsia="仿宋" w:cs="仿宋"/>
          <w:sz w:val="32"/>
          <w:szCs w:val="32"/>
        </w:rPr>
        <w:t>行政策同步废止。</w:t>
      </w:r>
    </w:p>
    <w:p w14:paraId="0BEA7188">
      <w:pPr>
        <w:ind w:firstLine="640" w:firstLineChars="200"/>
        <w:rPr>
          <w:rFonts w:hint="eastAsia" w:ascii="黑体" w:hAnsi="黑体" w:eastAsia="黑体" w:cs="黑体"/>
          <w:sz w:val="32"/>
          <w:szCs w:val="32"/>
        </w:rPr>
      </w:pPr>
      <w:r>
        <w:rPr>
          <w:rFonts w:hint="eastAsia" w:ascii="黑体" w:hAnsi="黑体" w:eastAsia="黑体" w:cs="黑体"/>
          <w:sz w:val="32"/>
          <w:szCs w:val="32"/>
        </w:rPr>
        <w:t>三、实施保障</w:t>
      </w:r>
    </w:p>
    <w:p w14:paraId="1F9FB0E7">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1、</w:t>
      </w:r>
      <w:r>
        <w:rPr>
          <w:rFonts w:hint="eastAsia" w:ascii="楷体" w:hAnsi="楷体" w:eastAsia="楷体" w:cs="楷体"/>
          <w:b/>
          <w:bCs/>
          <w:sz w:val="32"/>
          <w:szCs w:val="32"/>
        </w:rPr>
        <w:t>政策衔接：</w:t>
      </w:r>
      <w:r>
        <w:rPr>
          <w:rFonts w:hint="eastAsia" w:ascii="仿宋" w:hAnsi="仿宋" w:eastAsia="仿宋" w:cs="仿宋"/>
          <w:sz w:val="32"/>
          <w:szCs w:val="32"/>
        </w:rPr>
        <w:t>与市级绿色金融、产业扶持政策形成互补，构建“市区联动”支持网络。</w:t>
      </w:r>
    </w:p>
    <w:p w14:paraId="0F04AD68">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2、</w:t>
      </w:r>
      <w:r>
        <w:rPr>
          <w:rFonts w:hint="eastAsia" w:ascii="楷体" w:hAnsi="楷体" w:eastAsia="楷体" w:cs="楷体"/>
          <w:b/>
          <w:bCs/>
          <w:sz w:val="32"/>
          <w:szCs w:val="32"/>
        </w:rPr>
        <w:t>动态优化：</w:t>
      </w:r>
      <w:r>
        <w:rPr>
          <w:rFonts w:hint="eastAsia" w:ascii="仿宋" w:hAnsi="仿宋" w:eastAsia="仿宋" w:cs="仿宋"/>
          <w:sz w:val="32"/>
          <w:szCs w:val="32"/>
        </w:rPr>
        <w:t>建立企业需求反馈机制，定期评估政策落地效果，适时调整支持方向与力度。</w:t>
      </w:r>
    </w:p>
    <w:p w14:paraId="1C047AD8">
      <w:pPr>
        <w:ind w:firstLine="643" w:firstLineChars="200"/>
        <w:rPr>
          <w:rFonts w:hint="eastAsia" w:ascii="仿宋" w:hAnsi="仿宋" w:eastAsia="仿宋" w:cs="仿宋"/>
          <w:sz w:val="32"/>
          <w:szCs w:val="32"/>
        </w:rPr>
      </w:pPr>
      <w:r>
        <w:rPr>
          <w:rFonts w:hint="eastAsia" w:ascii="楷体" w:hAnsi="楷体" w:eastAsia="楷体" w:cs="楷体"/>
          <w:b/>
          <w:bCs/>
          <w:sz w:val="32"/>
          <w:szCs w:val="32"/>
          <w:lang w:val="en-US" w:eastAsia="zh-CN"/>
        </w:rPr>
        <w:t>3、</w:t>
      </w:r>
      <w:r>
        <w:rPr>
          <w:rFonts w:hint="eastAsia" w:ascii="楷体" w:hAnsi="楷体" w:eastAsia="楷体" w:cs="楷体"/>
          <w:b/>
          <w:bCs/>
          <w:sz w:val="32"/>
          <w:szCs w:val="32"/>
        </w:rPr>
        <w:t>风险防控：</w:t>
      </w:r>
      <w:r>
        <w:rPr>
          <w:rFonts w:hint="eastAsia" w:ascii="仿宋" w:hAnsi="仿宋" w:eastAsia="仿宋" w:cs="仿宋"/>
          <w:sz w:val="32"/>
          <w:szCs w:val="32"/>
        </w:rPr>
        <w:t>严格项目审核与资金监管，确保财政投入精准高效，杜绝重复申报与套利行为。</w:t>
      </w:r>
    </w:p>
    <w:p w14:paraId="488B257C">
      <w:pPr>
        <w:ind w:firstLine="640" w:firstLineChars="200"/>
        <w:rPr>
          <w:rFonts w:hint="eastAsia" w:ascii="仿宋" w:hAnsi="仿宋" w:eastAsia="仿宋" w:cs="仿宋"/>
          <w:sz w:val="32"/>
          <w:szCs w:val="32"/>
        </w:rPr>
      </w:pPr>
      <w:r>
        <w:rPr>
          <w:rFonts w:hint="eastAsia" w:ascii="仿宋" w:hAnsi="仿宋" w:eastAsia="仿宋" w:cs="仿宋"/>
          <w:sz w:val="32"/>
          <w:szCs w:val="32"/>
        </w:rPr>
        <w:t>本</w:t>
      </w:r>
      <w:r>
        <w:rPr>
          <w:rFonts w:hint="eastAsia" w:ascii="仿宋" w:hAnsi="仿宋" w:eastAsia="仿宋" w:cs="仿宋"/>
          <w:sz w:val="32"/>
          <w:szCs w:val="32"/>
          <w:lang w:eastAsia="zh-CN"/>
        </w:rPr>
        <w:t>措施</w:t>
      </w:r>
      <w:r>
        <w:rPr>
          <w:rFonts w:hint="eastAsia" w:ascii="仿宋" w:hAnsi="仿宋" w:eastAsia="仿宋" w:cs="仿宋"/>
          <w:sz w:val="32"/>
          <w:szCs w:val="32"/>
        </w:rPr>
        <w:t>的制定与实施，将系统性推动副中心绿色低碳产业高质量发展，为全国绿色发展示范区建设提供可复制的“通州模式”。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1F05FB"/>
    <w:rsid w:val="17CE0197"/>
    <w:rsid w:val="77F1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next w:val="1"/>
    <w:uiPriority w:val="0"/>
    <w:rPr>
      <w:rFonts w:ascii="宋体" w:hAnsi="Courier New" w:eastAsia="宋体"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1395</Words>
  <Characters>1451</Characters>
  <Lines>0</Lines>
  <Paragraphs>0</Paragraphs>
  <TotalTime>2</TotalTime>
  <ScaleCrop>false</ScaleCrop>
  <LinksUpToDate>false</LinksUpToDate>
  <CharactersWithSpaces>1457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2025-03-14T05:47:00Z</dcterms:created>
  <dc:creator>Administrator</dc:creator>
  <cp:lastModifiedBy>侯佳炜</cp:lastModifiedBy>
  <dcterms:modified xsi:type="dcterms:W3CDTF">2026-05-25T09:50:09Z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eyJoZGlkIjoiNjJiNDcwODZiZjkwYThlMjUwMTM0ZjA0NjVmY2U0OWIiLCJ1c2VySWQiOiI0MzQ4NDYzNDcifQ==</vt:lpwstr>
  </property>
  <property fmtid="{D5CDD505-2E9C-101B-9397-08002B2CF9AE}" pid="4" name="ICV">
    <vt:lpwstr>CC6AA5FA1D1C4637B61622AFD75FD571_12</vt:lpwstr>
  </property>
</Properties>
</file>