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255DB">
      <w:pPr>
        <w:pStyle w:val="14"/>
        <w:bidi w:val="0"/>
        <w:rPr>
          <w:rFonts w:hint="default"/>
          <w:lang w:val="en-US" w:eastAsia="zh-CN"/>
        </w:rPr>
      </w:pPr>
      <w:bookmarkStart w:id="0" w:name="_GoBack"/>
      <w:r>
        <w:rPr>
          <w:rFonts w:hint="default"/>
          <w:lang w:val="en-US" w:eastAsia="zh-CN"/>
        </w:rPr>
        <w:t>顺义区“十五五”规划纲要政策解读</w:t>
      </w:r>
    </w:p>
    <w:bookmarkEnd w:id="0"/>
    <w:p w14:paraId="7E1BDA9E">
      <w:pPr>
        <w:pStyle w:val="8"/>
        <w:bidi w:val="0"/>
        <w:rPr>
          <w:rFonts w:hint="default"/>
          <w:lang w:val="en-US" w:eastAsia="zh-CN"/>
        </w:rPr>
      </w:pPr>
      <w:r>
        <w:rPr>
          <w:rFonts w:hint="default"/>
          <w:lang w:val="en-US" w:eastAsia="zh-CN"/>
        </w:rPr>
        <w:t>发布日期：2026-04-23</w:t>
      </w:r>
      <w:r>
        <w:rPr>
          <w:rFonts w:hint="eastAsia"/>
          <w:lang w:val="en-US" w:eastAsia="zh-CN"/>
        </w:rPr>
        <w:t xml:space="preserve">               </w:t>
      </w:r>
      <w:r>
        <w:rPr>
          <w:rFonts w:hint="default"/>
          <w:lang w:val="en-US" w:eastAsia="zh-CN"/>
        </w:rPr>
        <w:t>来源单位：北京市顺义区发展和改革委员会</w:t>
      </w:r>
    </w:p>
    <w:p w14:paraId="0DB312BA">
      <w:pPr>
        <w:pStyle w:val="2"/>
        <w:bidi w:val="0"/>
        <w:rPr>
          <w:rFonts w:hint="default"/>
          <w:lang w:val="en-US" w:eastAsia="zh-CN"/>
        </w:rPr>
      </w:pPr>
      <w:r>
        <w:rPr>
          <w:rFonts w:hint="default"/>
          <w:lang w:val="en-US" w:eastAsia="zh-CN"/>
        </w:rPr>
        <w:t>一、该文件的背景依据是什么？</w:t>
      </w:r>
    </w:p>
    <w:p w14:paraId="1EB39F80">
      <w:pPr>
        <w:ind w:firstLine="560" w:firstLineChars="200"/>
        <w:rPr>
          <w:rFonts w:hint="default"/>
          <w:lang w:val="en-US" w:eastAsia="zh-CN"/>
        </w:rPr>
      </w:pPr>
      <w:r>
        <w:rPr>
          <w:rFonts w:hint="default"/>
          <w:lang w:val="en-US" w:eastAsia="zh-CN"/>
        </w:rPr>
        <w:t>依据《中共中央关于制定国民经济和社会发展第十五个五年规划的建议》以及《中共北京市委关于制定北京市国民经济和社会发展第十五个五年规划的建议》，按照区委、区政府“十五五”规划编制总体部署排，区发改委会同有关部门形成了《顺义区国民经济和社会发展第十五个五年规划纲要》（以下简称规划《纲要》）。</w:t>
      </w:r>
    </w:p>
    <w:p w14:paraId="52C0B54E">
      <w:pPr>
        <w:pStyle w:val="2"/>
        <w:bidi w:val="0"/>
        <w:rPr>
          <w:rFonts w:hint="default"/>
          <w:lang w:val="en-US" w:eastAsia="zh-CN"/>
        </w:rPr>
      </w:pPr>
      <w:r>
        <w:rPr>
          <w:rFonts w:hint="default"/>
          <w:lang w:val="en-US" w:eastAsia="zh-CN"/>
        </w:rPr>
        <w:t>二、该文件对“十四五”如何进行了总结？</w:t>
      </w:r>
    </w:p>
    <w:p w14:paraId="161524F3">
      <w:pPr>
        <w:ind w:firstLine="560" w:firstLineChars="200"/>
        <w:rPr>
          <w:rFonts w:hint="default"/>
          <w:lang w:val="en-US" w:eastAsia="zh-CN"/>
        </w:rPr>
      </w:pPr>
      <w:r>
        <w:rPr>
          <w:rFonts w:hint="default"/>
          <w:lang w:val="en-US" w:eastAsia="zh-CN"/>
        </w:rPr>
        <w:t>“十四五”时期是极不平凡的五年，顺义区高举中国特色社会主义伟大旗帜，以习近平新时代中国特色社会主义思想为指导，全面贯彻党的二十大和二十届二中、三中、四中全会精神，在市委市政府的坚强领导下，区委、区政府总揽全局、协调各方，改革创新、狠抓落实，深入贯彻落实中央、市委决策部署，坚持完整准确全面贯彻新发展理念，坚持以新时代首都发展为统领，坚定信心、迎难而上、砥砺奋进，积极应对复杂严峻的外部环境和世纪疫情的冲击影响，全力建设首都现代化平原新城，积极推动“港产城”融合发展，较好完成了“十四五”规划确定的主要目标任务，服务首都功能建设不断强化，经济高质量发展取得新成效，平原新城建设取得新突破，生态文明底色持续擦亮，民生福祉不断增进，改革开放实践纵深推进，各项事业取得新进展，现代化新征程实现良好开局。</w:t>
      </w:r>
    </w:p>
    <w:p w14:paraId="2850B371">
      <w:pPr>
        <w:pStyle w:val="2"/>
        <w:bidi w:val="0"/>
        <w:rPr>
          <w:rFonts w:hint="default"/>
          <w:lang w:val="en-US" w:eastAsia="zh-CN"/>
        </w:rPr>
      </w:pPr>
      <w:r>
        <w:rPr>
          <w:rFonts w:hint="default"/>
          <w:lang w:val="en-US" w:eastAsia="zh-CN"/>
        </w:rPr>
        <w:t>三、该文件如何开展的研究编制工作？</w:t>
      </w:r>
    </w:p>
    <w:p w14:paraId="2605B38E">
      <w:pPr>
        <w:ind w:firstLine="560" w:firstLineChars="200"/>
        <w:rPr>
          <w:rFonts w:hint="default"/>
          <w:lang w:val="en-US" w:eastAsia="zh-CN"/>
        </w:rPr>
      </w:pPr>
      <w:r>
        <w:rPr>
          <w:rFonts w:hint="default"/>
          <w:lang w:val="en-US" w:eastAsia="zh-CN"/>
        </w:rPr>
        <w:t>一是强化顶层设计。2025年4月，印发《顺义区“十五五”规划编制工作方案》，5月，区政府组织召开“十五五”规划编制动员部署会，全面启动规划编制工作。区委区政府高度重视，区领导在规划基本思路起草、《纲要》编制各个阶段亲自把关指导，区委、区政府主要领导多次指导研究“十五五”规划纲要研究编制工作，分管区领导带领部门调查研究拟纳入《纲要》的主要内容，为《纲要》起草完善提供有力支撑。</w:t>
      </w:r>
    </w:p>
    <w:p w14:paraId="4A763B7B">
      <w:pPr>
        <w:ind w:firstLine="560" w:firstLineChars="200"/>
        <w:rPr>
          <w:rFonts w:hint="default"/>
          <w:lang w:val="en-US" w:eastAsia="zh-CN"/>
        </w:rPr>
      </w:pPr>
      <w:r>
        <w:rPr>
          <w:rFonts w:hint="default"/>
          <w:lang w:val="en-US" w:eastAsia="zh-CN"/>
        </w:rPr>
        <w:t>二是深入开展调查研究。组织课题组与区委、区政府主要领导，就“十五五”期间经济社会发展重大事项、重点领域、重要举措等进行了访谈交流。分批次组织30家部门、25个镇街、2个园区及“5+4”产业重点企业开展调研座谈，各部门牵头组织开展了5大领域24项前期课题研究，为规划编制提供了有力支撑。</w:t>
      </w:r>
    </w:p>
    <w:p w14:paraId="41D32434">
      <w:pPr>
        <w:ind w:firstLine="560" w:firstLineChars="200"/>
        <w:rPr>
          <w:rFonts w:hint="default"/>
          <w:lang w:val="en-US" w:eastAsia="zh-CN"/>
        </w:rPr>
      </w:pPr>
      <w:r>
        <w:rPr>
          <w:rFonts w:hint="default"/>
          <w:lang w:val="en-US" w:eastAsia="zh-CN"/>
        </w:rPr>
        <w:t>三是广泛征求社会意见。开通邮箱、网站、微信、电话、信件等多种公众建言渠道，征集公众建言396条。开展面向2000名居民、100名外籍人士、45家企业的针对性社会调查，收回居民代表和外籍人士有效问卷共2120份，并分别形成调查项目分析报告。组织召开多层次专题建言座谈会，多方面听取对我区“十五五”经济社会发展的意见建议。书面征集区属各部门、镇街意见。我们对各途径获取的意见建议进行了充分吸纳，部分专业性强、内容具体的意见建议，将在后续相应专项规划中进行吸纳。</w:t>
      </w:r>
    </w:p>
    <w:p w14:paraId="1F1452D7">
      <w:pPr>
        <w:ind w:firstLine="560" w:firstLineChars="200"/>
        <w:rPr>
          <w:rFonts w:hint="default"/>
          <w:lang w:val="en-US" w:eastAsia="zh-CN"/>
        </w:rPr>
      </w:pPr>
      <w:r>
        <w:rPr>
          <w:rFonts w:hint="default"/>
          <w:lang w:val="en-US" w:eastAsia="zh-CN"/>
        </w:rPr>
        <w:t>四是全面做好规划衔接。对标对表中央、市委规划建议精神对“十五五”时期发展形势、基本要求、发展目标、重点任务的部署要求，高频做好与市级规划《纲要》的沟通衔接，保障了形势判断、主要指标、重大任务等与市级规划的动态有效衔接。同时，充分衔接区委规划建设，与区委规划建议同步起草、共同研究。同步衔接首都都市圈空间协同规划相关要求。系统梳理了分区规划、“一区一策”平原新城高质量发展实施方案等主要目标及重大任务，确保各规划有机衔接、同频共振。</w:t>
      </w:r>
    </w:p>
    <w:p w14:paraId="2F8E1B62">
      <w:pPr>
        <w:ind w:firstLine="560" w:firstLineChars="200"/>
        <w:rPr>
          <w:rFonts w:hint="default"/>
          <w:lang w:val="en-US" w:eastAsia="zh-CN"/>
        </w:rPr>
      </w:pPr>
      <w:r>
        <w:rPr>
          <w:rFonts w:hint="default"/>
          <w:lang w:val="en-US" w:eastAsia="zh-CN"/>
        </w:rPr>
        <w:t>五是集中力量起草纲要。组建“发改委+主要部门+智库团队”的规划纲要起草组，对标对表中央、市委规划建议精神，充分吸收前期课题研究成果和各专项规划成果，开展多轮集中封闭起草，累计修50余稿。结合中央、市委市政府最新精神和区领导要求，不定期开展集中研讨和部门沟通对接，不断修改完善纲要文本。</w:t>
      </w:r>
    </w:p>
    <w:p w14:paraId="6A7C58BF">
      <w:pPr>
        <w:pStyle w:val="2"/>
        <w:bidi w:val="0"/>
        <w:rPr>
          <w:rFonts w:hint="default"/>
          <w:lang w:val="en-US" w:eastAsia="zh-CN"/>
        </w:rPr>
      </w:pPr>
      <w:r>
        <w:rPr>
          <w:rFonts w:hint="default"/>
          <w:lang w:val="en-US" w:eastAsia="zh-CN"/>
        </w:rPr>
        <w:t>四、该文件提出的主要目标是什么？</w:t>
      </w:r>
    </w:p>
    <w:p w14:paraId="2B6CB11B">
      <w:pPr>
        <w:ind w:firstLine="560" w:firstLineChars="200"/>
        <w:rPr>
          <w:rFonts w:hint="default"/>
          <w:lang w:val="en-US" w:eastAsia="zh-CN"/>
        </w:rPr>
      </w:pPr>
      <w:r>
        <w:rPr>
          <w:rFonts w:hint="default"/>
          <w:lang w:val="en-US" w:eastAsia="zh-CN"/>
        </w:rPr>
        <w:t>“十五五”时期主要目标：紧扣功能定位，夯实临空优势，补齐短板弱项，加速形成“以港兴产、以产促城、港城一体”的港产城深度融合发展局面，加快塑造以先进制造业为骨干，“开放创新、两业融合、集约高效”的现代化产业体系，经济和社会协调发展、物质文明和精神文明相得益彰，全区经济和社会发展实现高质量跃升，在率先基本实现社会主义现代化进程中走在平原新城前列。</w:t>
      </w:r>
    </w:p>
    <w:p w14:paraId="501B4AB7">
      <w:pPr>
        <w:pStyle w:val="2"/>
        <w:bidi w:val="0"/>
        <w:rPr>
          <w:rFonts w:hint="default"/>
          <w:lang w:val="en-US" w:eastAsia="zh-CN"/>
        </w:rPr>
      </w:pPr>
      <w:r>
        <w:rPr>
          <w:rFonts w:hint="default"/>
          <w:lang w:val="en-US" w:eastAsia="zh-CN"/>
        </w:rPr>
        <w:t>五、该文件提出的主要内容是什么？</w:t>
      </w:r>
    </w:p>
    <w:p w14:paraId="1746B416">
      <w:pPr>
        <w:ind w:firstLine="560" w:firstLineChars="200"/>
        <w:rPr>
          <w:rFonts w:hint="default"/>
          <w:lang w:val="en-US" w:eastAsia="zh-CN"/>
        </w:rPr>
      </w:pPr>
      <w:r>
        <w:rPr>
          <w:rFonts w:hint="default"/>
          <w:lang w:val="en-US" w:eastAsia="zh-CN"/>
        </w:rPr>
        <w:t>对标落实中央、市委规划建议精神，突出市委市政府对顺义功能定位的要求，细化区委规划建议总体部署，规划《纲要》共设置12章、分三大板块。第1章为第一板块，主题为开启平原新城现代化建设新篇章，主要是在回顾过去五年现代化建设成就、分析研判形势基础上，提出未来五年的总体要求、主要目标。第2-11章为第二板块，分10章部署未来五年的主要任务，一是坚持以服务首都发展为统领，衔接市委规划建议，将服务“四个中心”、融入京津冀协同发展等内容放在最靠前位置，部署了深度融入新时代首都发展的重点任务。二是突出顺义特点，将体现顺义特点的“港”“产”“城”“乡”分别成章，将深化重点领域改革章节放在“港”“产”之后，作为支撑其高质量发展的动力进行部署。包括聚力打造国际临空都市港、加快建设现代化产业体系、奋力打开改革发展新空间、建设宜居宜业高品质新城、扎实推进乡村全面振兴等相关内容。三是落实以人民为中心的发展思想，部署了文化、民生、绿色、安全的主要任务；包括进一步繁荣发展区域文化、共创幸福美好富裕新生活、系统绘就美丽顺义新画卷、筑牢平安顺义安全新防线等相关内容。第12章为第三板块，主要是强化规划实施保障相关内容。</w:t>
      </w:r>
    </w:p>
    <w:p w14:paraId="42F3831D">
      <w:pPr>
        <w:pStyle w:val="2"/>
        <w:bidi w:val="0"/>
        <w:rPr>
          <w:rFonts w:hint="default"/>
          <w:lang w:val="en-US" w:eastAsia="zh-CN"/>
        </w:rPr>
      </w:pPr>
      <w:r>
        <w:rPr>
          <w:rFonts w:hint="default"/>
          <w:lang w:val="en-US" w:eastAsia="zh-CN"/>
        </w:rPr>
        <w:t>六、该文件涉及范围是什么？</w:t>
      </w:r>
    </w:p>
    <w:p w14:paraId="30E3C810">
      <w:pPr>
        <w:ind w:firstLine="560" w:firstLineChars="200"/>
        <w:rPr>
          <w:rFonts w:hint="default"/>
          <w:lang w:val="en-US" w:eastAsia="zh-CN"/>
        </w:rPr>
      </w:pPr>
      <w:r>
        <w:rPr>
          <w:rFonts w:hint="default"/>
          <w:lang w:val="en-US" w:eastAsia="zh-CN"/>
        </w:rPr>
        <w:t>规划《纲要》适用于顺义区国民经济和社会发展各领域。</w:t>
      </w:r>
    </w:p>
    <w:p w14:paraId="1544F062">
      <w:pPr>
        <w:pStyle w:val="2"/>
        <w:bidi w:val="0"/>
        <w:rPr>
          <w:rFonts w:hint="default"/>
          <w:lang w:val="en-US" w:eastAsia="zh-CN"/>
        </w:rPr>
      </w:pPr>
      <w:r>
        <w:rPr>
          <w:rFonts w:hint="default"/>
          <w:lang w:val="en-US" w:eastAsia="zh-CN"/>
        </w:rPr>
        <w:t>七、该文件执行标准是什么？</w:t>
      </w:r>
    </w:p>
    <w:p w14:paraId="747F6CB5">
      <w:pPr>
        <w:ind w:firstLine="560" w:firstLineChars="200"/>
        <w:rPr>
          <w:rFonts w:hint="default"/>
          <w:lang w:val="en-US" w:eastAsia="zh-CN"/>
        </w:rPr>
      </w:pPr>
      <w:r>
        <w:rPr>
          <w:rFonts w:hint="default"/>
          <w:lang w:val="en-US" w:eastAsia="zh-CN"/>
        </w:rPr>
        <w:t>依据《中共中央关于制定国民经济和社会发展第十五个五年规划的建议》以及《中共北京市委关于制定北京市国民经济和社会发展第十五个五年规划的建议》编制。</w:t>
      </w:r>
    </w:p>
    <w:p w14:paraId="437DD676">
      <w:pPr>
        <w:pStyle w:val="2"/>
        <w:bidi w:val="0"/>
        <w:rPr>
          <w:rFonts w:hint="default"/>
          <w:lang w:val="en-US" w:eastAsia="zh-CN"/>
        </w:rPr>
      </w:pPr>
      <w:r>
        <w:rPr>
          <w:rFonts w:hint="default"/>
          <w:lang w:val="en-US" w:eastAsia="zh-CN"/>
        </w:rPr>
        <w:t>八、该文件有什么注意事项？</w:t>
      </w:r>
    </w:p>
    <w:p w14:paraId="68A4D4E4">
      <w:pPr>
        <w:ind w:firstLine="560" w:firstLineChars="200"/>
        <w:rPr>
          <w:rFonts w:hint="default"/>
          <w:lang w:val="en-US" w:eastAsia="zh-CN"/>
        </w:rPr>
      </w:pPr>
      <w:r>
        <w:rPr>
          <w:rFonts w:hint="default"/>
          <w:lang w:val="en-US" w:eastAsia="zh-CN"/>
        </w:rPr>
        <w:t>本规划纲要执行期为2026年—2030年。</w:t>
      </w:r>
    </w:p>
    <w:p w14:paraId="6DB2EEB5">
      <w:pPr>
        <w:pStyle w:val="2"/>
        <w:bidi w:val="0"/>
        <w:rPr>
          <w:rFonts w:hint="default"/>
          <w:lang w:val="en-US" w:eastAsia="zh-CN"/>
        </w:rPr>
      </w:pPr>
      <w:r>
        <w:rPr>
          <w:rFonts w:hint="default"/>
          <w:lang w:val="en-US" w:eastAsia="zh-CN"/>
        </w:rPr>
        <w:t>九、该文件涉及的关键字有哪些？</w:t>
      </w:r>
    </w:p>
    <w:p w14:paraId="3507B41F">
      <w:pPr>
        <w:ind w:firstLine="560" w:firstLineChars="200"/>
        <w:rPr>
          <w:rFonts w:hint="default"/>
          <w:lang w:val="en-US" w:eastAsia="zh-CN"/>
        </w:rPr>
      </w:pPr>
      <w:r>
        <w:rPr>
          <w:rFonts w:hint="default"/>
          <w:lang w:val="en-US" w:eastAsia="zh-CN"/>
        </w:rPr>
        <w:t>1.国际临空都市港。是彰显首都功能承载的总名片，是推动我区“港产城”融合发展的重要承载区。范围北至北六环路及机场北线高速、东至东六环路、南至京平高速、西至温榆河，共计115.7平方公里，包括南法信镇、高丽营镇、后沙峪镇、天竺镇、李桥镇及空港街道“五镇一街”全域，及临空经济示范区、中国（北京）自由贸易试验区、新国展、中德示范区南区、海创城等重点功能片区。“十五五”期间，将以强化首都机场国际航空枢纽全方位复合型门户功能为核心引擎，以深化自由贸易试验区先行先试功能、新国展会展交往功能、海创城和中德示范区（南区）国际科技创新功能为支撑，以“港产城”深度融合为使命，统筹“五镇一街”全域资源，建设国际临空都市港，构建高品质国际化环境，打造服务国际交往中心建设的高能级功能区。</w:t>
      </w:r>
    </w:p>
    <w:p w14:paraId="7D08F23B">
      <w:pPr>
        <w:ind w:firstLine="560" w:firstLineChars="200"/>
        <w:rPr>
          <w:rFonts w:hint="default"/>
          <w:lang w:val="en-US" w:eastAsia="zh-CN"/>
        </w:rPr>
      </w:pPr>
      <w:r>
        <w:rPr>
          <w:rFonts w:hint="default"/>
          <w:lang w:val="en-US" w:eastAsia="zh-CN"/>
        </w:rPr>
        <w:t>2.京津冀智能网联新能源汽车科技生态港（顺义）。规划总面积8000亩，顺义园区规划面积2500亩，将分三期建设，以汽车电子、汽车智能和汽车品质升级为主导方向，着力打造成为立足京津冀、辐射北方的智能网联新能源汽车供应链保障基地，国内领先的汽车零部件产品测试、验证和生产基地，体现中国式现代化的新质生产力发展示范样板。主要建设内容包括工业厂房、综合服务中心、展示中心、智慧仓储、检验检测中心等。“十五五”期间重点任务为：高标准建设园区。推进李遂镇街区控规加快批复，支持京津冀智能网联新能源汽车科技生态港（顺义）土地供应开发，保障京津冀智能网联新能源汽车科技生态港（顺义）发展空间。建设专精特新标厂、工业上楼样板间、国家自动驾驶汽车质量检验检测中心，布局研发服务中心及配套设施。推动与周边整车企业、研发中心及北京高级别自动驾驶示范区深度联动，叠加汽车文化、服务等功能，构建“研发创新－智能制造－服务配套”全产业链闭环创新生态。塑造汽车文化特色。支持开发汽车越野营地、高端赛事等特色场景，将汽车文化融入京津冀智能网联新能源汽车科技生态港（顺义）协同发展格局。做细做好招商工作。建立三电系统、智能座舱、智能驾驶等细分领域项目储备库，对接园区企业发展需求，全面招引产业链上下游头部企业落地。发挥辐射带动作用。以京津冀智能网联新能源汽车科技生态港（顺义）为核心，协同联动杨镇、北小营镇等，构建智能网联新能源汽车产业集群。</w:t>
      </w:r>
    </w:p>
    <w:p w14:paraId="7E06F0D6">
      <w:pPr>
        <w:ind w:firstLine="560" w:firstLineChars="200"/>
        <w:rPr>
          <w:rFonts w:hint="default"/>
          <w:lang w:val="en-US" w:eastAsia="zh-CN"/>
        </w:rPr>
      </w:pPr>
      <w:r>
        <w:rPr>
          <w:rFonts w:hint="default"/>
          <w:lang w:val="en-US" w:eastAsia="zh-CN"/>
        </w:rPr>
        <w:t>3.国际口腔创新港。依托全市医药健康产业细分领域和我区口腔产业发展基础，由顺义区人民政府与北京大学口腔医院合作共建北京大学口腔医院国际口腔医疗器械创新转化基地，围绕临空经济区构建口腔产业全产业链生态布局，打造一个集研发、孵化、中试、生产、检验、认证于一体的综合性创新平台，形成具有国际竞争力的口腔医疗器械产业集群。“十五五”期间重点任务为：加快推进规划研究与实施。加快规划批复实施，围绕医疗诊疗、科研实验、人才培养等核心功能推动北大口腔基地建设。围绕临空经济区构建口腔产业全产业链生态布局，同步在机场周边打造高端医疗器械生产聚集区、口腔医疗贸易服务聚集区、高端口腔诊疗服务聚集区，形成“一区多极、错位协同、功能互补”的空间发展格局。构建完善要素支撑体系。积极争取市级口腔产业专项扶持政策，同步设立口腔专项发展基金，通过“政策保障+资本赋能”双轮驱动，构建具有竞争力与吸引力的产业发展软环境。设立北大口腔技术培训中心，形成口腔专业学历教育和在职教育培育体系。整合首都机场临空经济区、天竺、后沙峪等支撑属地的闲置土地、楼宇、厂房资源，提供充足的产业发展空间。打造全链条产业生态。依托北大口腔国家级平台和实验室助力企业进行基础研究和关键技术攻关。建成包括产业孵化、小试中试、检测检验、临床试验、注册审批、规模生产、入院销售等全链条的转化落地闭环体系。聚集一批销售贸易、CRO（合同研究组织）等第三方服务公司，降低企业生产经营成本，完善配套服务体系。</w:t>
      </w:r>
    </w:p>
    <w:p w14:paraId="70C905F4">
      <w:pPr>
        <w:ind w:firstLine="560" w:firstLineChars="200"/>
        <w:rPr>
          <w:rFonts w:hint="default"/>
          <w:lang w:val="en-US" w:eastAsia="zh-CN"/>
        </w:rPr>
      </w:pPr>
      <w:r>
        <w:rPr>
          <w:rFonts w:hint="default"/>
          <w:lang w:val="en-US" w:eastAsia="zh-CN"/>
        </w:rPr>
        <w:t>4.“一山两河、一港两轴、十片百廊”花园城市格局。“一山”即舞彩浅山；“两河”即潮白河森林公园带、温榆河公园带。“一港”即国际空港新城；“两轴”即创新创业发展轴、宜居宜业发展轴。其中，创新创业发展轴是以轨道交通及城市快速路为骨架，串联后沙峪、南法信、仁和、南彩等组团，辐射带动杨镇的东西发展轴。宜居宜业发展轴是以通顺路为骨架，串联仁和、马坡、牛栏山等组团的南北发展轴。“十片”即首都国际机场门户枢纽精华片区、新国展示范片区、后沙峪国际品质示范片区、海创城高品质示范片区、中德产业园示范片区、仁和产城融合示范片区、赵全营产城融合片区、牛栏山城乡融合示范片区、城东绿色产业发展示范片区、舞彩浅山绿色产业发展示范片区等十个花园城市精品示范片区。“百廊”即河流绿廊及道路、铁路周边的城市画廊。</w:t>
      </w:r>
    </w:p>
    <w:p w14:paraId="19A52637">
      <w:pPr>
        <w:ind w:firstLine="560" w:firstLineChars="200"/>
        <w:rPr>
          <w:rFonts w:hint="default"/>
          <w:lang w:val="en-US" w:eastAsia="zh-CN"/>
        </w:rPr>
      </w:pPr>
      <w:r>
        <w:rPr>
          <w:rFonts w:hint="default"/>
          <w:lang w:val="en-US" w:eastAsia="zh-CN"/>
        </w:rPr>
        <w:t>https://www.bjshy.gov.cn/web/zwgk/zcjd8/1783910/index.html</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0"/>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1"/>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E5597F"/>
    <w:rsid w:val="05CC0449"/>
    <w:rsid w:val="05CC6BA7"/>
    <w:rsid w:val="05F56545"/>
    <w:rsid w:val="06961A26"/>
    <w:rsid w:val="072E100E"/>
    <w:rsid w:val="07D41004"/>
    <w:rsid w:val="08232C96"/>
    <w:rsid w:val="093C70F8"/>
    <w:rsid w:val="0A3D2F70"/>
    <w:rsid w:val="0B9079F1"/>
    <w:rsid w:val="0E1238D7"/>
    <w:rsid w:val="0E592DD6"/>
    <w:rsid w:val="0EBE39E4"/>
    <w:rsid w:val="0F033741"/>
    <w:rsid w:val="0F9E1127"/>
    <w:rsid w:val="0FC26D8E"/>
    <w:rsid w:val="10225A02"/>
    <w:rsid w:val="109003E2"/>
    <w:rsid w:val="11284EE7"/>
    <w:rsid w:val="122C71D3"/>
    <w:rsid w:val="126555E2"/>
    <w:rsid w:val="12B6109D"/>
    <w:rsid w:val="135C6A68"/>
    <w:rsid w:val="14AC3169"/>
    <w:rsid w:val="14BA55A9"/>
    <w:rsid w:val="16E465E6"/>
    <w:rsid w:val="17B571BE"/>
    <w:rsid w:val="187A04AD"/>
    <w:rsid w:val="188602CE"/>
    <w:rsid w:val="191F6B75"/>
    <w:rsid w:val="19DB3E43"/>
    <w:rsid w:val="19E646A3"/>
    <w:rsid w:val="19EC7298"/>
    <w:rsid w:val="1A3F168A"/>
    <w:rsid w:val="1ACD4BC9"/>
    <w:rsid w:val="1AD00105"/>
    <w:rsid w:val="1C1F5C60"/>
    <w:rsid w:val="1C26202E"/>
    <w:rsid w:val="1CFA082A"/>
    <w:rsid w:val="1D75769C"/>
    <w:rsid w:val="1E486D5E"/>
    <w:rsid w:val="20E515DF"/>
    <w:rsid w:val="20EE4514"/>
    <w:rsid w:val="21490716"/>
    <w:rsid w:val="22A660F0"/>
    <w:rsid w:val="23350630"/>
    <w:rsid w:val="239C0C8D"/>
    <w:rsid w:val="2458023C"/>
    <w:rsid w:val="24891F4C"/>
    <w:rsid w:val="24DD1B30"/>
    <w:rsid w:val="24FB777E"/>
    <w:rsid w:val="26BE469D"/>
    <w:rsid w:val="28341D78"/>
    <w:rsid w:val="284055FE"/>
    <w:rsid w:val="284C442A"/>
    <w:rsid w:val="288233CE"/>
    <w:rsid w:val="29481F8B"/>
    <w:rsid w:val="299E2259"/>
    <w:rsid w:val="29AE54C4"/>
    <w:rsid w:val="2A20733C"/>
    <w:rsid w:val="2A36166C"/>
    <w:rsid w:val="2A5B6A65"/>
    <w:rsid w:val="2AC85DD5"/>
    <w:rsid w:val="2B983D5E"/>
    <w:rsid w:val="2C1B2534"/>
    <w:rsid w:val="2C5661E7"/>
    <w:rsid w:val="2CC90378"/>
    <w:rsid w:val="2DDA75F8"/>
    <w:rsid w:val="2E451107"/>
    <w:rsid w:val="2E561F32"/>
    <w:rsid w:val="2F167534"/>
    <w:rsid w:val="30D427EB"/>
    <w:rsid w:val="31604062"/>
    <w:rsid w:val="31AC3498"/>
    <w:rsid w:val="31BA36E4"/>
    <w:rsid w:val="34163C6F"/>
    <w:rsid w:val="34FC0B26"/>
    <w:rsid w:val="35CC7FE4"/>
    <w:rsid w:val="370B0758"/>
    <w:rsid w:val="38D5360F"/>
    <w:rsid w:val="3B005163"/>
    <w:rsid w:val="3BC5648D"/>
    <w:rsid w:val="3C131F35"/>
    <w:rsid w:val="3C8B707E"/>
    <w:rsid w:val="3D0B60DD"/>
    <w:rsid w:val="3D242F7A"/>
    <w:rsid w:val="3E9C40F3"/>
    <w:rsid w:val="40B15178"/>
    <w:rsid w:val="4139196E"/>
    <w:rsid w:val="415848E1"/>
    <w:rsid w:val="417A5F93"/>
    <w:rsid w:val="4296377D"/>
    <w:rsid w:val="42F8070A"/>
    <w:rsid w:val="430E0353"/>
    <w:rsid w:val="433C38D6"/>
    <w:rsid w:val="441C68B9"/>
    <w:rsid w:val="446948F1"/>
    <w:rsid w:val="45B9632A"/>
    <w:rsid w:val="47407E1B"/>
    <w:rsid w:val="477B0D92"/>
    <w:rsid w:val="480F418D"/>
    <w:rsid w:val="485C7A85"/>
    <w:rsid w:val="486F5D2C"/>
    <w:rsid w:val="4B077B9F"/>
    <w:rsid w:val="4CF97814"/>
    <w:rsid w:val="4D797ECA"/>
    <w:rsid w:val="4E7271B8"/>
    <w:rsid w:val="4EB31BF9"/>
    <w:rsid w:val="4F216E80"/>
    <w:rsid w:val="4F6B7653"/>
    <w:rsid w:val="505020B9"/>
    <w:rsid w:val="513841CB"/>
    <w:rsid w:val="514A0E57"/>
    <w:rsid w:val="515B6E68"/>
    <w:rsid w:val="52025F45"/>
    <w:rsid w:val="52511EB8"/>
    <w:rsid w:val="52687459"/>
    <w:rsid w:val="528945A2"/>
    <w:rsid w:val="54581D88"/>
    <w:rsid w:val="56A05C5E"/>
    <w:rsid w:val="57691CAA"/>
    <w:rsid w:val="579B39F0"/>
    <w:rsid w:val="57A37E38"/>
    <w:rsid w:val="587662C1"/>
    <w:rsid w:val="58E45E5C"/>
    <w:rsid w:val="5966249A"/>
    <w:rsid w:val="599D54F4"/>
    <w:rsid w:val="5ABE63C0"/>
    <w:rsid w:val="5B5F3C17"/>
    <w:rsid w:val="5C0F18E6"/>
    <w:rsid w:val="5D942074"/>
    <w:rsid w:val="5F42540D"/>
    <w:rsid w:val="605308F0"/>
    <w:rsid w:val="60F01468"/>
    <w:rsid w:val="613B531F"/>
    <w:rsid w:val="61537BFA"/>
    <w:rsid w:val="61941FCD"/>
    <w:rsid w:val="61A372B8"/>
    <w:rsid w:val="61CC184F"/>
    <w:rsid w:val="61FB7F6E"/>
    <w:rsid w:val="626A293A"/>
    <w:rsid w:val="632C62D6"/>
    <w:rsid w:val="66801568"/>
    <w:rsid w:val="67697562"/>
    <w:rsid w:val="695B7490"/>
    <w:rsid w:val="69C218FE"/>
    <w:rsid w:val="6BDB68DE"/>
    <w:rsid w:val="6C270DD3"/>
    <w:rsid w:val="6C705350"/>
    <w:rsid w:val="6D872A5A"/>
    <w:rsid w:val="6E1F25FD"/>
    <w:rsid w:val="6E413E28"/>
    <w:rsid w:val="6F370898"/>
    <w:rsid w:val="6F4638FD"/>
    <w:rsid w:val="70956FE4"/>
    <w:rsid w:val="71020CE1"/>
    <w:rsid w:val="73F7433F"/>
    <w:rsid w:val="756F626F"/>
    <w:rsid w:val="75930F1E"/>
    <w:rsid w:val="76FA56D9"/>
    <w:rsid w:val="775748F9"/>
    <w:rsid w:val="77BF12F7"/>
    <w:rsid w:val="78264085"/>
    <w:rsid w:val="79060B26"/>
    <w:rsid w:val="798E17BF"/>
    <w:rsid w:val="79D16624"/>
    <w:rsid w:val="79E44119"/>
    <w:rsid w:val="7A283BED"/>
    <w:rsid w:val="7A5A1A94"/>
    <w:rsid w:val="7AA0221D"/>
    <w:rsid w:val="7B705706"/>
    <w:rsid w:val="7D324444"/>
    <w:rsid w:val="7D470D1C"/>
    <w:rsid w:val="7DCC36B1"/>
    <w:rsid w:val="7E0E1F5B"/>
    <w:rsid w:val="7E39495F"/>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4"/>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7"/>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8"/>
    <w:unhideWhenUsed/>
    <w:qFormat/>
    <w:uiPriority w:val="9"/>
    <w:pPr>
      <w:keepNext/>
      <w:keepLines/>
      <w:spacing w:line="440" w:lineRule="exact"/>
      <w:outlineLvl w:val="2"/>
    </w:pPr>
    <w:rPr>
      <w:b/>
      <w:bCs/>
      <w:szCs w:val="32"/>
    </w:rPr>
  </w:style>
  <w:style w:type="paragraph" w:styleId="5">
    <w:name w:val="heading 4"/>
    <w:basedOn w:val="1"/>
    <w:next w:val="1"/>
    <w:link w:val="29"/>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paragraph" w:styleId="9">
    <w:name w:val="heading 8"/>
    <w:basedOn w:val="1"/>
    <w:next w:val="1"/>
    <w:unhideWhenUsed/>
    <w:qFormat/>
    <w:uiPriority w:val="9"/>
    <w:pPr>
      <w:keepNext/>
      <w:keepLines/>
      <w:spacing w:beforeLines="0" w:beforeAutospacing="0" w:afterLines="0" w:afterAutospacing="0" w:line="240" w:lineRule="auto"/>
      <w:ind w:firstLine="0" w:firstLineChars="0"/>
      <w:jc w:val="center"/>
      <w:outlineLvl w:val="7"/>
    </w:pPr>
    <w:rPr>
      <w:rFonts w:ascii="Arial" w:hAnsi="Arial" w:eastAsia="仿宋_GB2312" w:cs="Times New Roman"/>
      <w:sz w:val="24"/>
      <w:szCs w:val="22"/>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10">
    <w:name w:val="footer"/>
    <w:basedOn w:val="1"/>
    <w:link w:val="30"/>
    <w:unhideWhenUsed/>
    <w:qFormat/>
    <w:uiPriority w:val="99"/>
    <w:pPr>
      <w:tabs>
        <w:tab w:val="center" w:pos="4153"/>
        <w:tab w:val="right" w:pos="8306"/>
      </w:tabs>
      <w:snapToGrid w:val="0"/>
    </w:pPr>
    <w:rPr>
      <w:sz w:val="18"/>
      <w:szCs w:val="18"/>
    </w:rPr>
  </w:style>
  <w:style w:type="paragraph" w:styleId="11">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link w:val="32"/>
    <w:qFormat/>
    <w:uiPriority w:val="11"/>
    <w:pPr>
      <w:outlineLvl w:val="1"/>
    </w:pPr>
    <w:rPr>
      <w:b/>
      <w:bCs/>
      <w:kern w:val="28"/>
      <w:szCs w:val="32"/>
    </w:rPr>
  </w:style>
  <w:style w:type="paragraph" w:styleId="13">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4">
    <w:name w:val="Title"/>
    <w:basedOn w:val="1"/>
    <w:next w:val="1"/>
    <w:link w:val="26"/>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6">
    <w:name w:val="Table Grid"/>
    <w:basedOn w:val="1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rFonts w:eastAsia="仿宋_GB2312"/>
      <w:b/>
      <w:bCs/>
      <w:color w:val="7030A0"/>
      <w:spacing w:val="-8"/>
      <w:w w:val="96"/>
      <w:sz w:val="28"/>
    </w:rPr>
  </w:style>
  <w:style w:type="character" w:styleId="19">
    <w:name w:val="FollowedHyperlink"/>
    <w:basedOn w:val="17"/>
    <w:unhideWhenUsed/>
    <w:qFormat/>
    <w:uiPriority w:val="99"/>
    <w:rPr>
      <w:color w:val="404040"/>
      <w:u w:val="none"/>
    </w:rPr>
  </w:style>
  <w:style w:type="character" w:styleId="20">
    <w:name w:val="Emphasis"/>
    <w:basedOn w:val="17"/>
    <w:qFormat/>
    <w:uiPriority w:val="20"/>
    <w:rPr>
      <w:rFonts w:eastAsia="华文楷体"/>
      <w:iCs/>
      <w:sz w:val="28"/>
    </w:rPr>
  </w:style>
  <w:style w:type="character" w:styleId="21">
    <w:name w:val="line number"/>
    <w:basedOn w:val="17"/>
    <w:unhideWhenUsed/>
    <w:qFormat/>
    <w:uiPriority w:val="99"/>
  </w:style>
  <w:style w:type="character" w:styleId="22">
    <w:name w:val="HTML Variable"/>
    <w:basedOn w:val="17"/>
    <w:unhideWhenUsed/>
    <w:qFormat/>
    <w:uiPriority w:val="99"/>
  </w:style>
  <w:style w:type="character" w:styleId="23">
    <w:name w:val="Hyperlink"/>
    <w:basedOn w:val="17"/>
    <w:unhideWhenUsed/>
    <w:qFormat/>
    <w:uiPriority w:val="99"/>
    <w:rPr>
      <w:color w:val="404040"/>
      <w:u w:val="none"/>
    </w:rPr>
  </w:style>
  <w:style w:type="character" w:customStyle="1" w:styleId="24">
    <w:name w:val="标题 1 字符"/>
    <w:basedOn w:val="17"/>
    <w:link w:val="2"/>
    <w:qFormat/>
    <w:uiPriority w:val="9"/>
    <w:rPr>
      <w:rFonts w:ascii="黑体" w:hAnsi="黑体" w:eastAsia="黑体"/>
      <w:bCs/>
      <w:kern w:val="44"/>
      <w:sz w:val="28"/>
      <w:szCs w:val="44"/>
    </w:rPr>
  </w:style>
  <w:style w:type="character" w:customStyle="1" w:styleId="25">
    <w:name w:val="标题 3 Char1"/>
    <w:link w:val="4"/>
    <w:qFormat/>
    <w:uiPriority w:val="9"/>
    <w:rPr>
      <w:rFonts w:ascii="仿宋_GB2312" w:hAnsi="仿宋_GB2312" w:eastAsia="仿宋_GB2312"/>
      <w:b/>
    </w:rPr>
  </w:style>
  <w:style w:type="character" w:customStyle="1" w:styleId="26">
    <w:name w:val="标题 字符"/>
    <w:basedOn w:val="17"/>
    <w:link w:val="14"/>
    <w:qFormat/>
    <w:uiPriority w:val="10"/>
    <w:rPr>
      <w:rFonts w:ascii="华文中宋" w:hAnsi="华文中宋" w:eastAsia="华文中宋" w:cs="Times New Roman"/>
      <w:b/>
      <w:bCs/>
      <w:sz w:val="32"/>
      <w:szCs w:val="32"/>
    </w:rPr>
  </w:style>
  <w:style w:type="character" w:customStyle="1" w:styleId="27">
    <w:name w:val="标题 2 字符"/>
    <w:basedOn w:val="17"/>
    <w:link w:val="3"/>
    <w:qFormat/>
    <w:uiPriority w:val="9"/>
    <w:rPr>
      <w:rFonts w:ascii="楷体_GB2312" w:hAnsi="楷体_GB2312" w:eastAsia="楷体_GB2312" w:cs="Times New Roman"/>
      <w:b/>
      <w:bCs/>
      <w:sz w:val="28"/>
      <w:szCs w:val="32"/>
    </w:rPr>
  </w:style>
  <w:style w:type="character" w:customStyle="1" w:styleId="28">
    <w:name w:val="标题 3 字符"/>
    <w:basedOn w:val="17"/>
    <w:link w:val="4"/>
    <w:semiHidden/>
    <w:qFormat/>
    <w:uiPriority w:val="9"/>
    <w:rPr>
      <w:rFonts w:ascii="仿宋_GB2312" w:hAnsi="仿宋_GB2312" w:eastAsia="仿宋_GB2312"/>
      <w:b/>
      <w:bCs/>
      <w:kern w:val="2"/>
      <w:sz w:val="28"/>
      <w:szCs w:val="32"/>
    </w:rPr>
  </w:style>
  <w:style w:type="character" w:customStyle="1" w:styleId="29">
    <w:name w:val="标题 4 Char1"/>
    <w:link w:val="5"/>
    <w:qFormat/>
    <w:uiPriority w:val="9"/>
    <w:rPr>
      <w:rFonts w:ascii="仿宋_GB2312" w:hAnsi="仿宋_GB2312" w:eastAsia="仿宋_GB2312"/>
    </w:rPr>
  </w:style>
  <w:style w:type="character" w:customStyle="1" w:styleId="30">
    <w:name w:val="页脚 字符"/>
    <w:basedOn w:val="17"/>
    <w:link w:val="10"/>
    <w:qFormat/>
    <w:uiPriority w:val="99"/>
    <w:rPr>
      <w:sz w:val="18"/>
      <w:szCs w:val="18"/>
    </w:rPr>
  </w:style>
  <w:style w:type="character" w:customStyle="1" w:styleId="31">
    <w:name w:val="页眉 字符"/>
    <w:basedOn w:val="17"/>
    <w:link w:val="11"/>
    <w:qFormat/>
    <w:uiPriority w:val="99"/>
    <w:rPr>
      <w:sz w:val="18"/>
      <w:szCs w:val="18"/>
    </w:rPr>
  </w:style>
  <w:style w:type="character" w:customStyle="1" w:styleId="32">
    <w:name w:val="副标题 字符"/>
    <w:basedOn w:val="17"/>
    <w:link w:val="12"/>
    <w:qFormat/>
    <w:uiPriority w:val="11"/>
    <w:rPr>
      <w:rFonts w:ascii="仿宋_GB2312" w:eastAsia="仿宋_GB2312"/>
      <w:b/>
      <w:bCs/>
      <w:kern w:val="28"/>
      <w:sz w:val="28"/>
      <w:szCs w:val="32"/>
    </w:rPr>
  </w:style>
  <w:style w:type="paragraph" w:styleId="33">
    <w:name w:val="Quote"/>
    <w:basedOn w:val="1"/>
    <w:next w:val="1"/>
    <w:link w:val="34"/>
    <w:qFormat/>
    <w:uiPriority w:val="29"/>
    <w:pPr>
      <w:ind w:firstLine="486"/>
    </w:pPr>
    <w:rPr>
      <w:rFonts w:eastAsia="华文楷体"/>
      <w:iCs/>
      <w:spacing w:val="-16"/>
      <w:w w:val="98"/>
    </w:rPr>
  </w:style>
  <w:style w:type="character" w:customStyle="1" w:styleId="34">
    <w:name w:val="引用 字符"/>
    <w:basedOn w:val="17"/>
    <w:link w:val="33"/>
    <w:qFormat/>
    <w:uiPriority w:val="29"/>
    <w:rPr>
      <w:rFonts w:ascii="仿宋_GB2312" w:eastAsia="华文楷体"/>
      <w:iCs/>
      <w:spacing w:val="-16"/>
      <w:w w:val="98"/>
      <w:sz w:val="28"/>
    </w:rPr>
  </w:style>
  <w:style w:type="paragraph" w:styleId="35">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6">
    <w:name w:val="不明显强调1"/>
    <w:basedOn w:val="17"/>
    <w:qFormat/>
    <w:uiPriority w:val="19"/>
    <w:rPr>
      <w:i/>
      <w:iCs/>
      <w:color w:val="3F3F3F"/>
    </w:rPr>
  </w:style>
  <w:style w:type="table" w:customStyle="1" w:styleId="37">
    <w:name w:val="Table Normal"/>
    <w:unhideWhenUsed/>
    <w:qFormat/>
    <w:uiPriority w:val="0"/>
    <w:tblPr>
      <w:tblCellMar>
        <w:top w:w="0" w:type="dxa"/>
        <w:left w:w="0" w:type="dxa"/>
        <w:bottom w:w="0" w:type="dxa"/>
        <w:right w:w="0" w:type="dxa"/>
      </w:tblCellMar>
    </w:tblPr>
  </w:style>
  <w:style w:type="paragraph" w:customStyle="1" w:styleId="38">
    <w:name w:val="title_m"/>
    <w:basedOn w:val="1"/>
    <w:qFormat/>
    <w:uiPriority w:val="0"/>
    <w:pPr>
      <w:jc w:val="center"/>
    </w:pPr>
    <w:rPr>
      <w:rFonts w:ascii="宋体" w:hAnsi="宋体" w:eastAsia="宋体" w:cs="宋体"/>
      <w:b/>
      <w:bCs/>
      <w:sz w:val="32"/>
      <w:szCs w:val="32"/>
    </w:rPr>
  </w:style>
  <w:style w:type="paragraph" w:customStyle="1" w:styleId="39">
    <w:name w:val="fulltext_text"/>
    <w:basedOn w:val="1"/>
    <w:qFormat/>
    <w:uiPriority w:val="0"/>
    <w:pPr>
      <w:spacing w:line="525" w:lineRule="atLeast"/>
    </w:pPr>
    <w:rPr>
      <w:rFonts w:ascii="宋体" w:hAnsi="宋体" w:eastAsia="宋体" w:cs="宋体"/>
      <w:sz w:val="24"/>
      <w:szCs w:val="24"/>
    </w:rPr>
  </w:style>
  <w:style w:type="character" w:customStyle="1" w:styleId="40">
    <w:name w:val="c_tiao"/>
    <w:basedOn w:val="17"/>
    <w:qFormat/>
    <w:uiPriority w:val="0"/>
    <w:rPr>
      <w:rFonts w:ascii="宋体" w:hAnsi="宋体" w:eastAsia="宋体" w:cs="宋体"/>
      <w:b/>
      <w:bCs/>
      <w:sz w:val="24"/>
      <w:szCs w:val="24"/>
    </w:rPr>
  </w:style>
  <w:style w:type="paragraph" w:customStyle="1" w:styleId="41">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2">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3">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4">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5">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6">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7">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9">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0</Words>
  <Characters>0</Characters>
  <Lines>1</Lines>
  <Paragraphs>1</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2026-05-21T09:30:01Z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47B388EE17E34F4FB25CC0389A623224_13</vt:lpwstr>
  </property>
  <property fmtid="{D5CDD505-2E9C-101B-9397-08002B2CF9AE}" pid="4" name="KSOTemplateDocerSaveRecord">
    <vt:lpwstr>eyJoZGlkIjoiMjIxMjI5YjhlNTAxYzUyOTYyYWZlMGFjYmE4ZTczY2EiLCJ1c2VySWQiOiIxNDU2NzYxMDUwIn0=</vt:lpwstr>
  </property>
</Properties>
</file>