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95110">
      <w:pPr>
        <w:spacing w:line="240" w:lineRule="auto"/>
        <w:ind w:firstLine="0" w:firstLineChars="0"/>
        <w:rPr>
          <w:rFonts w:ascii="Times New Roman" w:hAnsi="Times New Roman" w:cs="Times New Roman"/>
          <w:b w:val="0"/>
          <w:bCs w:val="0"/>
          <w:color w:val="auto"/>
          <w:highlight w:val="none"/>
          <w:u w:val="none"/>
        </w:rPr>
      </w:pPr>
    </w:p>
    <w:p w14:paraId="54FC5224">
      <w:pPr>
        <w:spacing w:line="240" w:lineRule="auto"/>
        <w:ind w:firstLine="0" w:firstLineChars="0"/>
        <w:rPr>
          <w:rFonts w:ascii="Times New Roman" w:hAnsi="Times New Roman" w:cs="Times New Roman"/>
          <w:b w:val="0"/>
          <w:bCs w:val="0"/>
          <w:color w:val="auto"/>
          <w:highlight w:val="none"/>
          <w:u w:val="none"/>
        </w:rPr>
      </w:pPr>
    </w:p>
    <w:p w14:paraId="7B3AC2EC">
      <w:pPr>
        <w:spacing w:line="240" w:lineRule="auto"/>
        <w:ind w:firstLine="0" w:firstLineChars="0"/>
        <w:rPr>
          <w:rFonts w:ascii="Times New Roman" w:hAnsi="Times New Roman" w:cs="Times New Roman"/>
          <w:b w:val="0"/>
          <w:bCs w:val="0"/>
          <w:color w:val="auto"/>
          <w:highlight w:val="none"/>
          <w:u w:val="none"/>
        </w:rPr>
      </w:pPr>
    </w:p>
    <w:p w14:paraId="6DAD233D">
      <w:pPr>
        <w:spacing w:line="240" w:lineRule="auto"/>
        <w:ind w:firstLine="0" w:firstLineChars="0"/>
        <w:rPr>
          <w:rFonts w:ascii="Times New Roman" w:hAnsi="Times New Roman" w:cs="Times New Roman"/>
          <w:b w:val="0"/>
          <w:bCs w:val="0"/>
          <w:color w:val="auto"/>
          <w:highlight w:val="none"/>
          <w:u w:val="none"/>
        </w:rPr>
      </w:pPr>
    </w:p>
    <w:p w14:paraId="17CBCDC3">
      <w:pPr>
        <w:pStyle w:val="17"/>
        <w:rPr>
          <w:b w:val="0"/>
          <w:bCs w:val="0"/>
          <w:color w:val="auto"/>
          <w:highlight w:val="none"/>
          <w:u w:val="none"/>
        </w:rPr>
      </w:pPr>
      <w:r>
        <w:rPr>
          <w:rFonts w:hint="eastAsia"/>
          <w:b w:val="0"/>
          <w:bCs w:val="0"/>
          <w:color w:val="auto"/>
          <w:highlight w:val="none"/>
          <w:u w:val="none"/>
          <w:lang w:eastAsia="zh-CN"/>
        </w:rPr>
        <w:t>“</w:t>
      </w:r>
      <w:r>
        <w:rPr>
          <w:b w:val="0"/>
          <w:bCs w:val="0"/>
          <w:color w:val="auto"/>
          <w:highlight w:val="none"/>
          <w:u w:val="none"/>
        </w:rPr>
        <w:t>十五五</w:t>
      </w:r>
      <w:bookmarkStart w:id="440" w:name="_GoBack"/>
      <w:bookmarkEnd w:id="440"/>
      <w:r>
        <w:rPr>
          <w:rFonts w:hint="eastAsia"/>
          <w:b w:val="0"/>
          <w:bCs w:val="0"/>
          <w:color w:val="auto"/>
          <w:highlight w:val="none"/>
          <w:u w:val="none"/>
          <w:lang w:eastAsia="zh-CN"/>
        </w:rPr>
        <w:t>”</w:t>
      </w:r>
      <w:r>
        <w:rPr>
          <w:b w:val="0"/>
          <w:bCs w:val="0"/>
          <w:color w:val="auto"/>
          <w:highlight w:val="none"/>
          <w:u w:val="none"/>
        </w:rPr>
        <w:t>时期</w:t>
      </w:r>
      <w:r>
        <w:rPr>
          <w:rFonts w:hint="eastAsia"/>
          <w:b w:val="0"/>
          <w:bCs w:val="0"/>
          <w:color w:val="auto"/>
          <w:highlight w:val="none"/>
          <w:u w:val="none"/>
          <w:lang w:val="en-US" w:eastAsia="zh-CN"/>
        </w:rPr>
        <w:t>美丽顺义建设</w:t>
      </w:r>
      <w:r>
        <w:rPr>
          <w:b w:val="0"/>
          <w:bCs w:val="0"/>
          <w:color w:val="auto"/>
          <w:highlight w:val="none"/>
          <w:u w:val="none"/>
        </w:rPr>
        <w:t>规划</w:t>
      </w:r>
    </w:p>
    <w:p w14:paraId="2803F55E">
      <w:pPr>
        <w:pStyle w:val="17"/>
        <w:rPr>
          <w:rFonts w:hint="eastAsia" w:eastAsia="方正小标宋简体"/>
          <w:b w:val="0"/>
          <w:bCs w:val="0"/>
          <w:color w:val="auto"/>
          <w:highlight w:val="none"/>
          <w:u w:val="none"/>
          <w:lang w:eastAsia="zh-CN"/>
        </w:rPr>
      </w:pPr>
      <w:r>
        <w:rPr>
          <w:rFonts w:hint="eastAsia"/>
          <w:b w:val="0"/>
          <w:bCs w:val="0"/>
          <w:color w:val="auto"/>
          <w:highlight w:val="none"/>
          <w:u w:val="none"/>
          <w:lang w:eastAsia="zh-CN"/>
        </w:rPr>
        <w:t>（</w:t>
      </w:r>
      <w:r>
        <w:rPr>
          <w:rFonts w:hint="eastAsia"/>
          <w:b w:val="0"/>
          <w:bCs w:val="0"/>
          <w:color w:val="auto"/>
          <w:highlight w:val="none"/>
          <w:u w:val="none"/>
          <w:lang w:val="en-US" w:eastAsia="zh-CN"/>
        </w:rPr>
        <w:t>征求意见稿</w:t>
      </w:r>
      <w:r>
        <w:rPr>
          <w:rFonts w:hint="eastAsia"/>
          <w:b w:val="0"/>
          <w:bCs w:val="0"/>
          <w:color w:val="auto"/>
          <w:highlight w:val="none"/>
          <w:u w:val="none"/>
          <w:lang w:eastAsia="zh-CN"/>
        </w:rPr>
        <w:t>）</w:t>
      </w:r>
    </w:p>
    <w:p w14:paraId="2B576A36">
      <w:pPr>
        <w:spacing w:line="240" w:lineRule="auto"/>
        <w:ind w:firstLine="0" w:firstLineChars="0"/>
        <w:rPr>
          <w:rFonts w:ascii="Times New Roman" w:hAnsi="Times New Roman" w:cs="Times New Roman"/>
          <w:b w:val="0"/>
          <w:bCs w:val="0"/>
          <w:color w:val="auto"/>
          <w:highlight w:val="none"/>
          <w:u w:val="none"/>
        </w:rPr>
      </w:pPr>
    </w:p>
    <w:p w14:paraId="1C3FE4B3">
      <w:pPr>
        <w:spacing w:line="240" w:lineRule="auto"/>
        <w:ind w:firstLine="0" w:firstLineChars="0"/>
        <w:rPr>
          <w:rFonts w:ascii="Times New Roman" w:hAnsi="Times New Roman" w:cs="Times New Roman"/>
          <w:b w:val="0"/>
          <w:bCs w:val="0"/>
          <w:color w:val="auto"/>
          <w:highlight w:val="none"/>
          <w:u w:val="none"/>
        </w:rPr>
      </w:pPr>
    </w:p>
    <w:p w14:paraId="2AE04748">
      <w:pPr>
        <w:spacing w:line="240" w:lineRule="auto"/>
        <w:ind w:firstLine="0" w:firstLineChars="0"/>
        <w:rPr>
          <w:rFonts w:ascii="Times New Roman" w:hAnsi="Times New Roman" w:cs="Times New Roman"/>
          <w:b w:val="0"/>
          <w:bCs w:val="0"/>
          <w:color w:val="auto"/>
          <w:highlight w:val="none"/>
          <w:u w:val="none"/>
        </w:rPr>
      </w:pPr>
    </w:p>
    <w:p w14:paraId="671967EA">
      <w:pPr>
        <w:spacing w:line="240" w:lineRule="auto"/>
        <w:ind w:firstLine="0" w:firstLineChars="0"/>
        <w:rPr>
          <w:rFonts w:ascii="Times New Roman" w:hAnsi="Times New Roman" w:cs="Times New Roman"/>
          <w:b w:val="0"/>
          <w:bCs w:val="0"/>
          <w:color w:val="auto"/>
          <w:highlight w:val="none"/>
          <w:u w:val="none"/>
        </w:rPr>
      </w:pPr>
    </w:p>
    <w:p w14:paraId="7F32A00A">
      <w:pPr>
        <w:spacing w:line="240" w:lineRule="auto"/>
        <w:ind w:firstLine="0" w:firstLineChars="0"/>
        <w:rPr>
          <w:rFonts w:ascii="Times New Roman" w:hAnsi="Times New Roman" w:cs="Times New Roman"/>
          <w:b w:val="0"/>
          <w:bCs w:val="0"/>
          <w:color w:val="auto"/>
          <w:highlight w:val="none"/>
          <w:u w:val="none"/>
        </w:rPr>
      </w:pPr>
    </w:p>
    <w:p w14:paraId="040B84B1">
      <w:pPr>
        <w:spacing w:line="240" w:lineRule="auto"/>
        <w:ind w:firstLine="0" w:firstLineChars="0"/>
        <w:rPr>
          <w:rFonts w:ascii="Times New Roman" w:hAnsi="Times New Roman" w:cs="Times New Roman"/>
          <w:b w:val="0"/>
          <w:bCs w:val="0"/>
          <w:color w:val="auto"/>
          <w:highlight w:val="none"/>
          <w:u w:val="none"/>
        </w:rPr>
      </w:pPr>
    </w:p>
    <w:p w14:paraId="4A571310">
      <w:pPr>
        <w:spacing w:line="240" w:lineRule="auto"/>
        <w:ind w:firstLine="0" w:firstLineChars="0"/>
        <w:rPr>
          <w:rFonts w:ascii="Times New Roman" w:hAnsi="Times New Roman" w:cs="Times New Roman"/>
          <w:b w:val="0"/>
          <w:bCs w:val="0"/>
          <w:color w:val="auto"/>
          <w:highlight w:val="none"/>
          <w:u w:val="none"/>
        </w:rPr>
      </w:pPr>
    </w:p>
    <w:p w14:paraId="5D603F05">
      <w:pPr>
        <w:spacing w:line="240" w:lineRule="auto"/>
        <w:ind w:firstLine="0" w:firstLineChars="0"/>
        <w:rPr>
          <w:rFonts w:ascii="Times New Roman" w:hAnsi="Times New Roman" w:cs="Times New Roman"/>
          <w:b w:val="0"/>
          <w:bCs w:val="0"/>
          <w:color w:val="auto"/>
          <w:highlight w:val="none"/>
          <w:u w:val="none"/>
        </w:rPr>
      </w:pPr>
    </w:p>
    <w:p w14:paraId="0BA0E636">
      <w:pPr>
        <w:spacing w:line="240" w:lineRule="auto"/>
        <w:ind w:firstLine="0" w:firstLineChars="0"/>
        <w:rPr>
          <w:rFonts w:ascii="Times New Roman" w:hAnsi="Times New Roman" w:cs="Times New Roman"/>
          <w:b w:val="0"/>
          <w:bCs w:val="0"/>
          <w:color w:val="auto"/>
          <w:highlight w:val="none"/>
          <w:u w:val="none"/>
        </w:rPr>
      </w:pPr>
    </w:p>
    <w:p w14:paraId="3E851B10">
      <w:pPr>
        <w:spacing w:line="240" w:lineRule="auto"/>
        <w:ind w:firstLine="0" w:firstLineChars="0"/>
        <w:rPr>
          <w:rFonts w:ascii="Times New Roman" w:hAnsi="Times New Roman" w:cs="Times New Roman"/>
          <w:b w:val="0"/>
          <w:bCs w:val="0"/>
          <w:color w:val="auto"/>
          <w:highlight w:val="none"/>
          <w:u w:val="none"/>
        </w:rPr>
      </w:pPr>
    </w:p>
    <w:p w14:paraId="5A357A69">
      <w:pPr>
        <w:pStyle w:val="19"/>
        <w:rPr>
          <w:rFonts w:ascii="Times New Roman" w:hAnsi="Times New Roman" w:cs="Times New Roman"/>
          <w:b w:val="0"/>
          <w:bCs w:val="0"/>
          <w:color w:val="auto"/>
          <w:highlight w:val="none"/>
          <w:u w:val="none"/>
        </w:rPr>
      </w:pPr>
    </w:p>
    <w:p w14:paraId="0B53762E">
      <w:pPr>
        <w:pStyle w:val="19"/>
        <w:rPr>
          <w:rFonts w:ascii="Times New Roman" w:hAnsi="Times New Roman" w:cs="Times New Roman"/>
          <w:b w:val="0"/>
          <w:bCs w:val="0"/>
          <w:color w:val="auto"/>
          <w:highlight w:val="none"/>
          <w:u w:val="none"/>
        </w:rPr>
      </w:pPr>
    </w:p>
    <w:p w14:paraId="3BFE73CA">
      <w:pPr>
        <w:pStyle w:val="19"/>
        <w:rPr>
          <w:rFonts w:ascii="Times New Roman" w:hAnsi="Times New Roman" w:cs="Times New Roman"/>
          <w:b w:val="0"/>
          <w:bCs w:val="0"/>
          <w:color w:val="auto"/>
          <w:highlight w:val="none"/>
          <w:u w:val="none"/>
        </w:rPr>
      </w:pPr>
    </w:p>
    <w:p w14:paraId="217C75FE">
      <w:pPr>
        <w:pStyle w:val="19"/>
        <w:rPr>
          <w:rFonts w:ascii="Times New Roman" w:hAnsi="Times New Roman" w:cs="Times New Roman"/>
          <w:b w:val="0"/>
          <w:bCs w:val="0"/>
          <w:color w:val="auto"/>
          <w:highlight w:val="none"/>
          <w:u w:val="none"/>
        </w:rPr>
      </w:pPr>
    </w:p>
    <w:p w14:paraId="74B6488B">
      <w:pPr>
        <w:pStyle w:val="19"/>
        <w:rPr>
          <w:rFonts w:ascii="Times New Roman" w:hAnsi="Times New Roman" w:cs="Times New Roman"/>
          <w:b w:val="0"/>
          <w:bCs w:val="0"/>
          <w:color w:val="auto"/>
          <w:highlight w:val="none"/>
          <w:u w:val="none"/>
        </w:rPr>
      </w:pPr>
    </w:p>
    <w:p w14:paraId="05A5A2CC">
      <w:pPr>
        <w:spacing w:line="240" w:lineRule="auto"/>
        <w:ind w:firstLine="0" w:firstLineChars="0"/>
        <w:rPr>
          <w:rFonts w:ascii="Times New Roman" w:hAnsi="Times New Roman" w:cs="Times New Roman"/>
          <w:b w:val="0"/>
          <w:bCs w:val="0"/>
          <w:color w:val="auto"/>
          <w:highlight w:val="none"/>
          <w:u w:val="none"/>
        </w:rPr>
      </w:pPr>
    </w:p>
    <w:p w14:paraId="13DFA9DF">
      <w:pPr>
        <w:spacing w:line="240" w:lineRule="auto"/>
        <w:ind w:firstLine="0" w:firstLineChars="0"/>
        <w:jc w:val="center"/>
        <w:rPr>
          <w:rFonts w:ascii="Times New Roman" w:hAnsi="Times New Roman" w:eastAsia="黑体" w:cs="Times New Roman"/>
          <w:b w:val="0"/>
          <w:bCs w:val="0"/>
          <w:color w:val="auto"/>
          <w:highlight w:val="none"/>
          <w:u w:val="none"/>
        </w:rPr>
      </w:pPr>
      <w:r>
        <w:rPr>
          <w:rFonts w:hint="eastAsia" w:ascii="Times New Roman" w:hAnsi="Times New Roman" w:eastAsia="黑体" w:cs="Times New Roman"/>
          <w:b w:val="0"/>
          <w:bCs w:val="0"/>
          <w:color w:val="auto"/>
          <w:highlight w:val="none"/>
          <w:u w:val="none"/>
          <w:lang w:val="en-US" w:eastAsia="zh-CN"/>
        </w:rPr>
        <w:t>2026</w:t>
      </w:r>
      <w:r>
        <w:rPr>
          <w:rFonts w:ascii="Times New Roman" w:hAnsi="Times New Roman" w:eastAsia="黑体" w:cs="Times New Roman"/>
          <w:b w:val="0"/>
          <w:bCs w:val="0"/>
          <w:color w:val="auto"/>
          <w:highlight w:val="none"/>
          <w:u w:val="none"/>
        </w:rPr>
        <w:t>年</w:t>
      </w:r>
      <w:r>
        <w:rPr>
          <w:rFonts w:hint="eastAsia" w:ascii="Times New Roman" w:hAnsi="Times New Roman" w:eastAsia="黑体" w:cs="Times New Roman"/>
          <w:b w:val="0"/>
          <w:bCs w:val="0"/>
          <w:color w:val="auto"/>
          <w:highlight w:val="none"/>
          <w:u w:val="none"/>
          <w:lang w:val="en-US" w:eastAsia="zh-CN"/>
        </w:rPr>
        <w:t>4</w:t>
      </w:r>
      <w:r>
        <w:rPr>
          <w:rFonts w:ascii="Times New Roman" w:hAnsi="Times New Roman" w:eastAsia="黑体" w:cs="Times New Roman"/>
          <w:b w:val="0"/>
          <w:bCs w:val="0"/>
          <w:color w:val="auto"/>
          <w:highlight w:val="none"/>
          <w:u w:val="none"/>
        </w:rPr>
        <w:t>月</w:t>
      </w:r>
    </w:p>
    <w:p w14:paraId="54C95115">
      <w:pPr>
        <w:pStyle w:val="14"/>
        <w:rPr>
          <w:rFonts w:ascii="Times New Roman" w:hAnsi="Times New Roman" w:cs="Times New Roman"/>
          <w:b w:val="0"/>
          <w:bCs w:val="0"/>
          <w:color w:val="auto"/>
          <w:highlight w:val="none"/>
          <w:u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titlePg/>
          <w:rtlGutter w:val="0"/>
          <w:docGrid w:type="lines" w:linePitch="439" w:charSpace="0"/>
        </w:sectPr>
      </w:pPr>
    </w:p>
    <w:sdt>
      <w:sdtPr>
        <w:rPr>
          <w:rFonts w:ascii="Times New Roman" w:hAnsi="Times New Roman" w:cs="Times New Roman"/>
          <w:b w:val="0"/>
          <w:bCs w:val="0"/>
          <w:color w:val="auto"/>
          <w:highlight w:val="none"/>
          <w:u w:val="none"/>
          <w:lang w:val="en-US" w:eastAsia="zh-CN"/>
        </w:rPr>
        <w:id w:val="147483555"/>
        <w15:color w:val="DBDBDB"/>
        <w:docPartObj>
          <w:docPartGallery w:val="Table of Contents"/>
          <w:docPartUnique/>
        </w:docPartObj>
      </w:sdtPr>
      <w:sdtEndPr>
        <w:rPr>
          <w:rFonts w:ascii="仿宋_GB2312" w:eastAsia="仿宋_GB2312" w:hAnsiTheme="minorHAnsi" w:cstheme="minorBidi"/>
          <w:b w:val="0"/>
          <w:bCs w:val="0"/>
          <w:color w:val="auto"/>
          <w:kern w:val="2"/>
          <w:sz w:val="32"/>
          <w:szCs w:val="32"/>
          <w:highlight w:val="none"/>
          <w:u w:val="none"/>
          <w:lang w:val="en-US" w:eastAsia="zh-CN" w:bidi="ar-SA"/>
        </w:rPr>
      </w:sdtEndPr>
      <w:sdtContent>
        <w:p w14:paraId="0B9913E4">
          <w:pPr>
            <w:pStyle w:val="14"/>
            <w:rPr>
              <w:rFonts w:ascii="Times New Roman" w:hAnsi="Times New Roman" w:cs="Times New Roman"/>
              <w:b w:val="0"/>
              <w:bCs w:val="0"/>
              <w:color w:val="auto"/>
              <w:highlight w:val="none"/>
              <w:u w:val="none"/>
            </w:rPr>
          </w:pPr>
          <w:r>
            <w:rPr>
              <w:rFonts w:ascii="Times New Roman" w:hAnsi="Times New Roman" w:cs="Times New Roman"/>
              <w:b w:val="0"/>
              <w:bCs w:val="0"/>
              <w:color w:val="auto"/>
              <w:highlight w:val="none"/>
              <w:u w:val="none"/>
            </w:rPr>
            <w:t>目</w:t>
          </w:r>
          <w:r>
            <w:rPr>
              <w:rFonts w:hint="eastAsia" w:ascii="Times New Roman" w:hAnsi="Times New Roman" w:cs="Times New Roman"/>
              <w:b w:val="0"/>
              <w:bCs w:val="0"/>
              <w:color w:val="auto"/>
              <w:highlight w:val="none"/>
              <w:u w:val="none"/>
              <w:lang w:val="en-US" w:eastAsia="zh-CN"/>
            </w:rPr>
            <w:t xml:space="preserve"> </w:t>
          </w:r>
          <w:r>
            <w:rPr>
              <w:rFonts w:ascii="Times New Roman" w:hAnsi="Times New Roman" w:cs="Times New Roman"/>
              <w:b w:val="0"/>
              <w:bCs w:val="0"/>
              <w:color w:val="auto"/>
              <w:highlight w:val="none"/>
              <w:u w:val="none"/>
            </w:rPr>
            <w:t>录</w:t>
          </w:r>
        </w:p>
        <w:p w14:paraId="5B15122E">
          <w:pPr>
            <w:pStyle w:val="13"/>
            <w:tabs>
              <w:tab w:val="right" w:leader="dot" w:pos="8845"/>
            </w:tabs>
            <w:rPr>
              <w:b w:val="0"/>
              <w:bCs w:val="0"/>
              <w:highlight w:val="none"/>
              <w:u w:val="none"/>
            </w:rPr>
          </w:pPr>
          <w:r>
            <w:rPr>
              <w:b w:val="0"/>
              <w:bCs w:val="0"/>
              <w:color w:val="auto"/>
              <w:highlight w:val="none"/>
              <w:u w:val="none"/>
            </w:rPr>
            <w:fldChar w:fldCharType="begin"/>
          </w:r>
          <w:r>
            <w:rPr>
              <w:b w:val="0"/>
              <w:bCs w:val="0"/>
              <w:color w:val="auto"/>
              <w:highlight w:val="none"/>
              <w:u w:val="none"/>
            </w:rPr>
            <w:instrText xml:space="preserve">TOC \o "1-2" \h \u </w:instrText>
          </w:r>
          <w:r>
            <w:rPr>
              <w:b w:val="0"/>
              <w:bCs w:val="0"/>
              <w:color w:val="auto"/>
              <w:highlight w:val="none"/>
              <w:u w:val="none"/>
            </w:rPr>
            <w:fldChar w:fldCharType="separate"/>
          </w:r>
          <w:r>
            <w:rPr>
              <w:b w:val="0"/>
              <w:bCs w:val="0"/>
              <w:color w:val="auto"/>
              <w:highlight w:val="none"/>
              <w:u w:val="none"/>
            </w:rPr>
            <w:fldChar w:fldCharType="begin"/>
          </w:r>
          <w:r>
            <w:rPr>
              <w:b w:val="0"/>
              <w:bCs w:val="0"/>
              <w:highlight w:val="none"/>
              <w:u w:val="none"/>
            </w:rPr>
            <w:instrText xml:space="preserve"> HYPERLINK \l _Toc29340 </w:instrText>
          </w:r>
          <w:r>
            <w:rPr>
              <w:b w:val="0"/>
              <w:bCs w:val="0"/>
              <w:highlight w:val="none"/>
              <w:u w:val="none"/>
            </w:rPr>
            <w:fldChar w:fldCharType="separate"/>
          </w:r>
          <w:r>
            <w:rPr>
              <w:rFonts w:hint="eastAsia" w:ascii="黑体" w:hAnsi="黑体" w:eastAsia="黑体" w:cs="黑体"/>
              <w:b w:val="0"/>
              <w:bCs w:val="0"/>
              <w:highlight w:val="none"/>
              <w:u w:val="none"/>
              <w:lang w:eastAsia="zh-CN"/>
            </w:rPr>
            <w:t>前</w:t>
          </w:r>
          <w:r>
            <w:rPr>
              <w:rFonts w:hint="eastAsia" w:ascii="黑体" w:hAnsi="黑体" w:eastAsia="黑体" w:cs="黑体"/>
              <w:b w:val="0"/>
              <w:bCs w:val="0"/>
              <w:highlight w:val="none"/>
              <w:u w:val="none"/>
              <w:lang w:val="en-US" w:eastAsia="zh-CN"/>
            </w:rPr>
            <w:t xml:space="preserve">  </w:t>
          </w:r>
          <w:r>
            <w:rPr>
              <w:rFonts w:hint="eastAsia" w:ascii="黑体" w:hAnsi="黑体" w:eastAsia="黑体" w:cs="黑体"/>
              <w:b w:val="0"/>
              <w:bCs w:val="0"/>
              <w:highlight w:val="none"/>
              <w:u w:val="none"/>
              <w:lang w:eastAsia="zh-CN"/>
            </w:rPr>
            <w:t>言</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_Toc29340 \h </w:instrText>
          </w:r>
          <w:r>
            <w:rPr>
              <w:b w:val="0"/>
              <w:bCs w:val="0"/>
              <w:highlight w:val="none"/>
              <w:u w:val="none"/>
            </w:rPr>
            <w:fldChar w:fldCharType="separate"/>
          </w:r>
          <w:r>
            <w:rPr>
              <w:b w:val="0"/>
              <w:bCs w:val="0"/>
              <w:highlight w:val="none"/>
              <w:u w:val="none"/>
            </w:rPr>
            <w:t>1</w:t>
          </w:r>
          <w:r>
            <w:rPr>
              <w:b w:val="0"/>
              <w:bCs w:val="0"/>
              <w:highlight w:val="none"/>
              <w:u w:val="none"/>
            </w:rPr>
            <w:fldChar w:fldCharType="end"/>
          </w:r>
          <w:r>
            <w:rPr>
              <w:b w:val="0"/>
              <w:bCs w:val="0"/>
              <w:color w:val="auto"/>
              <w:highlight w:val="none"/>
              <w:u w:val="none"/>
            </w:rPr>
            <w:fldChar w:fldCharType="end"/>
          </w:r>
        </w:p>
        <w:p w14:paraId="4F04A3B5">
          <w:pPr>
            <w:pStyle w:val="13"/>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_Toc17627 </w:instrText>
          </w:r>
          <w:r>
            <w:rPr>
              <w:b w:val="0"/>
              <w:bCs w:val="0"/>
              <w:highlight w:val="none"/>
              <w:u w:val="none"/>
            </w:rPr>
            <w:fldChar w:fldCharType="separate"/>
          </w:r>
          <w:r>
            <w:rPr>
              <w:rFonts w:hint="eastAsia" w:ascii="黑体" w:hAnsi="黑体" w:eastAsia="黑体" w:cs="黑体"/>
              <w:b w:val="0"/>
              <w:bCs w:val="0"/>
              <w:highlight w:val="none"/>
              <w:u w:val="none"/>
            </w:rPr>
            <w:t>一、生态</w:t>
          </w:r>
          <w:r>
            <w:rPr>
              <w:rFonts w:hint="eastAsia" w:ascii="黑体" w:hAnsi="黑体" w:eastAsia="黑体" w:cs="黑体"/>
              <w:b w:val="0"/>
              <w:bCs w:val="0"/>
              <w:highlight w:val="none"/>
              <w:u w:val="none"/>
              <w:lang w:val="en-US" w:eastAsia="zh-CN"/>
            </w:rPr>
            <w:t>环境</w:t>
          </w:r>
          <w:r>
            <w:rPr>
              <w:rFonts w:hint="eastAsia" w:ascii="黑体" w:hAnsi="黑体" w:eastAsia="黑体" w:cs="黑体"/>
              <w:b w:val="0"/>
              <w:bCs w:val="0"/>
              <w:highlight w:val="none"/>
              <w:u w:val="none"/>
            </w:rPr>
            <w:t>保护形势</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_Toc17627 \h </w:instrText>
          </w:r>
          <w:r>
            <w:rPr>
              <w:b w:val="0"/>
              <w:bCs w:val="0"/>
              <w:highlight w:val="none"/>
              <w:u w:val="none"/>
            </w:rPr>
            <w:fldChar w:fldCharType="separate"/>
          </w:r>
          <w:r>
            <w:rPr>
              <w:b w:val="0"/>
              <w:bCs w:val="0"/>
              <w:highlight w:val="none"/>
              <w:u w:val="none"/>
            </w:rPr>
            <w:t>2</w:t>
          </w:r>
          <w:r>
            <w:rPr>
              <w:b w:val="0"/>
              <w:bCs w:val="0"/>
              <w:highlight w:val="none"/>
              <w:u w:val="none"/>
            </w:rPr>
            <w:fldChar w:fldCharType="end"/>
          </w:r>
          <w:r>
            <w:rPr>
              <w:b w:val="0"/>
              <w:bCs w:val="0"/>
              <w:color w:val="auto"/>
              <w:highlight w:val="none"/>
              <w:u w:val="none"/>
            </w:rPr>
            <w:fldChar w:fldCharType="end"/>
          </w:r>
        </w:p>
        <w:p w14:paraId="038E99A4">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_Toc10839 </w:instrText>
          </w:r>
          <w:r>
            <w:rPr>
              <w:b w:val="0"/>
              <w:bCs w:val="0"/>
              <w:highlight w:val="none"/>
              <w:u w:val="none"/>
            </w:rPr>
            <w:fldChar w:fldCharType="separate"/>
          </w:r>
          <w:r>
            <w:rPr>
              <w:rFonts w:hint="eastAsia"/>
              <w:b w:val="0"/>
              <w:bCs w:val="0"/>
              <w:highlight w:val="none"/>
              <w:u w:val="none"/>
            </w:rPr>
            <w:t>（一）“十四五”</w:t>
          </w:r>
          <w:r>
            <w:rPr>
              <w:rFonts w:hint="eastAsia"/>
              <w:b w:val="0"/>
              <w:bCs w:val="0"/>
              <w:highlight w:val="none"/>
              <w:u w:val="none"/>
              <w:lang w:eastAsia="zh-CN"/>
            </w:rPr>
            <w:t>时期</w:t>
          </w:r>
          <w:r>
            <w:rPr>
              <w:rFonts w:hint="eastAsia"/>
              <w:b w:val="0"/>
              <w:bCs w:val="0"/>
              <w:highlight w:val="none"/>
              <w:u w:val="none"/>
              <w:lang w:val="en-US" w:eastAsia="zh-CN"/>
            </w:rPr>
            <w:t>生态环境保护</w:t>
          </w:r>
          <w:r>
            <w:rPr>
              <w:rFonts w:hint="eastAsia"/>
              <w:b w:val="0"/>
              <w:bCs w:val="0"/>
              <w:highlight w:val="none"/>
              <w:u w:val="none"/>
            </w:rPr>
            <w:t>工作成效</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_Toc10839 \h </w:instrText>
          </w:r>
          <w:r>
            <w:rPr>
              <w:b w:val="0"/>
              <w:bCs w:val="0"/>
              <w:highlight w:val="none"/>
              <w:u w:val="none"/>
            </w:rPr>
            <w:fldChar w:fldCharType="separate"/>
          </w:r>
          <w:r>
            <w:rPr>
              <w:b w:val="0"/>
              <w:bCs w:val="0"/>
              <w:highlight w:val="none"/>
              <w:u w:val="none"/>
            </w:rPr>
            <w:t>2</w:t>
          </w:r>
          <w:r>
            <w:rPr>
              <w:b w:val="0"/>
              <w:bCs w:val="0"/>
              <w:highlight w:val="none"/>
              <w:u w:val="none"/>
            </w:rPr>
            <w:fldChar w:fldCharType="end"/>
          </w:r>
          <w:r>
            <w:rPr>
              <w:b w:val="0"/>
              <w:bCs w:val="0"/>
              <w:color w:val="auto"/>
              <w:highlight w:val="none"/>
              <w:u w:val="none"/>
            </w:rPr>
            <w:fldChar w:fldCharType="end"/>
          </w:r>
        </w:p>
        <w:p w14:paraId="252FCD01">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_Toc20395 </w:instrText>
          </w:r>
          <w:r>
            <w:rPr>
              <w:b w:val="0"/>
              <w:bCs w:val="0"/>
              <w:highlight w:val="none"/>
              <w:u w:val="none"/>
            </w:rPr>
            <w:fldChar w:fldCharType="separate"/>
          </w:r>
          <w:r>
            <w:rPr>
              <w:rFonts w:hint="eastAsia"/>
              <w:b w:val="0"/>
              <w:bCs w:val="0"/>
              <w:highlight w:val="none"/>
              <w:u w:val="none"/>
            </w:rPr>
            <w:t>（二）</w:t>
          </w:r>
          <w:r>
            <w:rPr>
              <w:b w:val="0"/>
              <w:bCs w:val="0"/>
              <w:highlight w:val="none"/>
              <w:u w:val="none"/>
            </w:rPr>
            <w:t>“十五五”</w:t>
          </w:r>
          <w:r>
            <w:rPr>
              <w:rFonts w:hint="eastAsia"/>
              <w:b w:val="0"/>
              <w:bCs w:val="0"/>
              <w:highlight w:val="none"/>
              <w:u w:val="none"/>
              <w:lang w:eastAsia="zh-CN"/>
            </w:rPr>
            <w:t>时期</w:t>
          </w:r>
          <w:r>
            <w:rPr>
              <w:rFonts w:hint="eastAsia"/>
              <w:b w:val="0"/>
              <w:bCs w:val="0"/>
              <w:highlight w:val="none"/>
              <w:u w:val="none"/>
              <w:lang w:val="en-US" w:eastAsia="zh-CN"/>
            </w:rPr>
            <w:t>美丽顺义建设</w:t>
          </w:r>
          <w:r>
            <w:rPr>
              <w:b w:val="0"/>
              <w:bCs w:val="0"/>
              <w:highlight w:val="none"/>
              <w:u w:val="none"/>
            </w:rPr>
            <w:t>面临的机遇与挑战</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_Toc20395 \h </w:instrText>
          </w:r>
          <w:r>
            <w:rPr>
              <w:b w:val="0"/>
              <w:bCs w:val="0"/>
              <w:highlight w:val="none"/>
              <w:u w:val="none"/>
            </w:rPr>
            <w:fldChar w:fldCharType="separate"/>
          </w:r>
          <w:r>
            <w:rPr>
              <w:b w:val="0"/>
              <w:bCs w:val="0"/>
              <w:highlight w:val="none"/>
              <w:u w:val="none"/>
            </w:rPr>
            <w:t>5</w:t>
          </w:r>
          <w:r>
            <w:rPr>
              <w:b w:val="0"/>
              <w:bCs w:val="0"/>
              <w:highlight w:val="none"/>
              <w:u w:val="none"/>
            </w:rPr>
            <w:fldChar w:fldCharType="end"/>
          </w:r>
          <w:r>
            <w:rPr>
              <w:b w:val="0"/>
              <w:bCs w:val="0"/>
              <w:color w:val="auto"/>
              <w:highlight w:val="none"/>
              <w:u w:val="none"/>
            </w:rPr>
            <w:fldChar w:fldCharType="end"/>
          </w:r>
        </w:p>
        <w:p w14:paraId="7D3AEF12">
          <w:pPr>
            <w:pStyle w:val="13"/>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_Toc24326 </w:instrText>
          </w:r>
          <w:r>
            <w:rPr>
              <w:b w:val="0"/>
              <w:bCs w:val="0"/>
              <w:highlight w:val="none"/>
              <w:u w:val="none"/>
            </w:rPr>
            <w:fldChar w:fldCharType="separate"/>
          </w:r>
          <w:r>
            <w:rPr>
              <w:rFonts w:hint="eastAsia" w:ascii="黑体" w:hAnsi="黑体" w:eastAsia="黑体" w:cs="黑体"/>
              <w:b w:val="0"/>
              <w:bCs w:val="0"/>
              <w:highlight w:val="none"/>
              <w:u w:val="none"/>
            </w:rPr>
            <w:t>二、规划指导思想和目标</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_Toc24326 \h </w:instrText>
          </w:r>
          <w:r>
            <w:rPr>
              <w:b w:val="0"/>
              <w:bCs w:val="0"/>
              <w:highlight w:val="none"/>
              <w:u w:val="none"/>
            </w:rPr>
            <w:fldChar w:fldCharType="separate"/>
          </w:r>
          <w:r>
            <w:rPr>
              <w:b w:val="0"/>
              <w:bCs w:val="0"/>
              <w:highlight w:val="none"/>
              <w:u w:val="none"/>
            </w:rPr>
            <w:t>6</w:t>
          </w:r>
          <w:r>
            <w:rPr>
              <w:b w:val="0"/>
              <w:bCs w:val="0"/>
              <w:highlight w:val="none"/>
              <w:u w:val="none"/>
            </w:rPr>
            <w:fldChar w:fldCharType="end"/>
          </w:r>
          <w:r>
            <w:rPr>
              <w:b w:val="0"/>
              <w:bCs w:val="0"/>
              <w:color w:val="auto"/>
              <w:highlight w:val="none"/>
              <w:u w:val="none"/>
            </w:rPr>
            <w:fldChar w:fldCharType="end"/>
          </w:r>
        </w:p>
        <w:p w14:paraId="36230EF0">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_Toc28898 </w:instrText>
          </w:r>
          <w:r>
            <w:rPr>
              <w:b w:val="0"/>
              <w:bCs w:val="0"/>
              <w:highlight w:val="none"/>
              <w:u w:val="none"/>
            </w:rPr>
            <w:fldChar w:fldCharType="separate"/>
          </w:r>
          <w:r>
            <w:rPr>
              <w:rFonts w:hint="eastAsia"/>
              <w:b w:val="0"/>
              <w:bCs w:val="0"/>
              <w:highlight w:val="none"/>
              <w:u w:val="none"/>
            </w:rPr>
            <w:t>（一）</w:t>
          </w:r>
          <w:r>
            <w:rPr>
              <w:b w:val="0"/>
              <w:bCs w:val="0"/>
              <w:highlight w:val="none"/>
              <w:u w:val="none"/>
            </w:rPr>
            <w:t>指导思想</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_Toc28898 \h </w:instrText>
          </w:r>
          <w:r>
            <w:rPr>
              <w:b w:val="0"/>
              <w:bCs w:val="0"/>
              <w:highlight w:val="none"/>
              <w:u w:val="none"/>
            </w:rPr>
            <w:fldChar w:fldCharType="separate"/>
          </w:r>
          <w:r>
            <w:rPr>
              <w:b w:val="0"/>
              <w:bCs w:val="0"/>
              <w:highlight w:val="none"/>
              <w:u w:val="none"/>
            </w:rPr>
            <w:t>6</w:t>
          </w:r>
          <w:r>
            <w:rPr>
              <w:b w:val="0"/>
              <w:bCs w:val="0"/>
              <w:highlight w:val="none"/>
              <w:u w:val="none"/>
            </w:rPr>
            <w:fldChar w:fldCharType="end"/>
          </w:r>
          <w:r>
            <w:rPr>
              <w:b w:val="0"/>
              <w:bCs w:val="0"/>
              <w:color w:val="auto"/>
              <w:highlight w:val="none"/>
              <w:u w:val="none"/>
            </w:rPr>
            <w:fldChar w:fldCharType="end"/>
          </w:r>
        </w:p>
        <w:p w14:paraId="676A34A5">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_Toc442 </w:instrText>
          </w:r>
          <w:r>
            <w:rPr>
              <w:b w:val="0"/>
              <w:bCs w:val="0"/>
              <w:highlight w:val="none"/>
              <w:u w:val="none"/>
            </w:rPr>
            <w:fldChar w:fldCharType="separate"/>
          </w:r>
          <w:r>
            <w:rPr>
              <w:rFonts w:hint="eastAsia"/>
              <w:b w:val="0"/>
              <w:bCs w:val="0"/>
              <w:highlight w:val="none"/>
              <w:u w:val="none"/>
            </w:rPr>
            <w:t>（二）</w:t>
          </w:r>
          <w:r>
            <w:rPr>
              <w:b w:val="0"/>
              <w:bCs w:val="0"/>
              <w:highlight w:val="none"/>
              <w:u w:val="none"/>
            </w:rPr>
            <w:t>规划原则</w:t>
          </w:r>
          <w:r>
            <w:rPr>
              <w:b w:val="0"/>
              <w:bCs w:val="0"/>
              <w:highlight w:val="none"/>
              <w:u w:val="none"/>
            </w:rPr>
            <w:tab/>
          </w:r>
          <w:r>
            <w:rPr>
              <w:b w:val="0"/>
              <w:bCs w:val="0"/>
              <w:highlight w:val="none"/>
              <w:u w:val="none"/>
            </w:rPr>
            <w:fldChar w:fldCharType="begin"/>
          </w:r>
          <w:r>
            <w:rPr>
              <w:b w:val="0"/>
              <w:bCs w:val="0"/>
              <w:highlight w:val="none"/>
              <w:u w:val="none"/>
            </w:rPr>
            <w:instrText xml:space="preserve"> PAGEREF _Toc442 \h </w:instrText>
          </w:r>
          <w:r>
            <w:rPr>
              <w:b w:val="0"/>
              <w:bCs w:val="0"/>
              <w:highlight w:val="none"/>
              <w:u w:val="none"/>
            </w:rPr>
            <w:fldChar w:fldCharType="separate"/>
          </w:r>
          <w:r>
            <w:rPr>
              <w:b w:val="0"/>
              <w:bCs w:val="0"/>
              <w:highlight w:val="none"/>
              <w:u w:val="none"/>
            </w:rPr>
            <w:t>6</w:t>
          </w:r>
          <w:r>
            <w:rPr>
              <w:b w:val="0"/>
              <w:bCs w:val="0"/>
              <w:highlight w:val="none"/>
              <w:u w:val="none"/>
            </w:rPr>
            <w:fldChar w:fldCharType="end"/>
          </w:r>
          <w:r>
            <w:rPr>
              <w:b w:val="0"/>
              <w:bCs w:val="0"/>
              <w:color w:val="auto"/>
              <w:highlight w:val="none"/>
              <w:u w:val="none"/>
            </w:rPr>
            <w:fldChar w:fldCharType="end"/>
          </w:r>
        </w:p>
        <w:p w14:paraId="0B48741A">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_Toc10587 </w:instrText>
          </w:r>
          <w:r>
            <w:rPr>
              <w:b w:val="0"/>
              <w:bCs w:val="0"/>
              <w:highlight w:val="none"/>
              <w:u w:val="none"/>
            </w:rPr>
            <w:fldChar w:fldCharType="separate"/>
          </w:r>
          <w:r>
            <w:rPr>
              <w:rFonts w:hint="eastAsia"/>
              <w:b w:val="0"/>
              <w:bCs w:val="0"/>
              <w:highlight w:val="none"/>
              <w:u w:val="none"/>
            </w:rPr>
            <w:t>（三）</w:t>
          </w:r>
          <w:r>
            <w:rPr>
              <w:b w:val="0"/>
              <w:bCs w:val="0"/>
              <w:highlight w:val="none"/>
              <w:u w:val="none"/>
            </w:rPr>
            <w:t>规划目标</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_Toc10587 \h </w:instrText>
          </w:r>
          <w:r>
            <w:rPr>
              <w:b w:val="0"/>
              <w:bCs w:val="0"/>
              <w:highlight w:val="none"/>
              <w:u w:val="none"/>
            </w:rPr>
            <w:fldChar w:fldCharType="separate"/>
          </w:r>
          <w:r>
            <w:rPr>
              <w:b w:val="0"/>
              <w:bCs w:val="0"/>
              <w:highlight w:val="none"/>
              <w:u w:val="none"/>
            </w:rPr>
            <w:t>7</w:t>
          </w:r>
          <w:r>
            <w:rPr>
              <w:b w:val="0"/>
              <w:bCs w:val="0"/>
              <w:highlight w:val="none"/>
              <w:u w:val="none"/>
            </w:rPr>
            <w:fldChar w:fldCharType="end"/>
          </w:r>
          <w:r>
            <w:rPr>
              <w:b w:val="0"/>
              <w:bCs w:val="0"/>
              <w:color w:val="auto"/>
              <w:highlight w:val="none"/>
              <w:u w:val="none"/>
            </w:rPr>
            <w:fldChar w:fldCharType="end"/>
          </w:r>
        </w:p>
        <w:p w14:paraId="4E7299D0">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_Toc23465 </w:instrText>
          </w:r>
          <w:r>
            <w:rPr>
              <w:b w:val="0"/>
              <w:bCs w:val="0"/>
              <w:highlight w:val="none"/>
              <w:u w:val="none"/>
            </w:rPr>
            <w:fldChar w:fldCharType="separate"/>
          </w:r>
          <w:r>
            <w:rPr>
              <w:rFonts w:hint="eastAsia"/>
              <w:b w:val="0"/>
              <w:bCs w:val="0"/>
              <w:highlight w:val="none"/>
              <w:u w:val="none"/>
            </w:rPr>
            <w:t>（</w:t>
          </w:r>
          <w:r>
            <w:rPr>
              <w:rFonts w:hint="eastAsia"/>
              <w:b w:val="0"/>
              <w:bCs w:val="0"/>
              <w:highlight w:val="none"/>
              <w:u w:val="none"/>
              <w:lang w:val="en-US" w:eastAsia="zh-CN"/>
            </w:rPr>
            <w:t>四</w:t>
          </w:r>
          <w:r>
            <w:rPr>
              <w:rFonts w:hint="eastAsia"/>
              <w:b w:val="0"/>
              <w:bCs w:val="0"/>
              <w:highlight w:val="none"/>
              <w:u w:val="none"/>
            </w:rPr>
            <w:t>）</w:t>
          </w:r>
          <w:r>
            <w:rPr>
              <w:rFonts w:hint="eastAsia"/>
              <w:b w:val="0"/>
              <w:bCs w:val="0"/>
              <w:highlight w:val="none"/>
              <w:u w:val="none"/>
              <w:lang w:val="en-US" w:eastAsia="zh-CN"/>
            </w:rPr>
            <w:t>指标体系</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_Toc23465 \h </w:instrText>
          </w:r>
          <w:r>
            <w:rPr>
              <w:b w:val="0"/>
              <w:bCs w:val="0"/>
              <w:highlight w:val="none"/>
              <w:u w:val="none"/>
            </w:rPr>
            <w:fldChar w:fldCharType="separate"/>
          </w:r>
          <w:r>
            <w:rPr>
              <w:b w:val="0"/>
              <w:bCs w:val="0"/>
              <w:highlight w:val="none"/>
              <w:u w:val="none"/>
            </w:rPr>
            <w:t>8</w:t>
          </w:r>
          <w:r>
            <w:rPr>
              <w:b w:val="0"/>
              <w:bCs w:val="0"/>
              <w:highlight w:val="none"/>
              <w:u w:val="none"/>
            </w:rPr>
            <w:fldChar w:fldCharType="end"/>
          </w:r>
          <w:r>
            <w:rPr>
              <w:b w:val="0"/>
              <w:bCs w:val="0"/>
              <w:color w:val="auto"/>
              <w:highlight w:val="none"/>
              <w:u w:val="none"/>
            </w:rPr>
            <w:fldChar w:fldCharType="end"/>
          </w:r>
        </w:p>
        <w:p w14:paraId="5E4BF9E8">
          <w:pPr>
            <w:pStyle w:val="13"/>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_Toc25116 </w:instrText>
          </w:r>
          <w:r>
            <w:rPr>
              <w:b w:val="0"/>
              <w:bCs w:val="0"/>
              <w:highlight w:val="none"/>
              <w:u w:val="none"/>
            </w:rPr>
            <w:fldChar w:fldCharType="separate"/>
          </w:r>
          <w:r>
            <w:rPr>
              <w:rFonts w:hint="eastAsia" w:ascii="黑体" w:hAnsi="黑体" w:eastAsia="黑体" w:cs="黑体"/>
              <w:b w:val="0"/>
              <w:bCs w:val="0"/>
              <w:highlight w:val="none"/>
              <w:u w:val="none"/>
            </w:rPr>
            <w:t>三、</w:t>
          </w:r>
          <w:r>
            <w:rPr>
              <w:rFonts w:hint="eastAsia" w:ascii="黑体" w:hAnsi="黑体" w:eastAsia="黑体" w:cs="黑体"/>
              <w:b w:val="0"/>
              <w:bCs w:val="0"/>
              <w:highlight w:val="none"/>
              <w:u w:val="none"/>
              <w:lang w:val="en-US" w:eastAsia="zh-CN"/>
            </w:rPr>
            <w:t>加快推进</w:t>
          </w:r>
          <w:r>
            <w:rPr>
              <w:rFonts w:hint="eastAsia" w:ascii="黑体" w:hAnsi="黑体" w:eastAsia="黑体" w:cs="黑体"/>
              <w:b w:val="0"/>
              <w:bCs w:val="0"/>
              <w:highlight w:val="none"/>
              <w:u w:val="none"/>
            </w:rPr>
            <w:t>绿色低碳高质量发展</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_Toc25116 \h </w:instrText>
          </w:r>
          <w:r>
            <w:rPr>
              <w:b w:val="0"/>
              <w:bCs w:val="0"/>
              <w:highlight w:val="none"/>
              <w:u w:val="none"/>
            </w:rPr>
            <w:fldChar w:fldCharType="separate"/>
          </w:r>
          <w:r>
            <w:rPr>
              <w:b w:val="0"/>
              <w:bCs w:val="0"/>
              <w:highlight w:val="none"/>
              <w:u w:val="none"/>
            </w:rPr>
            <w:t>10</w:t>
          </w:r>
          <w:r>
            <w:rPr>
              <w:b w:val="0"/>
              <w:bCs w:val="0"/>
              <w:highlight w:val="none"/>
              <w:u w:val="none"/>
            </w:rPr>
            <w:fldChar w:fldCharType="end"/>
          </w:r>
          <w:r>
            <w:rPr>
              <w:b w:val="0"/>
              <w:bCs w:val="0"/>
              <w:color w:val="auto"/>
              <w:highlight w:val="none"/>
              <w:u w:val="none"/>
            </w:rPr>
            <w:fldChar w:fldCharType="end"/>
          </w:r>
        </w:p>
        <w:p w14:paraId="7781A166">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_Toc27617 </w:instrText>
          </w:r>
          <w:r>
            <w:rPr>
              <w:b w:val="0"/>
              <w:bCs w:val="0"/>
              <w:highlight w:val="none"/>
              <w:u w:val="none"/>
            </w:rPr>
            <w:fldChar w:fldCharType="separate"/>
          </w:r>
          <w:r>
            <w:rPr>
              <w:rFonts w:hint="eastAsia"/>
              <w:b w:val="0"/>
              <w:bCs w:val="0"/>
              <w:highlight w:val="none"/>
              <w:u w:val="none"/>
            </w:rPr>
            <w:t>（一）</w:t>
          </w:r>
          <w:r>
            <w:rPr>
              <w:b w:val="0"/>
              <w:bCs w:val="0"/>
              <w:highlight w:val="none"/>
              <w:u w:val="none"/>
            </w:rPr>
            <w:t>积极稳妥推进碳达峰碳中和</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_Toc27617 \h </w:instrText>
          </w:r>
          <w:r>
            <w:rPr>
              <w:b w:val="0"/>
              <w:bCs w:val="0"/>
              <w:highlight w:val="none"/>
              <w:u w:val="none"/>
            </w:rPr>
            <w:fldChar w:fldCharType="separate"/>
          </w:r>
          <w:r>
            <w:rPr>
              <w:b w:val="0"/>
              <w:bCs w:val="0"/>
              <w:highlight w:val="none"/>
              <w:u w:val="none"/>
            </w:rPr>
            <w:t>10</w:t>
          </w:r>
          <w:r>
            <w:rPr>
              <w:b w:val="0"/>
              <w:bCs w:val="0"/>
              <w:highlight w:val="none"/>
              <w:u w:val="none"/>
            </w:rPr>
            <w:fldChar w:fldCharType="end"/>
          </w:r>
          <w:r>
            <w:rPr>
              <w:b w:val="0"/>
              <w:bCs w:val="0"/>
              <w:color w:val="auto"/>
              <w:highlight w:val="none"/>
              <w:u w:val="none"/>
            </w:rPr>
            <w:fldChar w:fldCharType="end"/>
          </w:r>
        </w:p>
        <w:p w14:paraId="4B0E6DA5">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_Toc22440 </w:instrText>
          </w:r>
          <w:r>
            <w:rPr>
              <w:b w:val="0"/>
              <w:bCs w:val="0"/>
              <w:highlight w:val="none"/>
              <w:u w:val="none"/>
            </w:rPr>
            <w:fldChar w:fldCharType="separate"/>
          </w:r>
          <w:r>
            <w:rPr>
              <w:rFonts w:hint="eastAsia"/>
              <w:b w:val="0"/>
              <w:bCs w:val="0"/>
              <w:highlight w:val="none"/>
              <w:u w:val="none"/>
            </w:rPr>
            <w:t>（</w:t>
          </w:r>
          <w:r>
            <w:rPr>
              <w:rFonts w:hint="eastAsia"/>
              <w:b w:val="0"/>
              <w:bCs w:val="0"/>
              <w:highlight w:val="none"/>
              <w:u w:val="none"/>
              <w:lang w:val="en-US" w:eastAsia="zh-CN"/>
            </w:rPr>
            <w:t>二</w:t>
          </w:r>
          <w:r>
            <w:rPr>
              <w:rFonts w:hint="eastAsia"/>
              <w:b w:val="0"/>
              <w:bCs w:val="0"/>
              <w:highlight w:val="none"/>
              <w:u w:val="none"/>
            </w:rPr>
            <w:t>）</w:t>
          </w:r>
          <w:r>
            <w:rPr>
              <w:b w:val="0"/>
              <w:bCs w:val="0"/>
              <w:highlight w:val="none"/>
              <w:u w:val="none"/>
            </w:rPr>
            <w:t>推动重点领域绿色低碳</w:t>
          </w:r>
          <w:r>
            <w:rPr>
              <w:rFonts w:hint="eastAsia"/>
              <w:b w:val="0"/>
              <w:bCs w:val="0"/>
              <w:highlight w:val="none"/>
              <w:u w:val="none"/>
              <w:lang w:val="en-US" w:eastAsia="zh-CN"/>
            </w:rPr>
            <w:t>转型</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_Toc22440 \h </w:instrText>
          </w:r>
          <w:r>
            <w:rPr>
              <w:b w:val="0"/>
              <w:bCs w:val="0"/>
              <w:highlight w:val="none"/>
              <w:u w:val="none"/>
            </w:rPr>
            <w:fldChar w:fldCharType="separate"/>
          </w:r>
          <w:r>
            <w:rPr>
              <w:b w:val="0"/>
              <w:bCs w:val="0"/>
              <w:highlight w:val="none"/>
              <w:u w:val="none"/>
            </w:rPr>
            <w:t>11</w:t>
          </w:r>
          <w:r>
            <w:rPr>
              <w:b w:val="0"/>
              <w:bCs w:val="0"/>
              <w:highlight w:val="none"/>
              <w:u w:val="none"/>
            </w:rPr>
            <w:fldChar w:fldCharType="end"/>
          </w:r>
          <w:r>
            <w:rPr>
              <w:b w:val="0"/>
              <w:bCs w:val="0"/>
              <w:color w:val="auto"/>
              <w:highlight w:val="none"/>
              <w:u w:val="none"/>
            </w:rPr>
            <w:fldChar w:fldCharType="end"/>
          </w:r>
        </w:p>
        <w:p w14:paraId="1EBE2D5B">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_Toc6076 </w:instrText>
          </w:r>
          <w:r>
            <w:rPr>
              <w:b w:val="0"/>
              <w:bCs w:val="0"/>
              <w:highlight w:val="none"/>
              <w:u w:val="none"/>
            </w:rPr>
            <w:fldChar w:fldCharType="separate"/>
          </w:r>
          <w:r>
            <w:rPr>
              <w:rFonts w:hint="eastAsia"/>
              <w:b w:val="0"/>
              <w:bCs w:val="0"/>
              <w:highlight w:val="none"/>
              <w:u w:val="none"/>
            </w:rPr>
            <w:t>（三）</w:t>
          </w:r>
          <w:r>
            <w:rPr>
              <w:rFonts w:hint="default"/>
              <w:b w:val="0"/>
              <w:bCs w:val="0"/>
              <w:highlight w:val="none"/>
              <w:u w:val="none"/>
              <w:lang w:val="en-US" w:eastAsia="zh-CN"/>
            </w:rPr>
            <w:t>推进</w:t>
          </w:r>
          <w:r>
            <w:rPr>
              <w:b w:val="0"/>
              <w:bCs w:val="0"/>
              <w:highlight w:val="none"/>
              <w:u w:val="none"/>
            </w:rPr>
            <w:t>资源节约集约高效利用</w:t>
          </w:r>
          <w:r>
            <w:rPr>
              <w:b w:val="0"/>
              <w:bCs w:val="0"/>
              <w:highlight w:val="none"/>
              <w:u w:val="none"/>
            </w:rPr>
            <w:tab/>
          </w:r>
          <w:r>
            <w:rPr>
              <w:b w:val="0"/>
              <w:bCs w:val="0"/>
              <w:highlight w:val="none"/>
              <w:u w:val="none"/>
            </w:rPr>
            <w:fldChar w:fldCharType="begin"/>
          </w:r>
          <w:r>
            <w:rPr>
              <w:b w:val="0"/>
              <w:bCs w:val="0"/>
              <w:highlight w:val="none"/>
              <w:u w:val="none"/>
            </w:rPr>
            <w:instrText xml:space="preserve"> PAGEREF _Toc6076 \h </w:instrText>
          </w:r>
          <w:r>
            <w:rPr>
              <w:b w:val="0"/>
              <w:bCs w:val="0"/>
              <w:highlight w:val="none"/>
              <w:u w:val="none"/>
            </w:rPr>
            <w:fldChar w:fldCharType="separate"/>
          </w:r>
          <w:r>
            <w:rPr>
              <w:b w:val="0"/>
              <w:bCs w:val="0"/>
              <w:highlight w:val="none"/>
              <w:u w:val="none"/>
            </w:rPr>
            <w:t>14</w:t>
          </w:r>
          <w:r>
            <w:rPr>
              <w:b w:val="0"/>
              <w:bCs w:val="0"/>
              <w:highlight w:val="none"/>
              <w:u w:val="none"/>
            </w:rPr>
            <w:fldChar w:fldCharType="end"/>
          </w:r>
          <w:r>
            <w:rPr>
              <w:b w:val="0"/>
              <w:bCs w:val="0"/>
              <w:color w:val="auto"/>
              <w:highlight w:val="none"/>
              <w:u w:val="none"/>
            </w:rPr>
            <w:fldChar w:fldCharType="end"/>
          </w:r>
        </w:p>
        <w:p w14:paraId="1621D649">
          <w:pPr>
            <w:pStyle w:val="13"/>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_Toc12600 </w:instrText>
          </w:r>
          <w:r>
            <w:rPr>
              <w:b w:val="0"/>
              <w:bCs w:val="0"/>
              <w:highlight w:val="none"/>
              <w:u w:val="none"/>
            </w:rPr>
            <w:fldChar w:fldCharType="separate"/>
          </w:r>
          <w:r>
            <w:rPr>
              <w:rFonts w:hint="eastAsia" w:ascii="黑体" w:hAnsi="黑体" w:eastAsia="黑体" w:cs="黑体"/>
              <w:b w:val="0"/>
              <w:bCs w:val="0"/>
              <w:highlight w:val="none"/>
              <w:u w:val="none"/>
            </w:rPr>
            <w:t>四、</w:t>
          </w:r>
          <w:r>
            <w:rPr>
              <w:rFonts w:hint="eastAsia" w:ascii="黑体" w:hAnsi="黑体" w:eastAsia="黑体" w:cs="黑体"/>
              <w:b w:val="0"/>
              <w:bCs w:val="0"/>
              <w:highlight w:val="none"/>
              <w:u w:val="none"/>
              <w:lang w:eastAsia="zh-CN"/>
            </w:rPr>
            <w:t>推动生态环境质量持续提升</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_Toc12600 \h </w:instrText>
          </w:r>
          <w:r>
            <w:rPr>
              <w:b w:val="0"/>
              <w:bCs w:val="0"/>
              <w:highlight w:val="none"/>
              <w:u w:val="none"/>
            </w:rPr>
            <w:fldChar w:fldCharType="separate"/>
          </w:r>
          <w:r>
            <w:rPr>
              <w:b w:val="0"/>
              <w:bCs w:val="0"/>
              <w:highlight w:val="none"/>
              <w:u w:val="none"/>
            </w:rPr>
            <w:t>18</w:t>
          </w:r>
          <w:r>
            <w:rPr>
              <w:b w:val="0"/>
              <w:bCs w:val="0"/>
              <w:highlight w:val="none"/>
              <w:u w:val="none"/>
            </w:rPr>
            <w:fldChar w:fldCharType="end"/>
          </w:r>
          <w:r>
            <w:rPr>
              <w:b w:val="0"/>
              <w:bCs w:val="0"/>
              <w:color w:val="auto"/>
              <w:highlight w:val="none"/>
              <w:u w:val="none"/>
            </w:rPr>
            <w:fldChar w:fldCharType="end"/>
          </w:r>
        </w:p>
        <w:p w14:paraId="47236B3E">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_Toc27596 </w:instrText>
          </w:r>
          <w:r>
            <w:rPr>
              <w:b w:val="0"/>
              <w:bCs w:val="0"/>
              <w:highlight w:val="none"/>
              <w:u w:val="none"/>
            </w:rPr>
            <w:fldChar w:fldCharType="separate"/>
          </w:r>
          <w:r>
            <w:rPr>
              <w:b w:val="0"/>
              <w:bCs w:val="0"/>
              <w:highlight w:val="none"/>
              <w:u w:val="none"/>
            </w:rPr>
            <w:t>（一）</w:t>
          </w:r>
          <w:r>
            <w:rPr>
              <w:rFonts w:hint="eastAsia"/>
              <w:b w:val="0"/>
              <w:bCs w:val="0"/>
              <w:highlight w:val="none"/>
              <w:u w:val="none"/>
              <w:lang w:val="en-US" w:eastAsia="zh-CN"/>
            </w:rPr>
            <w:t>全面开展美丽蓝天建设</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_Toc27596 \h </w:instrText>
          </w:r>
          <w:r>
            <w:rPr>
              <w:b w:val="0"/>
              <w:bCs w:val="0"/>
              <w:highlight w:val="none"/>
              <w:u w:val="none"/>
            </w:rPr>
            <w:fldChar w:fldCharType="separate"/>
          </w:r>
          <w:r>
            <w:rPr>
              <w:b w:val="0"/>
              <w:bCs w:val="0"/>
              <w:highlight w:val="none"/>
              <w:u w:val="none"/>
            </w:rPr>
            <w:t>18</w:t>
          </w:r>
          <w:r>
            <w:rPr>
              <w:b w:val="0"/>
              <w:bCs w:val="0"/>
              <w:highlight w:val="none"/>
              <w:u w:val="none"/>
            </w:rPr>
            <w:fldChar w:fldCharType="end"/>
          </w:r>
          <w:r>
            <w:rPr>
              <w:b w:val="0"/>
              <w:bCs w:val="0"/>
              <w:color w:val="auto"/>
              <w:highlight w:val="none"/>
              <w:u w:val="none"/>
            </w:rPr>
            <w:fldChar w:fldCharType="end"/>
          </w:r>
        </w:p>
        <w:p w14:paraId="3D3E0C01">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_Toc10850 </w:instrText>
          </w:r>
          <w:r>
            <w:rPr>
              <w:b w:val="0"/>
              <w:bCs w:val="0"/>
              <w:highlight w:val="none"/>
              <w:u w:val="none"/>
            </w:rPr>
            <w:fldChar w:fldCharType="separate"/>
          </w:r>
          <w:r>
            <w:rPr>
              <w:b w:val="0"/>
              <w:bCs w:val="0"/>
              <w:highlight w:val="none"/>
              <w:u w:val="none"/>
            </w:rPr>
            <w:t>（二）</w:t>
          </w:r>
          <w:r>
            <w:rPr>
              <w:rFonts w:hint="eastAsia"/>
              <w:b w:val="0"/>
              <w:bCs w:val="0"/>
              <w:highlight w:val="none"/>
              <w:u w:val="none"/>
              <w:lang w:val="en-US" w:eastAsia="zh-CN"/>
            </w:rPr>
            <w:t>系统推进美丽河湖建设</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_Toc10850 \h </w:instrText>
          </w:r>
          <w:r>
            <w:rPr>
              <w:b w:val="0"/>
              <w:bCs w:val="0"/>
              <w:highlight w:val="none"/>
              <w:u w:val="none"/>
            </w:rPr>
            <w:fldChar w:fldCharType="separate"/>
          </w:r>
          <w:r>
            <w:rPr>
              <w:b w:val="0"/>
              <w:bCs w:val="0"/>
              <w:highlight w:val="none"/>
              <w:u w:val="none"/>
            </w:rPr>
            <w:t>24</w:t>
          </w:r>
          <w:r>
            <w:rPr>
              <w:b w:val="0"/>
              <w:bCs w:val="0"/>
              <w:highlight w:val="none"/>
              <w:u w:val="none"/>
            </w:rPr>
            <w:fldChar w:fldCharType="end"/>
          </w:r>
          <w:r>
            <w:rPr>
              <w:b w:val="0"/>
              <w:bCs w:val="0"/>
              <w:color w:val="auto"/>
              <w:highlight w:val="none"/>
              <w:u w:val="none"/>
            </w:rPr>
            <w:fldChar w:fldCharType="end"/>
          </w:r>
        </w:p>
        <w:p w14:paraId="7FB29530">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_Toc22877 </w:instrText>
          </w:r>
          <w:r>
            <w:rPr>
              <w:b w:val="0"/>
              <w:bCs w:val="0"/>
              <w:highlight w:val="none"/>
              <w:u w:val="none"/>
            </w:rPr>
            <w:fldChar w:fldCharType="separate"/>
          </w:r>
          <w:r>
            <w:rPr>
              <w:rFonts w:hint="eastAsia"/>
              <w:b w:val="0"/>
              <w:bCs w:val="0"/>
              <w:highlight w:val="none"/>
              <w:u w:val="none"/>
            </w:rPr>
            <w:t>（三）</w:t>
          </w:r>
          <w:r>
            <w:rPr>
              <w:rFonts w:hint="eastAsia"/>
              <w:b w:val="0"/>
              <w:bCs w:val="0"/>
              <w:highlight w:val="none"/>
              <w:u w:val="none"/>
              <w:lang w:val="en-US" w:eastAsia="zh-CN"/>
            </w:rPr>
            <w:t>科学守护净土沃壤</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_Toc22877 \h </w:instrText>
          </w:r>
          <w:r>
            <w:rPr>
              <w:b w:val="0"/>
              <w:bCs w:val="0"/>
              <w:highlight w:val="none"/>
              <w:u w:val="none"/>
            </w:rPr>
            <w:fldChar w:fldCharType="separate"/>
          </w:r>
          <w:r>
            <w:rPr>
              <w:b w:val="0"/>
              <w:bCs w:val="0"/>
              <w:highlight w:val="none"/>
              <w:u w:val="none"/>
            </w:rPr>
            <w:t>29</w:t>
          </w:r>
          <w:r>
            <w:rPr>
              <w:b w:val="0"/>
              <w:bCs w:val="0"/>
              <w:highlight w:val="none"/>
              <w:u w:val="none"/>
            </w:rPr>
            <w:fldChar w:fldCharType="end"/>
          </w:r>
          <w:r>
            <w:rPr>
              <w:b w:val="0"/>
              <w:bCs w:val="0"/>
              <w:color w:val="auto"/>
              <w:highlight w:val="none"/>
              <w:u w:val="none"/>
            </w:rPr>
            <w:fldChar w:fldCharType="end"/>
          </w:r>
        </w:p>
        <w:p w14:paraId="06259B13">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_Toc31928 </w:instrText>
          </w:r>
          <w:r>
            <w:rPr>
              <w:b w:val="0"/>
              <w:bCs w:val="0"/>
              <w:highlight w:val="none"/>
              <w:u w:val="none"/>
            </w:rPr>
            <w:fldChar w:fldCharType="separate"/>
          </w:r>
          <w:r>
            <w:rPr>
              <w:b w:val="0"/>
              <w:bCs w:val="0"/>
              <w:highlight w:val="none"/>
              <w:u w:val="none"/>
            </w:rPr>
            <w:t>（</w:t>
          </w:r>
          <w:r>
            <w:rPr>
              <w:rFonts w:hint="eastAsia"/>
              <w:b w:val="0"/>
              <w:bCs w:val="0"/>
              <w:highlight w:val="none"/>
              <w:u w:val="none"/>
              <w:lang w:val="en-US" w:eastAsia="zh-CN"/>
            </w:rPr>
            <w:t>四</w:t>
          </w:r>
          <w:r>
            <w:rPr>
              <w:b w:val="0"/>
              <w:bCs w:val="0"/>
              <w:highlight w:val="none"/>
              <w:u w:val="none"/>
            </w:rPr>
            <w:t>）加强噪声污染</w:t>
          </w:r>
          <w:r>
            <w:rPr>
              <w:rFonts w:hint="eastAsia"/>
              <w:b w:val="0"/>
              <w:bCs w:val="0"/>
              <w:highlight w:val="none"/>
              <w:u w:val="none"/>
              <w:lang w:val="en-US" w:eastAsia="zh-CN"/>
            </w:rPr>
            <w:t>治理</w:t>
          </w:r>
          <w:r>
            <w:rPr>
              <w:b w:val="0"/>
              <w:bCs w:val="0"/>
              <w:highlight w:val="none"/>
              <w:u w:val="none"/>
            </w:rPr>
            <w:tab/>
          </w:r>
          <w:r>
            <w:rPr>
              <w:b w:val="0"/>
              <w:bCs w:val="0"/>
              <w:highlight w:val="none"/>
              <w:u w:val="none"/>
            </w:rPr>
            <w:fldChar w:fldCharType="begin"/>
          </w:r>
          <w:r>
            <w:rPr>
              <w:b w:val="0"/>
              <w:bCs w:val="0"/>
              <w:highlight w:val="none"/>
              <w:u w:val="none"/>
            </w:rPr>
            <w:instrText xml:space="preserve"> PAGEREF _Toc31928 \h </w:instrText>
          </w:r>
          <w:r>
            <w:rPr>
              <w:b w:val="0"/>
              <w:bCs w:val="0"/>
              <w:highlight w:val="none"/>
              <w:u w:val="none"/>
            </w:rPr>
            <w:fldChar w:fldCharType="separate"/>
          </w:r>
          <w:r>
            <w:rPr>
              <w:b w:val="0"/>
              <w:bCs w:val="0"/>
              <w:highlight w:val="none"/>
              <w:u w:val="none"/>
            </w:rPr>
            <w:t>31</w:t>
          </w:r>
          <w:r>
            <w:rPr>
              <w:b w:val="0"/>
              <w:bCs w:val="0"/>
              <w:highlight w:val="none"/>
              <w:u w:val="none"/>
            </w:rPr>
            <w:fldChar w:fldCharType="end"/>
          </w:r>
          <w:r>
            <w:rPr>
              <w:b w:val="0"/>
              <w:bCs w:val="0"/>
              <w:color w:val="auto"/>
              <w:highlight w:val="none"/>
              <w:u w:val="none"/>
            </w:rPr>
            <w:fldChar w:fldCharType="end"/>
          </w:r>
        </w:p>
        <w:p w14:paraId="393CFEEE">
          <w:pPr>
            <w:pStyle w:val="13"/>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_Toc18851 </w:instrText>
          </w:r>
          <w:r>
            <w:rPr>
              <w:b w:val="0"/>
              <w:bCs w:val="0"/>
              <w:highlight w:val="none"/>
              <w:u w:val="none"/>
            </w:rPr>
            <w:fldChar w:fldCharType="separate"/>
          </w:r>
          <w:r>
            <w:rPr>
              <w:rFonts w:hint="eastAsia" w:ascii="黑体" w:hAnsi="黑体" w:eastAsia="黑体" w:cs="黑体"/>
              <w:b w:val="0"/>
              <w:bCs w:val="0"/>
              <w:highlight w:val="none"/>
              <w:u w:val="none"/>
            </w:rPr>
            <w:t>五、</w:t>
          </w:r>
          <w:r>
            <w:rPr>
              <w:rFonts w:hint="eastAsia" w:ascii="黑体" w:hAnsi="黑体" w:eastAsia="黑体" w:cs="黑体"/>
              <w:b w:val="0"/>
              <w:bCs w:val="0"/>
              <w:highlight w:val="none"/>
              <w:u w:val="none"/>
              <w:lang w:val="en-US" w:eastAsia="zh-CN"/>
            </w:rPr>
            <w:t>绘就平原新城多彩画卷</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_Toc18851 \h </w:instrText>
          </w:r>
          <w:r>
            <w:rPr>
              <w:b w:val="0"/>
              <w:bCs w:val="0"/>
              <w:highlight w:val="none"/>
              <w:u w:val="none"/>
            </w:rPr>
            <w:fldChar w:fldCharType="separate"/>
          </w:r>
          <w:r>
            <w:rPr>
              <w:b w:val="0"/>
              <w:bCs w:val="0"/>
              <w:highlight w:val="none"/>
              <w:u w:val="none"/>
            </w:rPr>
            <w:t>34</w:t>
          </w:r>
          <w:r>
            <w:rPr>
              <w:b w:val="0"/>
              <w:bCs w:val="0"/>
              <w:highlight w:val="none"/>
              <w:u w:val="none"/>
            </w:rPr>
            <w:fldChar w:fldCharType="end"/>
          </w:r>
          <w:r>
            <w:rPr>
              <w:b w:val="0"/>
              <w:bCs w:val="0"/>
              <w:color w:val="auto"/>
              <w:highlight w:val="none"/>
              <w:u w:val="none"/>
            </w:rPr>
            <w:fldChar w:fldCharType="end"/>
          </w:r>
        </w:p>
        <w:p w14:paraId="19CA0888">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_Toc6860 </w:instrText>
          </w:r>
          <w:r>
            <w:rPr>
              <w:b w:val="0"/>
              <w:bCs w:val="0"/>
              <w:highlight w:val="none"/>
              <w:u w:val="none"/>
            </w:rPr>
            <w:fldChar w:fldCharType="separate"/>
          </w:r>
          <w:r>
            <w:rPr>
              <w:rFonts w:hint="eastAsia"/>
              <w:b w:val="0"/>
              <w:bCs w:val="0"/>
              <w:highlight w:val="none"/>
              <w:u w:val="none"/>
              <w:shd w:val="clear" w:fill="auto"/>
              <w:lang w:val="en-US" w:eastAsia="zh-CN"/>
            </w:rPr>
            <w:t>（一）</w:t>
          </w:r>
          <w:r>
            <w:rPr>
              <w:rFonts w:hint="eastAsia"/>
              <w:b w:val="0"/>
              <w:bCs w:val="0"/>
              <w:highlight w:val="none"/>
              <w:u w:val="none"/>
              <w:shd w:val="clear" w:color="auto" w:fill="auto"/>
              <w:lang w:val="en-US" w:eastAsia="zh-CN"/>
            </w:rPr>
            <w:t>厚植绿色生态基底</w:t>
          </w:r>
          <w:r>
            <w:rPr>
              <w:b w:val="0"/>
              <w:bCs w:val="0"/>
              <w:highlight w:val="none"/>
              <w:u w:val="none"/>
            </w:rPr>
            <w:tab/>
          </w:r>
          <w:r>
            <w:rPr>
              <w:b w:val="0"/>
              <w:bCs w:val="0"/>
              <w:highlight w:val="none"/>
              <w:u w:val="none"/>
            </w:rPr>
            <w:fldChar w:fldCharType="begin"/>
          </w:r>
          <w:r>
            <w:rPr>
              <w:b w:val="0"/>
              <w:bCs w:val="0"/>
              <w:highlight w:val="none"/>
              <w:u w:val="none"/>
            </w:rPr>
            <w:instrText xml:space="preserve"> PAGEREF _Toc6860 \h </w:instrText>
          </w:r>
          <w:r>
            <w:rPr>
              <w:b w:val="0"/>
              <w:bCs w:val="0"/>
              <w:highlight w:val="none"/>
              <w:u w:val="none"/>
            </w:rPr>
            <w:fldChar w:fldCharType="separate"/>
          </w:r>
          <w:r>
            <w:rPr>
              <w:b w:val="0"/>
              <w:bCs w:val="0"/>
              <w:highlight w:val="none"/>
              <w:u w:val="none"/>
            </w:rPr>
            <w:t>34</w:t>
          </w:r>
          <w:r>
            <w:rPr>
              <w:b w:val="0"/>
              <w:bCs w:val="0"/>
              <w:highlight w:val="none"/>
              <w:u w:val="none"/>
            </w:rPr>
            <w:fldChar w:fldCharType="end"/>
          </w:r>
          <w:r>
            <w:rPr>
              <w:b w:val="0"/>
              <w:bCs w:val="0"/>
              <w:color w:val="auto"/>
              <w:highlight w:val="none"/>
              <w:u w:val="none"/>
            </w:rPr>
            <w:fldChar w:fldCharType="end"/>
          </w:r>
        </w:p>
        <w:p w14:paraId="562E48E5">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_Toc18821 </w:instrText>
          </w:r>
          <w:r>
            <w:rPr>
              <w:b w:val="0"/>
              <w:bCs w:val="0"/>
              <w:highlight w:val="none"/>
              <w:u w:val="none"/>
            </w:rPr>
            <w:fldChar w:fldCharType="separate"/>
          </w:r>
          <w:r>
            <w:rPr>
              <w:b w:val="0"/>
              <w:bCs w:val="0"/>
              <w:highlight w:val="none"/>
              <w:u w:val="none"/>
            </w:rPr>
            <w:t>（</w:t>
          </w:r>
          <w:r>
            <w:rPr>
              <w:rFonts w:hint="eastAsia"/>
              <w:b w:val="0"/>
              <w:bCs w:val="0"/>
              <w:highlight w:val="none"/>
              <w:u w:val="none"/>
              <w:lang w:val="en-US" w:eastAsia="zh-CN"/>
            </w:rPr>
            <w:t>二</w:t>
          </w:r>
          <w:r>
            <w:rPr>
              <w:b w:val="0"/>
              <w:bCs w:val="0"/>
              <w:highlight w:val="none"/>
              <w:u w:val="none"/>
            </w:rPr>
            <w:t>）</w:t>
          </w:r>
          <w:r>
            <w:rPr>
              <w:rFonts w:hint="eastAsia"/>
              <w:b w:val="0"/>
              <w:bCs w:val="0"/>
              <w:highlight w:val="none"/>
              <w:u w:val="none"/>
              <w:lang w:val="en-US" w:eastAsia="zh-CN"/>
            </w:rPr>
            <w:t>建设高品质花园顺义</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_Toc18821 \h </w:instrText>
          </w:r>
          <w:r>
            <w:rPr>
              <w:b w:val="0"/>
              <w:bCs w:val="0"/>
              <w:highlight w:val="none"/>
              <w:u w:val="none"/>
            </w:rPr>
            <w:fldChar w:fldCharType="separate"/>
          </w:r>
          <w:r>
            <w:rPr>
              <w:b w:val="0"/>
              <w:bCs w:val="0"/>
              <w:highlight w:val="none"/>
              <w:u w:val="none"/>
            </w:rPr>
            <w:t>37</w:t>
          </w:r>
          <w:r>
            <w:rPr>
              <w:b w:val="0"/>
              <w:bCs w:val="0"/>
              <w:highlight w:val="none"/>
              <w:u w:val="none"/>
            </w:rPr>
            <w:fldChar w:fldCharType="end"/>
          </w:r>
          <w:r>
            <w:rPr>
              <w:b w:val="0"/>
              <w:bCs w:val="0"/>
              <w:color w:val="auto"/>
              <w:highlight w:val="none"/>
              <w:u w:val="none"/>
            </w:rPr>
            <w:fldChar w:fldCharType="end"/>
          </w:r>
        </w:p>
        <w:p w14:paraId="31F08DF0">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_Toc14576 </w:instrText>
          </w:r>
          <w:r>
            <w:rPr>
              <w:b w:val="0"/>
              <w:bCs w:val="0"/>
              <w:highlight w:val="none"/>
              <w:u w:val="none"/>
            </w:rPr>
            <w:fldChar w:fldCharType="separate"/>
          </w:r>
          <w:r>
            <w:rPr>
              <w:b w:val="0"/>
              <w:bCs w:val="0"/>
              <w:highlight w:val="none"/>
              <w:u w:val="none"/>
            </w:rPr>
            <w:t>（</w:t>
          </w:r>
          <w:r>
            <w:rPr>
              <w:rFonts w:hint="eastAsia"/>
              <w:b w:val="0"/>
              <w:bCs w:val="0"/>
              <w:highlight w:val="none"/>
              <w:u w:val="none"/>
              <w:lang w:val="en-US" w:eastAsia="zh-CN"/>
            </w:rPr>
            <w:t>三</w:t>
          </w:r>
          <w:r>
            <w:rPr>
              <w:b w:val="0"/>
              <w:bCs w:val="0"/>
              <w:highlight w:val="none"/>
              <w:u w:val="none"/>
            </w:rPr>
            <w:t>）</w:t>
          </w:r>
          <w:r>
            <w:rPr>
              <w:rFonts w:hint="eastAsia"/>
              <w:b w:val="0"/>
              <w:bCs w:val="0"/>
              <w:highlight w:val="none"/>
              <w:u w:val="none"/>
              <w:lang w:val="en-US" w:eastAsia="zh-CN"/>
            </w:rPr>
            <w:t>系统推进湿地保护修复</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_Toc14576 \h </w:instrText>
          </w:r>
          <w:r>
            <w:rPr>
              <w:b w:val="0"/>
              <w:bCs w:val="0"/>
              <w:highlight w:val="none"/>
              <w:u w:val="none"/>
            </w:rPr>
            <w:fldChar w:fldCharType="separate"/>
          </w:r>
          <w:r>
            <w:rPr>
              <w:b w:val="0"/>
              <w:bCs w:val="0"/>
              <w:highlight w:val="none"/>
              <w:u w:val="none"/>
            </w:rPr>
            <w:t>40</w:t>
          </w:r>
          <w:r>
            <w:rPr>
              <w:b w:val="0"/>
              <w:bCs w:val="0"/>
              <w:highlight w:val="none"/>
              <w:u w:val="none"/>
            </w:rPr>
            <w:fldChar w:fldCharType="end"/>
          </w:r>
          <w:r>
            <w:rPr>
              <w:b w:val="0"/>
              <w:bCs w:val="0"/>
              <w:color w:val="auto"/>
              <w:highlight w:val="none"/>
              <w:u w:val="none"/>
            </w:rPr>
            <w:fldChar w:fldCharType="end"/>
          </w:r>
        </w:p>
        <w:p w14:paraId="08B8F7FB">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_Toc4439 </w:instrText>
          </w:r>
          <w:r>
            <w:rPr>
              <w:b w:val="0"/>
              <w:bCs w:val="0"/>
              <w:highlight w:val="none"/>
              <w:u w:val="none"/>
            </w:rPr>
            <w:fldChar w:fldCharType="separate"/>
          </w:r>
          <w:r>
            <w:rPr>
              <w:b w:val="0"/>
              <w:bCs w:val="0"/>
              <w:highlight w:val="none"/>
              <w:u w:val="none"/>
            </w:rPr>
            <w:t>（</w:t>
          </w:r>
          <w:r>
            <w:rPr>
              <w:rFonts w:hint="eastAsia"/>
              <w:b w:val="0"/>
              <w:bCs w:val="0"/>
              <w:highlight w:val="none"/>
              <w:u w:val="none"/>
              <w:lang w:val="en-US" w:eastAsia="zh-CN"/>
            </w:rPr>
            <w:t>四</w:t>
          </w:r>
          <w:r>
            <w:rPr>
              <w:b w:val="0"/>
              <w:bCs w:val="0"/>
              <w:highlight w:val="none"/>
              <w:u w:val="none"/>
            </w:rPr>
            <w:t>）</w:t>
          </w:r>
          <w:r>
            <w:rPr>
              <w:rFonts w:hint="default"/>
              <w:b w:val="0"/>
              <w:bCs w:val="0"/>
              <w:highlight w:val="none"/>
              <w:u w:val="none"/>
              <w:lang w:val="en-US" w:eastAsia="zh-CN"/>
            </w:rPr>
            <w:t>加强生物多样性保护</w:t>
          </w:r>
          <w:r>
            <w:rPr>
              <w:b w:val="0"/>
              <w:bCs w:val="0"/>
              <w:highlight w:val="none"/>
              <w:u w:val="none"/>
            </w:rPr>
            <w:tab/>
          </w:r>
          <w:r>
            <w:rPr>
              <w:b w:val="0"/>
              <w:bCs w:val="0"/>
              <w:highlight w:val="none"/>
              <w:u w:val="none"/>
            </w:rPr>
            <w:fldChar w:fldCharType="begin"/>
          </w:r>
          <w:r>
            <w:rPr>
              <w:b w:val="0"/>
              <w:bCs w:val="0"/>
              <w:highlight w:val="none"/>
              <w:u w:val="none"/>
            </w:rPr>
            <w:instrText xml:space="preserve"> PAGEREF _Toc4439 \h </w:instrText>
          </w:r>
          <w:r>
            <w:rPr>
              <w:b w:val="0"/>
              <w:bCs w:val="0"/>
              <w:highlight w:val="none"/>
              <w:u w:val="none"/>
            </w:rPr>
            <w:fldChar w:fldCharType="separate"/>
          </w:r>
          <w:r>
            <w:rPr>
              <w:b w:val="0"/>
              <w:bCs w:val="0"/>
              <w:highlight w:val="none"/>
              <w:u w:val="none"/>
            </w:rPr>
            <w:t>41</w:t>
          </w:r>
          <w:r>
            <w:rPr>
              <w:b w:val="0"/>
              <w:bCs w:val="0"/>
              <w:highlight w:val="none"/>
              <w:u w:val="none"/>
            </w:rPr>
            <w:fldChar w:fldCharType="end"/>
          </w:r>
          <w:r>
            <w:rPr>
              <w:b w:val="0"/>
              <w:bCs w:val="0"/>
              <w:color w:val="auto"/>
              <w:highlight w:val="none"/>
              <w:u w:val="none"/>
            </w:rPr>
            <w:fldChar w:fldCharType="end"/>
          </w:r>
        </w:p>
        <w:p w14:paraId="44FD00D3">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_Toc2007 </w:instrText>
          </w:r>
          <w:r>
            <w:rPr>
              <w:b w:val="0"/>
              <w:bCs w:val="0"/>
              <w:highlight w:val="none"/>
              <w:u w:val="none"/>
            </w:rPr>
            <w:fldChar w:fldCharType="separate"/>
          </w:r>
          <w:r>
            <w:rPr>
              <w:rFonts w:hint="eastAsia" w:ascii="Times New Roman" w:hAnsi="Times New Roman" w:eastAsia="楷体_GB2312" w:cs="Times New Roman"/>
              <w:b w:val="0"/>
              <w:bCs w:val="0"/>
              <w:kern w:val="2"/>
              <w:szCs w:val="32"/>
              <w:highlight w:val="none"/>
              <w:u w:val="none"/>
              <w:lang w:val="en-US" w:eastAsia="zh-CN" w:bidi="ar-SA"/>
            </w:rPr>
            <w:t>（</w:t>
          </w:r>
          <w:r>
            <w:rPr>
              <w:rFonts w:hint="eastAsia" w:cs="Times New Roman"/>
              <w:b w:val="0"/>
              <w:bCs w:val="0"/>
              <w:kern w:val="2"/>
              <w:szCs w:val="32"/>
              <w:highlight w:val="none"/>
              <w:u w:val="none"/>
              <w:lang w:val="en-US" w:eastAsia="zh-CN" w:bidi="ar-SA"/>
            </w:rPr>
            <w:t>五</w:t>
          </w:r>
          <w:r>
            <w:rPr>
              <w:rFonts w:hint="eastAsia" w:ascii="Times New Roman" w:hAnsi="Times New Roman" w:eastAsia="楷体_GB2312" w:cs="Times New Roman"/>
              <w:b w:val="0"/>
              <w:bCs w:val="0"/>
              <w:kern w:val="2"/>
              <w:szCs w:val="32"/>
              <w:highlight w:val="none"/>
              <w:u w:val="none"/>
              <w:lang w:val="en-US" w:eastAsia="zh-CN" w:bidi="ar-SA"/>
            </w:rPr>
            <w:t>）</w:t>
          </w:r>
          <w:r>
            <w:rPr>
              <w:b w:val="0"/>
              <w:bCs w:val="0"/>
              <w:highlight w:val="none"/>
              <w:u w:val="none"/>
            </w:rPr>
            <w:t>推动生态产品价值实现</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_Toc2007 \h </w:instrText>
          </w:r>
          <w:r>
            <w:rPr>
              <w:b w:val="0"/>
              <w:bCs w:val="0"/>
              <w:highlight w:val="none"/>
              <w:u w:val="none"/>
            </w:rPr>
            <w:fldChar w:fldCharType="separate"/>
          </w:r>
          <w:r>
            <w:rPr>
              <w:b w:val="0"/>
              <w:bCs w:val="0"/>
              <w:highlight w:val="none"/>
              <w:u w:val="none"/>
            </w:rPr>
            <w:t>43</w:t>
          </w:r>
          <w:r>
            <w:rPr>
              <w:b w:val="0"/>
              <w:bCs w:val="0"/>
              <w:highlight w:val="none"/>
              <w:u w:val="none"/>
            </w:rPr>
            <w:fldChar w:fldCharType="end"/>
          </w:r>
          <w:r>
            <w:rPr>
              <w:b w:val="0"/>
              <w:bCs w:val="0"/>
              <w:color w:val="auto"/>
              <w:highlight w:val="none"/>
              <w:u w:val="none"/>
            </w:rPr>
            <w:fldChar w:fldCharType="end"/>
          </w:r>
        </w:p>
        <w:p w14:paraId="519EC130">
          <w:pPr>
            <w:pStyle w:val="13"/>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_Toc2603 </w:instrText>
          </w:r>
          <w:r>
            <w:rPr>
              <w:b w:val="0"/>
              <w:bCs w:val="0"/>
              <w:highlight w:val="none"/>
              <w:u w:val="none"/>
            </w:rPr>
            <w:fldChar w:fldCharType="separate"/>
          </w:r>
          <w:r>
            <w:rPr>
              <w:rFonts w:hint="eastAsia" w:ascii="黑体" w:hAnsi="黑体" w:eastAsia="黑体" w:cs="黑体"/>
              <w:b w:val="0"/>
              <w:bCs w:val="0"/>
              <w:highlight w:val="none"/>
              <w:u w:val="none"/>
            </w:rPr>
            <w:t>六、</w:t>
          </w:r>
          <w:r>
            <w:rPr>
              <w:rFonts w:hint="eastAsia" w:ascii="黑体" w:hAnsi="黑体" w:eastAsia="黑体" w:cs="黑体"/>
              <w:b w:val="0"/>
              <w:bCs w:val="0"/>
              <w:highlight w:val="none"/>
              <w:u w:val="none"/>
              <w:lang w:val="en-US" w:eastAsia="zh-CN"/>
            </w:rPr>
            <w:t>筑牢风险防控</w:t>
          </w:r>
          <w:r>
            <w:rPr>
              <w:rFonts w:hint="eastAsia" w:ascii="黑体" w:hAnsi="黑体" w:eastAsia="黑体" w:cs="黑体"/>
              <w:b w:val="0"/>
              <w:bCs w:val="0"/>
              <w:highlight w:val="none"/>
              <w:u w:val="none"/>
            </w:rPr>
            <w:t>安全底线</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_Toc2603 \h </w:instrText>
          </w:r>
          <w:r>
            <w:rPr>
              <w:b w:val="0"/>
              <w:bCs w:val="0"/>
              <w:highlight w:val="none"/>
              <w:u w:val="none"/>
            </w:rPr>
            <w:fldChar w:fldCharType="separate"/>
          </w:r>
          <w:r>
            <w:rPr>
              <w:b w:val="0"/>
              <w:bCs w:val="0"/>
              <w:highlight w:val="none"/>
              <w:u w:val="none"/>
            </w:rPr>
            <w:t>44</w:t>
          </w:r>
          <w:r>
            <w:rPr>
              <w:b w:val="0"/>
              <w:bCs w:val="0"/>
              <w:highlight w:val="none"/>
              <w:u w:val="none"/>
            </w:rPr>
            <w:fldChar w:fldCharType="end"/>
          </w:r>
          <w:r>
            <w:rPr>
              <w:b w:val="0"/>
              <w:bCs w:val="0"/>
              <w:color w:val="auto"/>
              <w:highlight w:val="none"/>
              <w:u w:val="none"/>
            </w:rPr>
            <w:fldChar w:fldCharType="end"/>
          </w:r>
        </w:p>
        <w:p w14:paraId="70013E6E">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_Toc25318 </w:instrText>
          </w:r>
          <w:r>
            <w:rPr>
              <w:b w:val="0"/>
              <w:bCs w:val="0"/>
              <w:highlight w:val="none"/>
              <w:u w:val="none"/>
            </w:rPr>
            <w:fldChar w:fldCharType="separate"/>
          </w:r>
          <w:r>
            <w:rPr>
              <w:b w:val="0"/>
              <w:bCs w:val="0"/>
              <w:highlight w:val="none"/>
              <w:u w:val="none"/>
            </w:rPr>
            <w:t>（一）</w:t>
          </w:r>
          <w:r>
            <w:rPr>
              <w:rFonts w:hint="eastAsia"/>
              <w:b w:val="0"/>
              <w:bCs w:val="0"/>
              <w:highlight w:val="none"/>
              <w:u w:val="none"/>
              <w:lang w:val="en-US" w:eastAsia="zh-CN"/>
            </w:rPr>
            <w:t>织密生态安全风险防控网</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_Toc25318 \h </w:instrText>
          </w:r>
          <w:r>
            <w:rPr>
              <w:b w:val="0"/>
              <w:bCs w:val="0"/>
              <w:highlight w:val="none"/>
              <w:u w:val="none"/>
            </w:rPr>
            <w:fldChar w:fldCharType="separate"/>
          </w:r>
          <w:r>
            <w:rPr>
              <w:b w:val="0"/>
              <w:bCs w:val="0"/>
              <w:highlight w:val="none"/>
              <w:u w:val="none"/>
            </w:rPr>
            <w:t>44</w:t>
          </w:r>
          <w:r>
            <w:rPr>
              <w:b w:val="0"/>
              <w:bCs w:val="0"/>
              <w:highlight w:val="none"/>
              <w:u w:val="none"/>
            </w:rPr>
            <w:fldChar w:fldCharType="end"/>
          </w:r>
          <w:r>
            <w:rPr>
              <w:b w:val="0"/>
              <w:bCs w:val="0"/>
              <w:color w:val="auto"/>
              <w:highlight w:val="none"/>
              <w:u w:val="none"/>
            </w:rPr>
            <w:fldChar w:fldCharType="end"/>
          </w:r>
        </w:p>
        <w:p w14:paraId="3A817B24">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_Toc17916 </w:instrText>
          </w:r>
          <w:r>
            <w:rPr>
              <w:b w:val="0"/>
              <w:bCs w:val="0"/>
              <w:highlight w:val="none"/>
              <w:u w:val="none"/>
            </w:rPr>
            <w:fldChar w:fldCharType="separate"/>
          </w:r>
          <w:r>
            <w:rPr>
              <w:b w:val="0"/>
              <w:bCs w:val="0"/>
              <w:highlight w:val="none"/>
              <w:u w:val="none"/>
              <w:shd w:val="clear" w:color="auto" w:fill="auto"/>
            </w:rPr>
            <w:t>（二）</w:t>
          </w:r>
          <w:r>
            <w:rPr>
              <w:rFonts w:hint="eastAsia"/>
              <w:b w:val="0"/>
              <w:bCs w:val="0"/>
              <w:highlight w:val="none"/>
              <w:u w:val="none"/>
              <w:shd w:val="clear" w:color="auto" w:fill="auto"/>
              <w:lang w:val="en-US" w:eastAsia="zh-CN"/>
            </w:rPr>
            <w:t>深化危险废物安全监管</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_Toc17916 \h </w:instrText>
          </w:r>
          <w:r>
            <w:rPr>
              <w:b w:val="0"/>
              <w:bCs w:val="0"/>
              <w:highlight w:val="none"/>
              <w:u w:val="none"/>
            </w:rPr>
            <w:fldChar w:fldCharType="separate"/>
          </w:r>
          <w:r>
            <w:rPr>
              <w:b w:val="0"/>
              <w:bCs w:val="0"/>
              <w:highlight w:val="none"/>
              <w:u w:val="none"/>
            </w:rPr>
            <w:t>46</w:t>
          </w:r>
          <w:r>
            <w:rPr>
              <w:b w:val="0"/>
              <w:bCs w:val="0"/>
              <w:highlight w:val="none"/>
              <w:u w:val="none"/>
            </w:rPr>
            <w:fldChar w:fldCharType="end"/>
          </w:r>
          <w:r>
            <w:rPr>
              <w:b w:val="0"/>
              <w:bCs w:val="0"/>
              <w:color w:val="auto"/>
              <w:highlight w:val="none"/>
              <w:u w:val="none"/>
            </w:rPr>
            <w:fldChar w:fldCharType="end"/>
          </w:r>
        </w:p>
        <w:p w14:paraId="6F0556A8">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_Toc28565 </w:instrText>
          </w:r>
          <w:r>
            <w:rPr>
              <w:b w:val="0"/>
              <w:bCs w:val="0"/>
              <w:highlight w:val="none"/>
              <w:u w:val="none"/>
            </w:rPr>
            <w:fldChar w:fldCharType="separate"/>
          </w:r>
          <w:r>
            <w:rPr>
              <w:b w:val="0"/>
              <w:bCs w:val="0"/>
              <w:highlight w:val="none"/>
              <w:u w:val="none"/>
              <w:shd w:val="clear" w:color="auto" w:fill="auto"/>
            </w:rPr>
            <w:t>（</w:t>
          </w:r>
          <w:r>
            <w:rPr>
              <w:rFonts w:hint="eastAsia"/>
              <w:b w:val="0"/>
              <w:bCs w:val="0"/>
              <w:highlight w:val="none"/>
              <w:u w:val="none"/>
              <w:shd w:val="clear" w:color="auto" w:fill="auto"/>
              <w:lang w:val="en-US" w:eastAsia="zh-CN"/>
            </w:rPr>
            <w:t>三</w:t>
          </w:r>
          <w:r>
            <w:rPr>
              <w:b w:val="0"/>
              <w:bCs w:val="0"/>
              <w:highlight w:val="none"/>
              <w:u w:val="none"/>
              <w:shd w:val="clear" w:color="auto" w:fill="auto"/>
            </w:rPr>
            <w:t>）</w:t>
          </w:r>
          <w:r>
            <w:rPr>
              <w:rFonts w:hint="eastAsia"/>
              <w:b w:val="0"/>
              <w:bCs w:val="0"/>
              <w:highlight w:val="none"/>
              <w:u w:val="none"/>
              <w:shd w:val="clear" w:color="auto" w:fill="auto"/>
              <w:lang w:val="en-US" w:eastAsia="zh-CN"/>
            </w:rPr>
            <w:t>深入推进新污染物治理</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_Toc28565 \h </w:instrText>
          </w:r>
          <w:r>
            <w:rPr>
              <w:b w:val="0"/>
              <w:bCs w:val="0"/>
              <w:highlight w:val="none"/>
              <w:u w:val="none"/>
            </w:rPr>
            <w:fldChar w:fldCharType="separate"/>
          </w:r>
          <w:r>
            <w:rPr>
              <w:b w:val="0"/>
              <w:bCs w:val="0"/>
              <w:highlight w:val="none"/>
              <w:u w:val="none"/>
            </w:rPr>
            <w:t>47</w:t>
          </w:r>
          <w:r>
            <w:rPr>
              <w:b w:val="0"/>
              <w:bCs w:val="0"/>
              <w:highlight w:val="none"/>
              <w:u w:val="none"/>
            </w:rPr>
            <w:fldChar w:fldCharType="end"/>
          </w:r>
          <w:r>
            <w:rPr>
              <w:b w:val="0"/>
              <w:bCs w:val="0"/>
              <w:color w:val="auto"/>
              <w:highlight w:val="none"/>
              <w:u w:val="none"/>
            </w:rPr>
            <w:fldChar w:fldCharType="end"/>
          </w:r>
        </w:p>
        <w:p w14:paraId="776D6B5E">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_Toc27177 </w:instrText>
          </w:r>
          <w:r>
            <w:rPr>
              <w:b w:val="0"/>
              <w:bCs w:val="0"/>
              <w:highlight w:val="none"/>
              <w:u w:val="none"/>
            </w:rPr>
            <w:fldChar w:fldCharType="separate"/>
          </w:r>
          <w:r>
            <w:rPr>
              <w:b w:val="0"/>
              <w:bCs w:val="0"/>
              <w:highlight w:val="none"/>
              <w:u w:val="none"/>
              <w:shd w:val="clear" w:color="auto" w:fill="auto"/>
            </w:rPr>
            <w:t>（</w:t>
          </w:r>
          <w:r>
            <w:rPr>
              <w:rFonts w:hint="eastAsia"/>
              <w:b w:val="0"/>
              <w:bCs w:val="0"/>
              <w:highlight w:val="none"/>
              <w:u w:val="none"/>
              <w:shd w:val="clear" w:color="auto" w:fill="auto"/>
              <w:lang w:val="en-US" w:eastAsia="zh-CN"/>
            </w:rPr>
            <w:t>四</w:t>
          </w:r>
          <w:r>
            <w:rPr>
              <w:b w:val="0"/>
              <w:bCs w:val="0"/>
              <w:highlight w:val="none"/>
              <w:u w:val="none"/>
              <w:shd w:val="clear" w:color="auto" w:fill="auto"/>
            </w:rPr>
            <w:t>）</w:t>
          </w:r>
          <w:r>
            <w:rPr>
              <w:rFonts w:hint="eastAsia"/>
              <w:b w:val="0"/>
              <w:bCs w:val="0"/>
              <w:highlight w:val="none"/>
              <w:u w:val="none"/>
              <w:shd w:val="clear" w:color="auto" w:fill="auto"/>
              <w:lang w:val="en-US" w:eastAsia="zh-CN"/>
            </w:rPr>
            <w:t>强化辐射安全监管</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_Toc27177 \h </w:instrText>
          </w:r>
          <w:r>
            <w:rPr>
              <w:b w:val="0"/>
              <w:bCs w:val="0"/>
              <w:highlight w:val="none"/>
              <w:u w:val="none"/>
            </w:rPr>
            <w:fldChar w:fldCharType="separate"/>
          </w:r>
          <w:r>
            <w:rPr>
              <w:b w:val="0"/>
              <w:bCs w:val="0"/>
              <w:highlight w:val="none"/>
              <w:u w:val="none"/>
            </w:rPr>
            <w:t>49</w:t>
          </w:r>
          <w:r>
            <w:rPr>
              <w:b w:val="0"/>
              <w:bCs w:val="0"/>
              <w:highlight w:val="none"/>
              <w:u w:val="none"/>
            </w:rPr>
            <w:fldChar w:fldCharType="end"/>
          </w:r>
          <w:r>
            <w:rPr>
              <w:b w:val="0"/>
              <w:bCs w:val="0"/>
              <w:color w:val="auto"/>
              <w:highlight w:val="none"/>
              <w:u w:val="none"/>
            </w:rPr>
            <w:fldChar w:fldCharType="end"/>
          </w:r>
        </w:p>
        <w:p w14:paraId="12B57693">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_Toc1154 </w:instrText>
          </w:r>
          <w:r>
            <w:rPr>
              <w:b w:val="0"/>
              <w:bCs w:val="0"/>
              <w:highlight w:val="none"/>
              <w:u w:val="none"/>
            </w:rPr>
            <w:fldChar w:fldCharType="separate"/>
          </w:r>
          <w:r>
            <w:rPr>
              <w:b w:val="0"/>
              <w:bCs w:val="0"/>
              <w:highlight w:val="none"/>
              <w:u w:val="none"/>
              <w:shd w:val="clear" w:color="auto" w:fill="auto"/>
            </w:rPr>
            <w:t>（</w:t>
          </w:r>
          <w:r>
            <w:rPr>
              <w:rFonts w:hint="eastAsia"/>
              <w:b w:val="0"/>
              <w:bCs w:val="0"/>
              <w:highlight w:val="none"/>
              <w:u w:val="none"/>
              <w:shd w:val="clear" w:color="auto" w:fill="auto"/>
              <w:lang w:val="en-US" w:eastAsia="zh-CN"/>
            </w:rPr>
            <w:t>五</w:t>
          </w:r>
          <w:r>
            <w:rPr>
              <w:b w:val="0"/>
              <w:bCs w:val="0"/>
              <w:highlight w:val="none"/>
              <w:u w:val="none"/>
              <w:shd w:val="clear" w:color="auto" w:fill="auto"/>
            </w:rPr>
            <w:t>）</w:t>
          </w:r>
          <w:r>
            <w:rPr>
              <w:rFonts w:hint="eastAsia"/>
              <w:b w:val="0"/>
              <w:bCs w:val="0"/>
              <w:highlight w:val="none"/>
              <w:u w:val="none"/>
              <w:shd w:val="clear" w:color="auto" w:fill="auto"/>
              <w:lang w:val="en-US" w:eastAsia="zh-CN"/>
            </w:rPr>
            <w:t>推进气候韧性城市建设</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_Toc1154 \h </w:instrText>
          </w:r>
          <w:r>
            <w:rPr>
              <w:b w:val="0"/>
              <w:bCs w:val="0"/>
              <w:highlight w:val="none"/>
              <w:u w:val="none"/>
            </w:rPr>
            <w:fldChar w:fldCharType="separate"/>
          </w:r>
          <w:r>
            <w:rPr>
              <w:b w:val="0"/>
              <w:bCs w:val="0"/>
              <w:highlight w:val="none"/>
              <w:u w:val="none"/>
            </w:rPr>
            <w:t>49</w:t>
          </w:r>
          <w:r>
            <w:rPr>
              <w:b w:val="0"/>
              <w:bCs w:val="0"/>
              <w:highlight w:val="none"/>
              <w:u w:val="none"/>
            </w:rPr>
            <w:fldChar w:fldCharType="end"/>
          </w:r>
          <w:r>
            <w:rPr>
              <w:b w:val="0"/>
              <w:bCs w:val="0"/>
              <w:color w:val="auto"/>
              <w:highlight w:val="none"/>
              <w:u w:val="none"/>
            </w:rPr>
            <w:fldChar w:fldCharType="end"/>
          </w:r>
        </w:p>
        <w:p w14:paraId="5CDBE548">
          <w:pPr>
            <w:pStyle w:val="13"/>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_Toc32343 </w:instrText>
          </w:r>
          <w:r>
            <w:rPr>
              <w:b w:val="0"/>
              <w:bCs w:val="0"/>
              <w:highlight w:val="none"/>
              <w:u w:val="none"/>
            </w:rPr>
            <w:fldChar w:fldCharType="separate"/>
          </w:r>
          <w:r>
            <w:rPr>
              <w:rFonts w:hint="eastAsia" w:ascii="黑体" w:hAnsi="黑体" w:eastAsia="黑体" w:cs="黑体"/>
              <w:b w:val="0"/>
              <w:bCs w:val="0"/>
              <w:highlight w:val="none"/>
              <w:u w:val="none"/>
              <w:lang w:val="en-US" w:eastAsia="zh-CN"/>
            </w:rPr>
            <w:t>七</w:t>
          </w:r>
          <w:r>
            <w:rPr>
              <w:rFonts w:hint="eastAsia" w:ascii="黑体" w:hAnsi="黑体" w:eastAsia="黑体" w:cs="黑体"/>
              <w:b w:val="0"/>
              <w:bCs w:val="0"/>
              <w:highlight w:val="none"/>
              <w:u w:val="none"/>
            </w:rPr>
            <w:t>、</w:t>
          </w:r>
          <w:r>
            <w:rPr>
              <w:rFonts w:hint="eastAsia" w:ascii="黑体" w:hAnsi="黑体" w:eastAsia="黑体" w:cs="黑体"/>
              <w:b w:val="0"/>
              <w:bCs w:val="0"/>
              <w:highlight w:val="none"/>
              <w:u w:val="none"/>
              <w:lang w:val="en-US" w:eastAsia="zh-CN"/>
            </w:rPr>
            <w:t>打造美丽宜居示范样板</w:t>
          </w:r>
          <w:r>
            <w:rPr>
              <w:b w:val="0"/>
              <w:bCs w:val="0"/>
              <w:highlight w:val="none"/>
              <w:u w:val="none"/>
            </w:rPr>
            <w:tab/>
          </w:r>
          <w:r>
            <w:rPr>
              <w:b w:val="0"/>
              <w:bCs w:val="0"/>
              <w:highlight w:val="none"/>
              <w:u w:val="none"/>
            </w:rPr>
            <w:fldChar w:fldCharType="begin"/>
          </w:r>
          <w:r>
            <w:rPr>
              <w:b w:val="0"/>
              <w:bCs w:val="0"/>
              <w:highlight w:val="none"/>
              <w:u w:val="none"/>
            </w:rPr>
            <w:instrText xml:space="preserve"> PAGEREF _Toc32343 \h </w:instrText>
          </w:r>
          <w:r>
            <w:rPr>
              <w:b w:val="0"/>
              <w:bCs w:val="0"/>
              <w:highlight w:val="none"/>
              <w:u w:val="none"/>
            </w:rPr>
            <w:fldChar w:fldCharType="separate"/>
          </w:r>
          <w:r>
            <w:rPr>
              <w:b w:val="0"/>
              <w:bCs w:val="0"/>
              <w:highlight w:val="none"/>
              <w:u w:val="none"/>
            </w:rPr>
            <w:t>51</w:t>
          </w:r>
          <w:r>
            <w:rPr>
              <w:b w:val="0"/>
              <w:bCs w:val="0"/>
              <w:highlight w:val="none"/>
              <w:u w:val="none"/>
            </w:rPr>
            <w:fldChar w:fldCharType="end"/>
          </w:r>
          <w:r>
            <w:rPr>
              <w:b w:val="0"/>
              <w:bCs w:val="0"/>
              <w:color w:val="auto"/>
              <w:highlight w:val="none"/>
              <w:u w:val="none"/>
            </w:rPr>
            <w:fldChar w:fldCharType="end"/>
          </w:r>
        </w:p>
        <w:p w14:paraId="6C4E055E">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_Toc2013 </w:instrText>
          </w:r>
          <w:r>
            <w:rPr>
              <w:b w:val="0"/>
              <w:bCs w:val="0"/>
              <w:highlight w:val="none"/>
              <w:u w:val="none"/>
            </w:rPr>
            <w:fldChar w:fldCharType="separate"/>
          </w:r>
          <w:r>
            <w:rPr>
              <w:b w:val="0"/>
              <w:bCs w:val="0"/>
              <w:highlight w:val="none"/>
              <w:u w:val="none"/>
            </w:rPr>
            <w:t>（</w:t>
          </w:r>
          <w:r>
            <w:rPr>
              <w:rFonts w:hint="eastAsia"/>
              <w:b w:val="0"/>
              <w:bCs w:val="0"/>
              <w:highlight w:val="none"/>
              <w:u w:val="none"/>
              <w:lang w:val="en-US" w:eastAsia="zh-CN"/>
            </w:rPr>
            <w:t>一</w:t>
          </w:r>
          <w:r>
            <w:rPr>
              <w:b w:val="0"/>
              <w:bCs w:val="0"/>
              <w:highlight w:val="none"/>
              <w:u w:val="none"/>
            </w:rPr>
            <w:t>）</w:t>
          </w:r>
          <w:r>
            <w:rPr>
              <w:rFonts w:hint="eastAsia"/>
              <w:b w:val="0"/>
              <w:bCs w:val="0"/>
              <w:highlight w:val="none"/>
              <w:u w:val="none"/>
              <w:lang w:val="en-US" w:eastAsia="zh-CN"/>
            </w:rPr>
            <w:t>打造国际新城样板</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_Toc2013 \h </w:instrText>
          </w:r>
          <w:r>
            <w:rPr>
              <w:b w:val="0"/>
              <w:bCs w:val="0"/>
              <w:highlight w:val="none"/>
              <w:u w:val="none"/>
            </w:rPr>
            <w:fldChar w:fldCharType="separate"/>
          </w:r>
          <w:r>
            <w:rPr>
              <w:b w:val="0"/>
              <w:bCs w:val="0"/>
              <w:highlight w:val="none"/>
              <w:u w:val="none"/>
            </w:rPr>
            <w:t>51</w:t>
          </w:r>
          <w:r>
            <w:rPr>
              <w:b w:val="0"/>
              <w:bCs w:val="0"/>
              <w:highlight w:val="none"/>
              <w:u w:val="none"/>
            </w:rPr>
            <w:fldChar w:fldCharType="end"/>
          </w:r>
          <w:r>
            <w:rPr>
              <w:b w:val="0"/>
              <w:bCs w:val="0"/>
              <w:color w:val="auto"/>
              <w:highlight w:val="none"/>
              <w:u w:val="none"/>
            </w:rPr>
            <w:fldChar w:fldCharType="end"/>
          </w:r>
        </w:p>
        <w:p w14:paraId="0291C7B3">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_Toc6330 </w:instrText>
          </w:r>
          <w:r>
            <w:rPr>
              <w:b w:val="0"/>
              <w:bCs w:val="0"/>
              <w:highlight w:val="none"/>
              <w:u w:val="none"/>
            </w:rPr>
            <w:fldChar w:fldCharType="separate"/>
          </w:r>
          <w:r>
            <w:rPr>
              <w:b w:val="0"/>
              <w:bCs w:val="0"/>
              <w:highlight w:val="none"/>
              <w:u w:val="none"/>
            </w:rPr>
            <w:t>（</w:t>
          </w:r>
          <w:r>
            <w:rPr>
              <w:rFonts w:hint="eastAsia"/>
              <w:b w:val="0"/>
              <w:bCs w:val="0"/>
              <w:highlight w:val="none"/>
              <w:u w:val="none"/>
              <w:lang w:val="en-US" w:eastAsia="zh-CN"/>
            </w:rPr>
            <w:t>二</w:t>
          </w:r>
          <w:r>
            <w:rPr>
              <w:b w:val="0"/>
              <w:bCs w:val="0"/>
              <w:highlight w:val="none"/>
              <w:u w:val="none"/>
            </w:rPr>
            <w:t>）</w:t>
          </w:r>
          <w:r>
            <w:rPr>
              <w:rFonts w:hint="eastAsia"/>
              <w:b w:val="0"/>
              <w:bCs w:val="0"/>
              <w:highlight w:val="none"/>
              <w:u w:val="none"/>
              <w:lang w:val="en-US" w:eastAsia="zh-CN"/>
            </w:rPr>
            <w:t>推进美丽乡村建设</w:t>
          </w:r>
          <w:r>
            <w:rPr>
              <w:b w:val="0"/>
              <w:bCs w:val="0"/>
              <w:highlight w:val="none"/>
              <w:u w:val="none"/>
            </w:rPr>
            <w:tab/>
          </w:r>
          <w:r>
            <w:rPr>
              <w:b w:val="0"/>
              <w:bCs w:val="0"/>
              <w:highlight w:val="none"/>
              <w:u w:val="none"/>
            </w:rPr>
            <w:fldChar w:fldCharType="begin"/>
          </w:r>
          <w:r>
            <w:rPr>
              <w:b w:val="0"/>
              <w:bCs w:val="0"/>
              <w:highlight w:val="none"/>
              <w:u w:val="none"/>
            </w:rPr>
            <w:instrText xml:space="preserve"> PAGEREF _Toc6330 \h </w:instrText>
          </w:r>
          <w:r>
            <w:rPr>
              <w:b w:val="0"/>
              <w:bCs w:val="0"/>
              <w:highlight w:val="none"/>
              <w:u w:val="none"/>
            </w:rPr>
            <w:fldChar w:fldCharType="separate"/>
          </w:r>
          <w:r>
            <w:rPr>
              <w:b w:val="0"/>
              <w:bCs w:val="0"/>
              <w:highlight w:val="none"/>
              <w:u w:val="none"/>
            </w:rPr>
            <w:t>52</w:t>
          </w:r>
          <w:r>
            <w:rPr>
              <w:b w:val="0"/>
              <w:bCs w:val="0"/>
              <w:highlight w:val="none"/>
              <w:u w:val="none"/>
            </w:rPr>
            <w:fldChar w:fldCharType="end"/>
          </w:r>
          <w:r>
            <w:rPr>
              <w:b w:val="0"/>
              <w:bCs w:val="0"/>
              <w:color w:val="auto"/>
              <w:highlight w:val="none"/>
              <w:u w:val="none"/>
            </w:rPr>
            <w:fldChar w:fldCharType="end"/>
          </w:r>
        </w:p>
        <w:p w14:paraId="5DE84FD9">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_Toc8264 </w:instrText>
          </w:r>
          <w:r>
            <w:rPr>
              <w:b w:val="0"/>
              <w:bCs w:val="0"/>
              <w:highlight w:val="none"/>
              <w:u w:val="none"/>
            </w:rPr>
            <w:fldChar w:fldCharType="separate"/>
          </w:r>
          <w:r>
            <w:rPr>
              <w:b w:val="0"/>
              <w:bCs w:val="0"/>
              <w:highlight w:val="none"/>
              <w:u w:val="none"/>
              <w:shd w:val="clear" w:color="auto" w:fill="auto"/>
            </w:rPr>
            <w:t>（</w:t>
          </w:r>
          <w:r>
            <w:rPr>
              <w:rFonts w:hint="eastAsia"/>
              <w:b w:val="0"/>
              <w:bCs w:val="0"/>
              <w:highlight w:val="none"/>
              <w:u w:val="none"/>
              <w:shd w:val="clear" w:color="auto" w:fill="auto"/>
              <w:lang w:val="en-US" w:eastAsia="zh-CN"/>
            </w:rPr>
            <w:t>三</w:t>
          </w:r>
          <w:r>
            <w:rPr>
              <w:b w:val="0"/>
              <w:bCs w:val="0"/>
              <w:highlight w:val="none"/>
              <w:u w:val="none"/>
              <w:shd w:val="clear" w:color="auto" w:fill="auto"/>
            </w:rPr>
            <w:t>）</w:t>
          </w:r>
          <w:r>
            <w:rPr>
              <w:rFonts w:hint="eastAsia"/>
              <w:b w:val="0"/>
              <w:bCs w:val="0"/>
              <w:highlight w:val="none"/>
              <w:u w:val="none"/>
              <w:shd w:val="clear" w:color="auto" w:fill="auto"/>
              <w:lang w:val="en-US" w:eastAsia="zh-CN"/>
            </w:rPr>
            <w:t>深化京津冀协同发展</w:t>
          </w:r>
          <w:r>
            <w:rPr>
              <w:b w:val="0"/>
              <w:bCs w:val="0"/>
              <w:highlight w:val="none"/>
              <w:u w:val="none"/>
            </w:rPr>
            <w:tab/>
          </w:r>
          <w:r>
            <w:rPr>
              <w:b w:val="0"/>
              <w:bCs w:val="0"/>
              <w:highlight w:val="none"/>
              <w:u w:val="none"/>
            </w:rPr>
            <w:fldChar w:fldCharType="begin"/>
          </w:r>
          <w:r>
            <w:rPr>
              <w:b w:val="0"/>
              <w:bCs w:val="0"/>
              <w:highlight w:val="none"/>
              <w:u w:val="none"/>
            </w:rPr>
            <w:instrText xml:space="preserve"> PAGEREF _Toc8264 \h </w:instrText>
          </w:r>
          <w:r>
            <w:rPr>
              <w:b w:val="0"/>
              <w:bCs w:val="0"/>
              <w:highlight w:val="none"/>
              <w:u w:val="none"/>
            </w:rPr>
            <w:fldChar w:fldCharType="separate"/>
          </w:r>
          <w:r>
            <w:rPr>
              <w:b w:val="0"/>
              <w:bCs w:val="0"/>
              <w:highlight w:val="none"/>
              <w:u w:val="none"/>
            </w:rPr>
            <w:t>53</w:t>
          </w:r>
          <w:r>
            <w:rPr>
              <w:b w:val="0"/>
              <w:bCs w:val="0"/>
              <w:highlight w:val="none"/>
              <w:u w:val="none"/>
            </w:rPr>
            <w:fldChar w:fldCharType="end"/>
          </w:r>
          <w:r>
            <w:rPr>
              <w:b w:val="0"/>
              <w:bCs w:val="0"/>
              <w:color w:val="auto"/>
              <w:highlight w:val="none"/>
              <w:u w:val="none"/>
            </w:rPr>
            <w:fldChar w:fldCharType="end"/>
          </w:r>
        </w:p>
        <w:p w14:paraId="3DD0D6A0">
          <w:pPr>
            <w:pStyle w:val="13"/>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_Toc21468 </w:instrText>
          </w:r>
          <w:r>
            <w:rPr>
              <w:b w:val="0"/>
              <w:bCs w:val="0"/>
              <w:highlight w:val="none"/>
              <w:u w:val="none"/>
            </w:rPr>
            <w:fldChar w:fldCharType="separate"/>
          </w:r>
          <w:r>
            <w:rPr>
              <w:rFonts w:hint="eastAsia" w:ascii="黑体" w:hAnsi="黑体" w:eastAsia="黑体" w:cs="黑体"/>
              <w:b w:val="0"/>
              <w:bCs w:val="0"/>
              <w:highlight w:val="none"/>
              <w:u w:val="none"/>
              <w:lang w:val="en-US" w:eastAsia="zh-CN"/>
            </w:rPr>
            <w:t>八</w:t>
          </w:r>
          <w:r>
            <w:rPr>
              <w:rFonts w:hint="eastAsia" w:ascii="黑体" w:hAnsi="黑体" w:eastAsia="黑体" w:cs="黑体"/>
              <w:b w:val="0"/>
              <w:bCs w:val="0"/>
              <w:highlight w:val="none"/>
              <w:u w:val="none"/>
            </w:rPr>
            <w:t>、</w:t>
          </w:r>
          <w:r>
            <w:rPr>
              <w:rFonts w:hint="eastAsia" w:ascii="黑体" w:hAnsi="黑体" w:eastAsia="黑体" w:cs="黑体"/>
              <w:b w:val="0"/>
              <w:bCs w:val="0"/>
              <w:highlight w:val="none"/>
              <w:u w:val="none"/>
              <w:lang w:val="en-US" w:eastAsia="zh-CN"/>
            </w:rPr>
            <w:t>多元参与</w:t>
          </w:r>
          <w:r>
            <w:rPr>
              <w:rFonts w:hint="eastAsia" w:ascii="黑体" w:hAnsi="黑体" w:eastAsia="黑体" w:cs="黑体"/>
              <w:b w:val="0"/>
              <w:bCs w:val="0"/>
              <w:highlight w:val="none"/>
              <w:u w:val="none"/>
            </w:rPr>
            <w:t>共享</w:t>
          </w:r>
          <w:r>
            <w:rPr>
              <w:rFonts w:hint="eastAsia" w:ascii="黑体" w:hAnsi="黑体" w:eastAsia="黑体" w:cs="黑体"/>
              <w:b w:val="0"/>
              <w:bCs w:val="0"/>
              <w:highlight w:val="none"/>
              <w:u w:val="none"/>
              <w:lang w:val="en-US" w:eastAsia="zh-CN"/>
            </w:rPr>
            <w:t>宜居家园</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_Toc21468 \h </w:instrText>
          </w:r>
          <w:r>
            <w:rPr>
              <w:b w:val="0"/>
              <w:bCs w:val="0"/>
              <w:highlight w:val="none"/>
              <w:u w:val="none"/>
            </w:rPr>
            <w:fldChar w:fldCharType="separate"/>
          </w:r>
          <w:r>
            <w:rPr>
              <w:b w:val="0"/>
              <w:bCs w:val="0"/>
              <w:highlight w:val="none"/>
              <w:u w:val="none"/>
            </w:rPr>
            <w:t>55</w:t>
          </w:r>
          <w:r>
            <w:rPr>
              <w:b w:val="0"/>
              <w:bCs w:val="0"/>
              <w:highlight w:val="none"/>
              <w:u w:val="none"/>
            </w:rPr>
            <w:fldChar w:fldCharType="end"/>
          </w:r>
          <w:r>
            <w:rPr>
              <w:b w:val="0"/>
              <w:bCs w:val="0"/>
              <w:color w:val="auto"/>
              <w:highlight w:val="none"/>
              <w:u w:val="none"/>
            </w:rPr>
            <w:fldChar w:fldCharType="end"/>
          </w:r>
        </w:p>
        <w:p w14:paraId="0DFF06D8">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_Toc12378 </w:instrText>
          </w:r>
          <w:r>
            <w:rPr>
              <w:b w:val="0"/>
              <w:bCs w:val="0"/>
              <w:highlight w:val="none"/>
              <w:u w:val="none"/>
            </w:rPr>
            <w:fldChar w:fldCharType="separate"/>
          </w:r>
          <w:r>
            <w:rPr>
              <w:b w:val="0"/>
              <w:bCs w:val="0"/>
              <w:highlight w:val="none"/>
              <w:u w:val="none"/>
            </w:rPr>
            <w:t>（一）践行</w:t>
          </w:r>
          <w:r>
            <w:rPr>
              <w:rFonts w:hint="eastAsia"/>
              <w:b w:val="0"/>
              <w:bCs w:val="0"/>
              <w:highlight w:val="none"/>
              <w:u w:val="none"/>
              <w:lang w:val="en-US" w:eastAsia="zh-CN"/>
            </w:rPr>
            <w:t>绿色低碳</w:t>
          </w:r>
          <w:r>
            <w:rPr>
              <w:b w:val="0"/>
              <w:bCs w:val="0"/>
              <w:highlight w:val="none"/>
              <w:u w:val="none"/>
            </w:rPr>
            <w:t>生活</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_Toc12378 \h </w:instrText>
          </w:r>
          <w:r>
            <w:rPr>
              <w:b w:val="0"/>
              <w:bCs w:val="0"/>
              <w:highlight w:val="none"/>
              <w:u w:val="none"/>
            </w:rPr>
            <w:fldChar w:fldCharType="separate"/>
          </w:r>
          <w:r>
            <w:rPr>
              <w:b w:val="0"/>
              <w:bCs w:val="0"/>
              <w:highlight w:val="none"/>
              <w:u w:val="none"/>
            </w:rPr>
            <w:t>55</w:t>
          </w:r>
          <w:r>
            <w:rPr>
              <w:b w:val="0"/>
              <w:bCs w:val="0"/>
              <w:highlight w:val="none"/>
              <w:u w:val="none"/>
            </w:rPr>
            <w:fldChar w:fldCharType="end"/>
          </w:r>
          <w:r>
            <w:rPr>
              <w:b w:val="0"/>
              <w:bCs w:val="0"/>
              <w:color w:val="auto"/>
              <w:highlight w:val="none"/>
              <w:u w:val="none"/>
            </w:rPr>
            <w:fldChar w:fldCharType="end"/>
          </w:r>
        </w:p>
        <w:p w14:paraId="39199161">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_Toc29539 </w:instrText>
          </w:r>
          <w:r>
            <w:rPr>
              <w:b w:val="0"/>
              <w:bCs w:val="0"/>
              <w:highlight w:val="none"/>
              <w:u w:val="none"/>
            </w:rPr>
            <w:fldChar w:fldCharType="separate"/>
          </w:r>
          <w:r>
            <w:rPr>
              <w:b w:val="0"/>
              <w:bCs w:val="0"/>
              <w:highlight w:val="none"/>
              <w:u w:val="none"/>
            </w:rPr>
            <w:t>（</w:t>
          </w:r>
          <w:r>
            <w:rPr>
              <w:rFonts w:hint="eastAsia"/>
              <w:b w:val="0"/>
              <w:bCs w:val="0"/>
              <w:highlight w:val="none"/>
              <w:u w:val="none"/>
              <w:lang w:val="en-US" w:eastAsia="zh-CN"/>
            </w:rPr>
            <w:t>二</w:t>
          </w:r>
          <w:r>
            <w:rPr>
              <w:b w:val="0"/>
              <w:bCs w:val="0"/>
              <w:highlight w:val="none"/>
              <w:u w:val="none"/>
            </w:rPr>
            <w:t>）</w:t>
          </w:r>
          <w:r>
            <w:rPr>
              <w:rFonts w:hint="eastAsia"/>
              <w:b w:val="0"/>
              <w:bCs w:val="0"/>
              <w:highlight w:val="none"/>
              <w:u w:val="none"/>
              <w:lang w:val="en-US" w:eastAsia="zh-CN"/>
            </w:rPr>
            <w:t>推动全民共建共享</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_Toc29539 \h </w:instrText>
          </w:r>
          <w:r>
            <w:rPr>
              <w:b w:val="0"/>
              <w:bCs w:val="0"/>
              <w:highlight w:val="none"/>
              <w:u w:val="none"/>
            </w:rPr>
            <w:fldChar w:fldCharType="separate"/>
          </w:r>
          <w:r>
            <w:rPr>
              <w:b w:val="0"/>
              <w:bCs w:val="0"/>
              <w:highlight w:val="none"/>
              <w:u w:val="none"/>
            </w:rPr>
            <w:t>55</w:t>
          </w:r>
          <w:r>
            <w:rPr>
              <w:b w:val="0"/>
              <w:bCs w:val="0"/>
              <w:highlight w:val="none"/>
              <w:u w:val="none"/>
            </w:rPr>
            <w:fldChar w:fldCharType="end"/>
          </w:r>
          <w:r>
            <w:rPr>
              <w:b w:val="0"/>
              <w:bCs w:val="0"/>
              <w:color w:val="auto"/>
              <w:highlight w:val="none"/>
              <w:u w:val="none"/>
            </w:rPr>
            <w:fldChar w:fldCharType="end"/>
          </w:r>
        </w:p>
        <w:p w14:paraId="3494EE74">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_Toc18884 </w:instrText>
          </w:r>
          <w:r>
            <w:rPr>
              <w:b w:val="0"/>
              <w:bCs w:val="0"/>
              <w:highlight w:val="none"/>
              <w:u w:val="none"/>
            </w:rPr>
            <w:fldChar w:fldCharType="separate"/>
          </w:r>
          <w:r>
            <w:rPr>
              <w:b w:val="0"/>
              <w:bCs w:val="0"/>
              <w:highlight w:val="none"/>
              <w:u w:val="none"/>
            </w:rPr>
            <w:t>（</w:t>
          </w:r>
          <w:r>
            <w:rPr>
              <w:rFonts w:hint="eastAsia"/>
              <w:b w:val="0"/>
              <w:bCs w:val="0"/>
              <w:highlight w:val="none"/>
              <w:u w:val="none"/>
              <w:lang w:val="en-US" w:eastAsia="zh-CN"/>
            </w:rPr>
            <w:t>三</w:t>
          </w:r>
          <w:r>
            <w:rPr>
              <w:b w:val="0"/>
              <w:bCs w:val="0"/>
              <w:highlight w:val="none"/>
              <w:u w:val="none"/>
            </w:rPr>
            <w:t>）</w:t>
          </w:r>
          <w:r>
            <w:rPr>
              <w:rFonts w:hint="eastAsia"/>
              <w:b w:val="0"/>
              <w:bCs w:val="0"/>
              <w:highlight w:val="none"/>
              <w:u w:val="none"/>
              <w:lang w:val="en-US" w:eastAsia="zh-CN"/>
            </w:rPr>
            <w:t>丰富宣传教育方式</w:t>
          </w:r>
          <w:r>
            <w:rPr>
              <w:b w:val="0"/>
              <w:bCs w:val="0"/>
              <w:highlight w:val="none"/>
              <w:u w:val="none"/>
            </w:rPr>
            <w:tab/>
          </w:r>
          <w:r>
            <w:rPr>
              <w:b w:val="0"/>
              <w:bCs w:val="0"/>
              <w:highlight w:val="none"/>
              <w:u w:val="none"/>
            </w:rPr>
            <w:fldChar w:fldCharType="begin"/>
          </w:r>
          <w:r>
            <w:rPr>
              <w:b w:val="0"/>
              <w:bCs w:val="0"/>
              <w:highlight w:val="none"/>
              <w:u w:val="none"/>
            </w:rPr>
            <w:instrText xml:space="preserve"> PAGEREF _Toc18884 \h </w:instrText>
          </w:r>
          <w:r>
            <w:rPr>
              <w:b w:val="0"/>
              <w:bCs w:val="0"/>
              <w:highlight w:val="none"/>
              <w:u w:val="none"/>
            </w:rPr>
            <w:fldChar w:fldCharType="separate"/>
          </w:r>
          <w:r>
            <w:rPr>
              <w:b w:val="0"/>
              <w:bCs w:val="0"/>
              <w:highlight w:val="none"/>
              <w:u w:val="none"/>
            </w:rPr>
            <w:t>55</w:t>
          </w:r>
          <w:r>
            <w:rPr>
              <w:b w:val="0"/>
              <w:bCs w:val="0"/>
              <w:highlight w:val="none"/>
              <w:u w:val="none"/>
            </w:rPr>
            <w:fldChar w:fldCharType="end"/>
          </w:r>
          <w:r>
            <w:rPr>
              <w:b w:val="0"/>
              <w:bCs w:val="0"/>
              <w:color w:val="auto"/>
              <w:highlight w:val="none"/>
              <w:u w:val="none"/>
            </w:rPr>
            <w:fldChar w:fldCharType="end"/>
          </w:r>
        </w:p>
        <w:p w14:paraId="17648C18">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_Toc23564 </w:instrText>
          </w:r>
          <w:r>
            <w:rPr>
              <w:b w:val="0"/>
              <w:bCs w:val="0"/>
              <w:highlight w:val="none"/>
              <w:u w:val="none"/>
            </w:rPr>
            <w:fldChar w:fldCharType="separate"/>
          </w:r>
          <w:r>
            <w:rPr>
              <w:b w:val="0"/>
              <w:bCs w:val="0"/>
              <w:highlight w:val="none"/>
              <w:u w:val="none"/>
            </w:rPr>
            <w:t>（</w:t>
          </w:r>
          <w:r>
            <w:rPr>
              <w:rFonts w:hint="eastAsia"/>
              <w:b w:val="0"/>
              <w:bCs w:val="0"/>
              <w:highlight w:val="none"/>
              <w:u w:val="none"/>
              <w:lang w:val="en-US" w:eastAsia="zh-CN"/>
            </w:rPr>
            <w:t>四</w:t>
          </w:r>
          <w:r>
            <w:rPr>
              <w:b w:val="0"/>
              <w:bCs w:val="0"/>
              <w:highlight w:val="none"/>
              <w:u w:val="none"/>
            </w:rPr>
            <w:t>）</w:t>
          </w:r>
          <w:r>
            <w:rPr>
              <w:rFonts w:hint="eastAsia"/>
              <w:b w:val="0"/>
              <w:bCs w:val="0"/>
              <w:highlight w:val="none"/>
              <w:u w:val="none"/>
              <w:lang w:val="en-US" w:eastAsia="zh-CN"/>
            </w:rPr>
            <w:t>培育弘扬生态文化</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_Toc23564 \h </w:instrText>
          </w:r>
          <w:r>
            <w:rPr>
              <w:b w:val="0"/>
              <w:bCs w:val="0"/>
              <w:highlight w:val="none"/>
              <w:u w:val="none"/>
            </w:rPr>
            <w:fldChar w:fldCharType="separate"/>
          </w:r>
          <w:r>
            <w:rPr>
              <w:b w:val="0"/>
              <w:bCs w:val="0"/>
              <w:highlight w:val="none"/>
              <w:u w:val="none"/>
            </w:rPr>
            <w:t>55</w:t>
          </w:r>
          <w:r>
            <w:rPr>
              <w:b w:val="0"/>
              <w:bCs w:val="0"/>
              <w:highlight w:val="none"/>
              <w:u w:val="none"/>
            </w:rPr>
            <w:fldChar w:fldCharType="end"/>
          </w:r>
          <w:r>
            <w:rPr>
              <w:b w:val="0"/>
              <w:bCs w:val="0"/>
              <w:color w:val="auto"/>
              <w:highlight w:val="none"/>
              <w:u w:val="none"/>
            </w:rPr>
            <w:fldChar w:fldCharType="end"/>
          </w:r>
        </w:p>
        <w:p w14:paraId="44477485">
          <w:pPr>
            <w:pStyle w:val="13"/>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_Toc23367 </w:instrText>
          </w:r>
          <w:r>
            <w:rPr>
              <w:b w:val="0"/>
              <w:bCs w:val="0"/>
              <w:highlight w:val="none"/>
              <w:u w:val="none"/>
            </w:rPr>
            <w:fldChar w:fldCharType="separate"/>
          </w:r>
          <w:r>
            <w:rPr>
              <w:rFonts w:hint="eastAsia" w:ascii="黑体" w:hAnsi="黑体" w:eastAsia="黑体" w:cs="黑体"/>
              <w:b w:val="0"/>
              <w:bCs w:val="0"/>
              <w:highlight w:val="none"/>
              <w:u w:val="none"/>
              <w:lang w:val="en-US" w:eastAsia="zh-CN"/>
            </w:rPr>
            <w:t>九</w:t>
          </w:r>
          <w:r>
            <w:rPr>
              <w:rFonts w:hint="eastAsia" w:ascii="黑体" w:hAnsi="黑体" w:eastAsia="黑体" w:cs="黑体"/>
              <w:b w:val="0"/>
              <w:bCs w:val="0"/>
              <w:highlight w:val="none"/>
              <w:u w:val="none"/>
            </w:rPr>
            <w:t>、</w:t>
          </w:r>
          <w:r>
            <w:rPr>
              <w:rFonts w:hint="eastAsia" w:ascii="黑体" w:hAnsi="黑体" w:eastAsia="黑体" w:cs="黑体"/>
              <w:b w:val="0"/>
              <w:bCs w:val="0"/>
              <w:highlight w:val="none"/>
              <w:u w:val="none"/>
              <w:lang w:eastAsia="zh-CN"/>
            </w:rPr>
            <w:t>夯实</w:t>
          </w:r>
          <w:r>
            <w:rPr>
              <w:rFonts w:hint="eastAsia" w:ascii="黑体" w:hAnsi="黑体" w:eastAsia="黑体" w:cs="黑体"/>
              <w:b w:val="0"/>
              <w:bCs w:val="0"/>
              <w:highlight w:val="none"/>
              <w:u w:val="none"/>
              <w:lang w:val="en-US" w:eastAsia="zh-CN"/>
            </w:rPr>
            <w:t>基础保障</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_Toc23367 \h </w:instrText>
          </w:r>
          <w:r>
            <w:rPr>
              <w:b w:val="0"/>
              <w:bCs w:val="0"/>
              <w:highlight w:val="none"/>
              <w:u w:val="none"/>
            </w:rPr>
            <w:fldChar w:fldCharType="separate"/>
          </w:r>
          <w:r>
            <w:rPr>
              <w:b w:val="0"/>
              <w:bCs w:val="0"/>
              <w:highlight w:val="none"/>
              <w:u w:val="none"/>
            </w:rPr>
            <w:t>56</w:t>
          </w:r>
          <w:r>
            <w:rPr>
              <w:b w:val="0"/>
              <w:bCs w:val="0"/>
              <w:highlight w:val="none"/>
              <w:u w:val="none"/>
            </w:rPr>
            <w:fldChar w:fldCharType="end"/>
          </w:r>
          <w:r>
            <w:rPr>
              <w:b w:val="0"/>
              <w:bCs w:val="0"/>
              <w:color w:val="auto"/>
              <w:highlight w:val="none"/>
              <w:u w:val="none"/>
            </w:rPr>
            <w:fldChar w:fldCharType="end"/>
          </w:r>
        </w:p>
        <w:p w14:paraId="6695B899">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_Toc29646 </w:instrText>
          </w:r>
          <w:r>
            <w:rPr>
              <w:b w:val="0"/>
              <w:bCs w:val="0"/>
              <w:highlight w:val="none"/>
              <w:u w:val="none"/>
            </w:rPr>
            <w:fldChar w:fldCharType="separate"/>
          </w:r>
          <w:r>
            <w:rPr>
              <w:rFonts w:ascii="Times New Roman" w:hAnsi="Times New Roman" w:cs="Times New Roman"/>
              <w:b w:val="0"/>
              <w:bCs w:val="0"/>
              <w:highlight w:val="none"/>
              <w:u w:val="none"/>
            </w:rPr>
            <w:t>（一）</w:t>
          </w:r>
          <w:r>
            <w:rPr>
              <w:rFonts w:hint="eastAsia" w:ascii="Times New Roman" w:hAnsi="Times New Roman" w:cs="Times New Roman"/>
              <w:b w:val="0"/>
              <w:bCs w:val="0"/>
              <w:highlight w:val="none"/>
              <w:u w:val="none"/>
              <w:lang w:val="en-US" w:eastAsia="zh-CN"/>
            </w:rPr>
            <w:t>完善机制体制</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_Toc29646 \h </w:instrText>
          </w:r>
          <w:r>
            <w:rPr>
              <w:b w:val="0"/>
              <w:bCs w:val="0"/>
              <w:highlight w:val="none"/>
              <w:u w:val="none"/>
            </w:rPr>
            <w:fldChar w:fldCharType="separate"/>
          </w:r>
          <w:r>
            <w:rPr>
              <w:b w:val="0"/>
              <w:bCs w:val="0"/>
              <w:highlight w:val="none"/>
              <w:u w:val="none"/>
            </w:rPr>
            <w:t>56</w:t>
          </w:r>
          <w:r>
            <w:rPr>
              <w:b w:val="0"/>
              <w:bCs w:val="0"/>
              <w:highlight w:val="none"/>
              <w:u w:val="none"/>
            </w:rPr>
            <w:fldChar w:fldCharType="end"/>
          </w:r>
          <w:r>
            <w:rPr>
              <w:b w:val="0"/>
              <w:bCs w:val="0"/>
              <w:color w:val="auto"/>
              <w:highlight w:val="none"/>
              <w:u w:val="none"/>
            </w:rPr>
            <w:fldChar w:fldCharType="end"/>
          </w:r>
        </w:p>
        <w:p w14:paraId="7E4FFF1F">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_Toc32327 </w:instrText>
          </w:r>
          <w:r>
            <w:rPr>
              <w:b w:val="0"/>
              <w:bCs w:val="0"/>
              <w:highlight w:val="none"/>
              <w:u w:val="none"/>
            </w:rPr>
            <w:fldChar w:fldCharType="separate"/>
          </w:r>
          <w:r>
            <w:rPr>
              <w:rFonts w:ascii="Times New Roman" w:hAnsi="Times New Roman" w:cs="Times New Roman"/>
              <w:b w:val="0"/>
              <w:bCs w:val="0"/>
              <w:highlight w:val="none"/>
              <w:u w:val="none"/>
            </w:rPr>
            <w:t>（</w:t>
          </w:r>
          <w:r>
            <w:rPr>
              <w:rFonts w:hint="eastAsia" w:ascii="Times New Roman" w:hAnsi="Times New Roman" w:cs="Times New Roman"/>
              <w:b w:val="0"/>
              <w:bCs w:val="0"/>
              <w:highlight w:val="none"/>
              <w:u w:val="none"/>
              <w:lang w:val="en-US" w:eastAsia="zh-CN"/>
            </w:rPr>
            <w:t>二</w:t>
          </w:r>
          <w:r>
            <w:rPr>
              <w:rFonts w:ascii="Times New Roman" w:hAnsi="Times New Roman" w:cs="Times New Roman"/>
              <w:b w:val="0"/>
              <w:bCs w:val="0"/>
              <w:highlight w:val="none"/>
              <w:u w:val="none"/>
            </w:rPr>
            <w:t>）</w:t>
          </w:r>
          <w:r>
            <w:rPr>
              <w:rFonts w:hint="eastAsia" w:ascii="Times New Roman" w:hAnsi="Times New Roman" w:cs="Times New Roman"/>
              <w:b w:val="0"/>
              <w:bCs w:val="0"/>
              <w:highlight w:val="none"/>
              <w:u w:val="none"/>
              <w:lang w:val="en-US" w:eastAsia="zh-CN"/>
            </w:rPr>
            <w:t>强化政策激励</w:t>
          </w:r>
          <w:r>
            <w:rPr>
              <w:b w:val="0"/>
              <w:bCs w:val="0"/>
              <w:highlight w:val="none"/>
              <w:u w:val="none"/>
            </w:rPr>
            <w:tab/>
          </w:r>
          <w:r>
            <w:rPr>
              <w:b w:val="0"/>
              <w:bCs w:val="0"/>
              <w:highlight w:val="none"/>
              <w:u w:val="none"/>
            </w:rPr>
            <w:fldChar w:fldCharType="begin"/>
          </w:r>
          <w:r>
            <w:rPr>
              <w:b w:val="0"/>
              <w:bCs w:val="0"/>
              <w:highlight w:val="none"/>
              <w:u w:val="none"/>
            </w:rPr>
            <w:instrText xml:space="preserve"> PAGEREF _Toc32327 \h </w:instrText>
          </w:r>
          <w:r>
            <w:rPr>
              <w:b w:val="0"/>
              <w:bCs w:val="0"/>
              <w:highlight w:val="none"/>
              <w:u w:val="none"/>
            </w:rPr>
            <w:fldChar w:fldCharType="separate"/>
          </w:r>
          <w:r>
            <w:rPr>
              <w:b w:val="0"/>
              <w:bCs w:val="0"/>
              <w:highlight w:val="none"/>
              <w:u w:val="none"/>
            </w:rPr>
            <w:t>56</w:t>
          </w:r>
          <w:r>
            <w:rPr>
              <w:b w:val="0"/>
              <w:bCs w:val="0"/>
              <w:highlight w:val="none"/>
              <w:u w:val="none"/>
            </w:rPr>
            <w:fldChar w:fldCharType="end"/>
          </w:r>
          <w:r>
            <w:rPr>
              <w:b w:val="0"/>
              <w:bCs w:val="0"/>
              <w:color w:val="auto"/>
              <w:highlight w:val="none"/>
              <w:u w:val="none"/>
            </w:rPr>
            <w:fldChar w:fldCharType="end"/>
          </w:r>
        </w:p>
        <w:p w14:paraId="66FD3254">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_Toc24224 </w:instrText>
          </w:r>
          <w:r>
            <w:rPr>
              <w:b w:val="0"/>
              <w:bCs w:val="0"/>
              <w:highlight w:val="none"/>
              <w:u w:val="none"/>
            </w:rPr>
            <w:fldChar w:fldCharType="separate"/>
          </w:r>
          <w:r>
            <w:rPr>
              <w:rFonts w:hint="eastAsia" w:ascii="Times New Roman" w:hAnsi="Times New Roman" w:cs="Times New Roman"/>
              <w:b w:val="0"/>
              <w:bCs w:val="0"/>
              <w:highlight w:val="none"/>
              <w:u w:val="none"/>
              <w:lang w:val="en-US" w:eastAsia="zh-CN"/>
            </w:rPr>
            <w:t>（</w:t>
          </w:r>
          <w:r>
            <w:rPr>
              <w:rFonts w:hint="eastAsia" w:cs="Times New Roman"/>
              <w:b w:val="0"/>
              <w:bCs w:val="0"/>
              <w:highlight w:val="none"/>
              <w:u w:val="none"/>
              <w:lang w:val="en-US" w:eastAsia="zh-CN"/>
            </w:rPr>
            <w:t>三</w:t>
          </w:r>
          <w:r>
            <w:rPr>
              <w:rFonts w:hint="eastAsia" w:ascii="Times New Roman" w:hAnsi="Times New Roman" w:cs="Times New Roman"/>
              <w:b w:val="0"/>
              <w:bCs w:val="0"/>
              <w:highlight w:val="none"/>
              <w:u w:val="none"/>
              <w:lang w:val="en-US" w:eastAsia="zh-CN"/>
            </w:rPr>
            <w:t>）强化科技</w:t>
          </w:r>
          <w:r>
            <w:rPr>
              <w:rFonts w:hint="eastAsia" w:cs="Times New Roman"/>
              <w:b w:val="0"/>
              <w:bCs w:val="0"/>
              <w:highlight w:val="none"/>
              <w:u w:val="none"/>
              <w:lang w:val="en-US" w:eastAsia="zh-CN"/>
            </w:rPr>
            <w:t>支撑</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_Toc24224 \h </w:instrText>
          </w:r>
          <w:r>
            <w:rPr>
              <w:b w:val="0"/>
              <w:bCs w:val="0"/>
              <w:highlight w:val="none"/>
              <w:u w:val="none"/>
            </w:rPr>
            <w:fldChar w:fldCharType="separate"/>
          </w:r>
          <w:r>
            <w:rPr>
              <w:b w:val="0"/>
              <w:bCs w:val="0"/>
              <w:highlight w:val="none"/>
              <w:u w:val="none"/>
            </w:rPr>
            <w:t>57</w:t>
          </w:r>
          <w:r>
            <w:rPr>
              <w:b w:val="0"/>
              <w:bCs w:val="0"/>
              <w:highlight w:val="none"/>
              <w:u w:val="none"/>
            </w:rPr>
            <w:fldChar w:fldCharType="end"/>
          </w:r>
          <w:r>
            <w:rPr>
              <w:b w:val="0"/>
              <w:bCs w:val="0"/>
              <w:color w:val="auto"/>
              <w:highlight w:val="none"/>
              <w:u w:val="none"/>
            </w:rPr>
            <w:fldChar w:fldCharType="end"/>
          </w:r>
        </w:p>
        <w:p w14:paraId="66375C07">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_Toc2679 </w:instrText>
          </w:r>
          <w:r>
            <w:rPr>
              <w:b w:val="0"/>
              <w:bCs w:val="0"/>
              <w:highlight w:val="none"/>
              <w:u w:val="none"/>
            </w:rPr>
            <w:fldChar w:fldCharType="separate"/>
          </w:r>
          <w:r>
            <w:rPr>
              <w:rFonts w:hint="eastAsia" w:ascii="Times New Roman" w:hAnsi="Times New Roman" w:cs="Times New Roman"/>
              <w:b w:val="0"/>
              <w:bCs w:val="0"/>
              <w:highlight w:val="none"/>
              <w:u w:val="none"/>
              <w:lang w:val="en-US" w:eastAsia="zh-CN"/>
            </w:rPr>
            <w:t>（四）深化智慧监管</w:t>
          </w:r>
          <w:r>
            <w:rPr>
              <w:b w:val="0"/>
              <w:bCs w:val="0"/>
              <w:highlight w:val="none"/>
              <w:u w:val="none"/>
            </w:rPr>
            <w:tab/>
          </w:r>
          <w:r>
            <w:rPr>
              <w:b w:val="0"/>
              <w:bCs w:val="0"/>
              <w:highlight w:val="none"/>
              <w:u w:val="none"/>
            </w:rPr>
            <w:fldChar w:fldCharType="begin"/>
          </w:r>
          <w:r>
            <w:rPr>
              <w:b w:val="0"/>
              <w:bCs w:val="0"/>
              <w:highlight w:val="none"/>
              <w:u w:val="none"/>
            </w:rPr>
            <w:instrText xml:space="preserve"> PAGEREF _Toc2679 \h </w:instrText>
          </w:r>
          <w:r>
            <w:rPr>
              <w:b w:val="0"/>
              <w:bCs w:val="0"/>
              <w:highlight w:val="none"/>
              <w:u w:val="none"/>
            </w:rPr>
            <w:fldChar w:fldCharType="separate"/>
          </w:r>
          <w:r>
            <w:rPr>
              <w:b w:val="0"/>
              <w:bCs w:val="0"/>
              <w:highlight w:val="none"/>
              <w:u w:val="none"/>
            </w:rPr>
            <w:t>57</w:t>
          </w:r>
          <w:r>
            <w:rPr>
              <w:b w:val="0"/>
              <w:bCs w:val="0"/>
              <w:highlight w:val="none"/>
              <w:u w:val="none"/>
            </w:rPr>
            <w:fldChar w:fldCharType="end"/>
          </w:r>
          <w:r>
            <w:rPr>
              <w:b w:val="0"/>
              <w:bCs w:val="0"/>
              <w:color w:val="auto"/>
              <w:highlight w:val="none"/>
              <w:u w:val="none"/>
            </w:rPr>
            <w:fldChar w:fldCharType="end"/>
          </w:r>
        </w:p>
        <w:p w14:paraId="49B12E78">
          <w:pPr>
            <w:pStyle w:val="15"/>
            <w:tabs>
              <w:tab w:val="right" w:leader="dot" w:pos="8845"/>
            </w:tabs>
            <w:rPr>
              <w:b w:val="0"/>
              <w:bCs w:val="0"/>
              <w:highlight w:val="none"/>
              <w:u w:val="none"/>
            </w:rPr>
          </w:pPr>
          <w:r>
            <w:rPr>
              <w:b w:val="0"/>
              <w:bCs w:val="0"/>
              <w:color w:val="auto"/>
              <w:highlight w:val="none"/>
              <w:u w:val="none"/>
            </w:rPr>
            <w:fldChar w:fldCharType="begin"/>
          </w:r>
          <w:r>
            <w:rPr>
              <w:b w:val="0"/>
              <w:bCs w:val="0"/>
              <w:highlight w:val="none"/>
              <w:u w:val="none"/>
            </w:rPr>
            <w:instrText xml:space="preserve"> HYPERLINK \l _Toc31680 </w:instrText>
          </w:r>
          <w:r>
            <w:rPr>
              <w:b w:val="0"/>
              <w:bCs w:val="0"/>
              <w:highlight w:val="none"/>
              <w:u w:val="none"/>
            </w:rPr>
            <w:fldChar w:fldCharType="separate"/>
          </w:r>
          <w:r>
            <w:rPr>
              <w:rFonts w:hint="eastAsia" w:cs="Times New Roman"/>
              <w:b w:val="0"/>
              <w:bCs w:val="0"/>
              <w:highlight w:val="none"/>
              <w:u w:val="none"/>
              <w:lang w:eastAsia="zh-CN"/>
            </w:rPr>
            <w:t>（</w:t>
          </w:r>
          <w:r>
            <w:rPr>
              <w:rFonts w:hint="eastAsia" w:cs="Times New Roman"/>
              <w:b w:val="0"/>
              <w:bCs w:val="0"/>
              <w:highlight w:val="none"/>
              <w:u w:val="none"/>
              <w:lang w:val="en-US" w:eastAsia="zh-CN"/>
            </w:rPr>
            <w:t>五</w:t>
          </w:r>
          <w:r>
            <w:rPr>
              <w:rFonts w:hint="eastAsia" w:cs="Times New Roman"/>
              <w:b w:val="0"/>
              <w:bCs w:val="0"/>
              <w:highlight w:val="none"/>
              <w:u w:val="none"/>
              <w:lang w:eastAsia="zh-CN"/>
            </w:rPr>
            <w:t>）</w:t>
          </w:r>
          <w:r>
            <w:rPr>
              <w:rFonts w:hint="eastAsia" w:ascii="Times New Roman" w:hAnsi="Times New Roman" w:cs="Times New Roman"/>
              <w:b w:val="0"/>
              <w:bCs w:val="0"/>
              <w:highlight w:val="none"/>
              <w:u w:val="none"/>
            </w:rPr>
            <w:t>推动多元共治</w:t>
          </w:r>
          <w:r>
            <w:rPr>
              <w:b w:val="0"/>
              <w:bCs w:val="0"/>
              <w:highlight w:val="none"/>
              <w:u w:val="none"/>
            </w:rPr>
            <w:tab/>
          </w:r>
          <w:r>
            <w:rPr>
              <w:b w:val="0"/>
              <w:bCs w:val="0"/>
              <w:highlight w:val="none"/>
              <w:u w:val="none"/>
            </w:rPr>
            <w:fldChar w:fldCharType="begin"/>
          </w:r>
          <w:r>
            <w:rPr>
              <w:b w:val="0"/>
              <w:bCs w:val="0"/>
              <w:highlight w:val="none"/>
              <w:u w:val="none"/>
            </w:rPr>
            <w:instrText xml:space="preserve"> PAGEREF _Toc31680 \h </w:instrText>
          </w:r>
          <w:r>
            <w:rPr>
              <w:b w:val="0"/>
              <w:bCs w:val="0"/>
              <w:highlight w:val="none"/>
              <w:u w:val="none"/>
            </w:rPr>
            <w:fldChar w:fldCharType="separate"/>
          </w:r>
          <w:r>
            <w:rPr>
              <w:b w:val="0"/>
              <w:bCs w:val="0"/>
              <w:highlight w:val="none"/>
              <w:u w:val="none"/>
            </w:rPr>
            <w:t>58</w:t>
          </w:r>
          <w:r>
            <w:rPr>
              <w:b w:val="0"/>
              <w:bCs w:val="0"/>
              <w:highlight w:val="none"/>
              <w:u w:val="none"/>
            </w:rPr>
            <w:fldChar w:fldCharType="end"/>
          </w:r>
          <w:r>
            <w:rPr>
              <w:b w:val="0"/>
              <w:bCs w:val="0"/>
              <w:color w:val="auto"/>
              <w:highlight w:val="none"/>
              <w:u w:val="none"/>
            </w:rPr>
            <w:fldChar w:fldCharType="end"/>
          </w:r>
        </w:p>
        <w:p w14:paraId="00F18A67">
          <w:pPr>
            <w:pStyle w:val="2"/>
            <w:rPr>
              <w:rFonts w:ascii="仿宋_GB2312" w:eastAsia="仿宋_GB2312" w:hAnsiTheme="minorHAnsi" w:cstheme="minorBidi"/>
              <w:b w:val="0"/>
              <w:bCs w:val="0"/>
              <w:color w:val="auto"/>
              <w:kern w:val="2"/>
              <w:sz w:val="32"/>
              <w:szCs w:val="32"/>
              <w:highlight w:val="none"/>
              <w:u w:val="none"/>
              <w:lang w:val="en-US" w:eastAsia="zh-CN" w:bidi="ar-SA"/>
            </w:rPr>
          </w:pPr>
          <w:r>
            <w:rPr>
              <w:b w:val="0"/>
              <w:bCs w:val="0"/>
              <w:color w:val="auto"/>
              <w:highlight w:val="none"/>
              <w:u w:val="none"/>
            </w:rPr>
            <w:fldChar w:fldCharType="end"/>
          </w:r>
        </w:p>
      </w:sdtContent>
    </w:sdt>
    <w:p w14:paraId="35C0CC34">
      <w:pPr>
        <w:rPr>
          <w:b w:val="0"/>
          <w:bCs w:val="0"/>
          <w:color w:val="auto"/>
          <w:highlight w:val="none"/>
          <w:u w:val="none"/>
        </w:rPr>
      </w:pPr>
    </w:p>
    <w:p w14:paraId="4D94DEDA">
      <w:pPr>
        <w:pStyle w:val="3"/>
        <w:rPr>
          <w:rFonts w:hint="eastAsia"/>
          <w:b w:val="0"/>
          <w:bCs w:val="0"/>
          <w:color w:val="auto"/>
          <w:highlight w:val="none"/>
          <w:u w:val="none"/>
        </w:rPr>
        <w:sectPr>
          <w:footerReference r:id="rId12" w:type="first"/>
          <w:footerReference r:id="rId11"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titlePg/>
          <w:rtlGutter w:val="0"/>
          <w:docGrid w:type="lines" w:linePitch="439" w:charSpace="0"/>
        </w:sectPr>
      </w:pPr>
    </w:p>
    <w:p w14:paraId="44B9F0DD">
      <w:pPr>
        <w:pStyle w:val="3"/>
        <w:spacing w:before="441" w:beforeLines="100" w:after="441" w:afterLines="100"/>
        <w:ind w:firstLine="0" w:firstLineChars="0"/>
        <w:jc w:val="center"/>
        <w:rPr>
          <w:b w:val="0"/>
          <w:bCs w:val="0"/>
          <w:highlight w:val="none"/>
          <w:u w:val="none"/>
        </w:rPr>
      </w:pPr>
      <w:bookmarkStart w:id="0" w:name="_Toc19168"/>
      <w:bookmarkStart w:id="1" w:name="_Toc28696"/>
      <w:bookmarkStart w:id="2" w:name="_Toc31811"/>
      <w:bookmarkStart w:id="3" w:name="_Toc9397"/>
      <w:bookmarkStart w:id="4" w:name="_Toc994"/>
      <w:bookmarkStart w:id="5" w:name="_Toc29340"/>
      <w:bookmarkStart w:id="6" w:name="_Toc16861"/>
      <w:bookmarkStart w:id="7" w:name="_Toc8777"/>
      <w:bookmarkStart w:id="8" w:name="_Toc22486"/>
      <w:bookmarkStart w:id="9" w:name="_Toc26467"/>
      <w:r>
        <w:rPr>
          <w:rFonts w:hint="eastAsia" w:ascii="黑体" w:hAnsi="黑体" w:eastAsia="黑体" w:cs="黑体"/>
          <w:b w:val="0"/>
          <w:bCs w:val="0"/>
          <w:color w:val="auto"/>
          <w:highlight w:val="none"/>
          <w:u w:val="none"/>
          <w:lang w:eastAsia="zh-CN"/>
        </w:rPr>
        <w:t>前</w:t>
      </w:r>
      <w:r>
        <w:rPr>
          <w:rFonts w:hint="eastAsia" w:ascii="黑体" w:hAnsi="黑体" w:eastAsia="黑体" w:cs="黑体"/>
          <w:b w:val="0"/>
          <w:bCs w:val="0"/>
          <w:color w:val="auto"/>
          <w:highlight w:val="none"/>
          <w:u w:val="none"/>
          <w:lang w:val="en-US" w:eastAsia="zh-CN"/>
        </w:rPr>
        <w:t xml:space="preserve">  </w:t>
      </w:r>
      <w:r>
        <w:rPr>
          <w:rFonts w:hint="eastAsia" w:ascii="黑体" w:hAnsi="黑体" w:eastAsia="黑体" w:cs="黑体"/>
          <w:b w:val="0"/>
          <w:bCs w:val="0"/>
          <w:color w:val="auto"/>
          <w:highlight w:val="none"/>
          <w:u w:val="none"/>
          <w:lang w:eastAsia="zh-CN"/>
        </w:rPr>
        <w:t>言</w:t>
      </w:r>
      <w:bookmarkEnd w:id="0"/>
      <w:bookmarkEnd w:id="1"/>
      <w:bookmarkEnd w:id="2"/>
      <w:bookmarkEnd w:id="3"/>
      <w:bookmarkEnd w:id="4"/>
      <w:bookmarkEnd w:id="5"/>
    </w:p>
    <w:p w14:paraId="61BF24F2">
      <w:pPr>
        <w:widowControl/>
        <w:ind w:firstLine="640" w:firstLineChars="200"/>
        <w:jc w:val="left"/>
        <w:rPr>
          <w:rFonts w:hint="eastAsia"/>
          <w:b w:val="0"/>
          <w:bCs w:val="0"/>
          <w:highlight w:val="none"/>
          <w:u w:val="none"/>
        </w:rPr>
      </w:pPr>
      <w:r>
        <w:rPr>
          <w:rFonts w:hint="eastAsia"/>
          <w:b w:val="0"/>
          <w:bCs w:val="0"/>
          <w:highlight w:val="none"/>
          <w:u w:val="none"/>
        </w:rPr>
        <w:t>“十五五”时期</w:t>
      </w:r>
      <w:r>
        <w:rPr>
          <w:rFonts w:hint="eastAsia" w:ascii="仿宋_GB2312" w:hAnsi="仿宋_GB2312" w:eastAsia="仿宋_GB2312" w:cs="仿宋_GB2312"/>
          <w:b w:val="0"/>
          <w:bCs w:val="0"/>
          <w:i w:val="0"/>
          <w:iCs w:val="0"/>
          <w:caps w:val="0"/>
          <w:color w:val="auto"/>
          <w:spacing w:val="0"/>
          <w:kern w:val="2"/>
          <w:sz w:val="32"/>
          <w:szCs w:val="32"/>
          <w:highlight w:val="none"/>
          <w:u w:val="none"/>
          <w:shd w:val="clear" w:fill="auto"/>
          <w:lang w:val="en-US" w:eastAsia="zh-CN" w:bidi="ar"/>
        </w:rPr>
        <w:t>是美丽北京建设承上启下、实现生态环境根本好转的关键时期</w:t>
      </w:r>
      <w:r>
        <w:rPr>
          <w:rFonts w:hint="eastAsia"/>
          <w:b w:val="0"/>
          <w:bCs w:val="0"/>
          <w:highlight w:val="none"/>
          <w:u w:val="none"/>
        </w:rPr>
        <w:t>。科学谋划“十五五”时期美丽顺义建设思路，对顺义区落实首都城市战略定位、推动生态环境质量从持续改善向系统性跃升、建设港产城融合的首都现代化平原新城具有重要意义。</w:t>
      </w:r>
    </w:p>
    <w:p w14:paraId="331D9B79">
      <w:pPr>
        <w:rPr>
          <w:rFonts w:hint="eastAsia"/>
          <w:b w:val="0"/>
          <w:bCs w:val="0"/>
          <w:highlight w:val="none"/>
          <w:u w:val="none"/>
        </w:rPr>
      </w:pPr>
      <w:r>
        <w:rPr>
          <w:rFonts w:hint="eastAsia"/>
          <w:b w:val="0"/>
          <w:bCs w:val="0"/>
          <w:highlight w:val="none"/>
          <w:u w:val="none"/>
        </w:rPr>
        <w:t>《“十五五”时期美丽顺义建设规划》（以下简称“规划”）在全面总结“十四五”时期生态环境保护工作成果的基础上，深入贯彻党的二十大和二十届历次全会精神，全面落实中共中央、国务院和北京市委、市政府关于全面推进美丽中国、美丽北京建设的决策部署</w:t>
      </w:r>
      <w:r>
        <w:rPr>
          <w:rFonts w:hint="eastAsia"/>
          <w:b w:val="0"/>
          <w:bCs w:val="0"/>
          <w:highlight w:val="none"/>
          <w:u w:val="none"/>
          <w:lang w:eastAsia="zh-CN"/>
        </w:rPr>
        <w:t>。本规划</w:t>
      </w:r>
      <w:r>
        <w:rPr>
          <w:rFonts w:hint="eastAsia"/>
          <w:b w:val="0"/>
          <w:bCs w:val="0"/>
          <w:highlight w:val="none"/>
          <w:u w:val="none"/>
        </w:rPr>
        <w:t>紧扣“降碳、减污、扩绿、增长”主线，以推动绿色发展、改善环境质量、增进民生福祉</w:t>
      </w:r>
      <w:r>
        <w:rPr>
          <w:rFonts w:hint="eastAsia"/>
          <w:b w:val="0"/>
          <w:bCs w:val="0"/>
          <w:highlight w:val="none"/>
          <w:u w:val="none"/>
          <w:lang w:eastAsia="zh-CN"/>
        </w:rPr>
        <w:t>为</w:t>
      </w:r>
      <w:r>
        <w:rPr>
          <w:rFonts w:hint="eastAsia"/>
          <w:b w:val="0"/>
          <w:bCs w:val="0"/>
          <w:highlight w:val="none"/>
          <w:u w:val="none"/>
        </w:rPr>
        <w:t>根本出发点和立足点，</w:t>
      </w:r>
      <w:r>
        <w:rPr>
          <w:rFonts w:hint="eastAsia"/>
          <w:b w:val="0"/>
          <w:bCs w:val="0"/>
          <w:highlight w:val="none"/>
          <w:u w:val="none"/>
          <w:lang w:val="en-US" w:eastAsia="zh-CN"/>
        </w:rPr>
        <w:t>致力于</w:t>
      </w:r>
      <w:r>
        <w:rPr>
          <w:rFonts w:hint="eastAsia"/>
          <w:b w:val="0"/>
          <w:bCs w:val="0"/>
          <w:highlight w:val="none"/>
          <w:u w:val="none"/>
        </w:rPr>
        <w:t>实现“低碳、天蓝、水清、土净、地绿</w:t>
      </w:r>
      <w:r>
        <w:rPr>
          <w:rFonts w:hint="eastAsia"/>
          <w:b w:val="0"/>
          <w:bCs w:val="0"/>
          <w:highlight w:val="none"/>
          <w:u w:val="none"/>
          <w:lang w:eastAsia="zh-CN"/>
        </w:rPr>
        <w:t>、</w:t>
      </w:r>
      <w:r>
        <w:rPr>
          <w:rFonts w:hint="eastAsia"/>
          <w:b w:val="0"/>
          <w:bCs w:val="0"/>
          <w:highlight w:val="none"/>
          <w:u w:val="none"/>
          <w:lang w:val="en-US" w:eastAsia="zh-CN"/>
        </w:rPr>
        <w:t>安宁</w:t>
      </w:r>
      <w:r>
        <w:rPr>
          <w:rFonts w:hint="eastAsia"/>
          <w:b w:val="0"/>
          <w:bCs w:val="0"/>
          <w:highlight w:val="none"/>
          <w:u w:val="none"/>
        </w:rPr>
        <w:t>”的美丽顺义</w:t>
      </w:r>
      <w:r>
        <w:rPr>
          <w:rFonts w:hint="eastAsia"/>
          <w:b w:val="0"/>
          <w:bCs w:val="0"/>
          <w:highlight w:val="none"/>
          <w:u w:val="none"/>
          <w:lang w:val="en-US" w:eastAsia="zh-CN"/>
        </w:rPr>
        <w:t>愿景</w:t>
      </w:r>
      <w:r>
        <w:rPr>
          <w:rFonts w:hint="eastAsia"/>
          <w:b w:val="0"/>
          <w:bCs w:val="0"/>
          <w:highlight w:val="none"/>
          <w:u w:val="none"/>
        </w:rPr>
        <w:t>，推动生态环境保护从“污染防治”向“美丽建设”全面</w:t>
      </w:r>
      <w:r>
        <w:rPr>
          <w:rFonts w:hint="eastAsia"/>
          <w:b w:val="0"/>
          <w:bCs w:val="0"/>
          <w:highlight w:val="none"/>
          <w:u w:val="none"/>
          <w:lang w:val="en-US" w:eastAsia="zh-CN"/>
        </w:rPr>
        <w:t>迈进</w:t>
      </w:r>
      <w:r>
        <w:rPr>
          <w:rFonts w:hint="eastAsia"/>
          <w:b w:val="0"/>
          <w:bCs w:val="0"/>
          <w:highlight w:val="none"/>
          <w:u w:val="none"/>
        </w:rPr>
        <w:t>，是</w:t>
      </w:r>
      <w:r>
        <w:rPr>
          <w:rFonts w:hint="eastAsia"/>
          <w:b w:val="0"/>
          <w:bCs w:val="0"/>
          <w:highlight w:val="none"/>
          <w:u w:val="none"/>
          <w:lang w:eastAsia="zh-CN"/>
        </w:rPr>
        <w:t>“</w:t>
      </w:r>
      <w:r>
        <w:rPr>
          <w:rFonts w:hint="eastAsia"/>
          <w:b w:val="0"/>
          <w:bCs w:val="0"/>
          <w:highlight w:val="none"/>
          <w:u w:val="none"/>
          <w:lang w:val="en-US" w:eastAsia="zh-CN"/>
        </w:rPr>
        <w:t>十五五</w:t>
      </w:r>
      <w:r>
        <w:rPr>
          <w:rFonts w:hint="eastAsia"/>
          <w:b w:val="0"/>
          <w:bCs w:val="0"/>
          <w:highlight w:val="none"/>
          <w:u w:val="none"/>
          <w:lang w:eastAsia="zh-CN"/>
        </w:rPr>
        <w:t>”</w:t>
      </w:r>
      <w:r>
        <w:rPr>
          <w:rFonts w:hint="eastAsia"/>
          <w:b w:val="0"/>
          <w:bCs w:val="0"/>
          <w:highlight w:val="none"/>
          <w:u w:val="none"/>
          <w:lang w:val="en-US" w:eastAsia="zh-CN"/>
        </w:rPr>
        <w:t>时期</w:t>
      </w:r>
      <w:r>
        <w:rPr>
          <w:rFonts w:hint="eastAsia"/>
          <w:b w:val="0"/>
          <w:bCs w:val="0"/>
          <w:highlight w:val="none"/>
          <w:u w:val="none"/>
        </w:rPr>
        <w:t>美丽顺义建设的行动纲领。</w:t>
      </w:r>
    </w:p>
    <w:p w14:paraId="2DAF8865">
      <w:pPr>
        <w:rPr>
          <w:b w:val="0"/>
          <w:bCs w:val="0"/>
          <w:highlight w:val="none"/>
          <w:u w:val="none"/>
        </w:rPr>
      </w:pPr>
      <w:r>
        <w:rPr>
          <w:rFonts w:hint="eastAsia"/>
          <w:b w:val="0"/>
          <w:bCs w:val="0"/>
          <w:highlight w:val="none"/>
          <w:u w:val="none"/>
        </w:rPr>
        <w:t>本规划基准年为2025年，规划期为2026年至2030年。</w:t>
      </w:r>
    </w:p>
    <w:p w14:paraId="08396CC4">
      <w:pPr>
        <w:pStyle w:val="2"/>
        <w:rPr>
          <w:rFonts w:hint="eastAsia"/>
          <w:b w:val="0"/>
          <w:bCs w:val="0"/>
          <w:highlight w:val="none"/>
          <w:u w:val="none"/>
          <w:lang w:eastAsia="zh-CN"/>
        </w:rPr>
        <w:sectPr>
          <w:footerReference r:id="rId1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titlePg/>
          <w:rtlGutter w:val="0"/>
          <w:docGrid w:type="lines" w:linePitch="439" w:charSpace="0"/>
        </w:sectPr>
      </w:pPr>
    </w:p>
    <w:p w14:paraId="423ABB42">
      <w:pPr>
        <w:pStyle w:val="3"/>
        <w:rPr>
          <w:rFonts w:hint="eastAsia" w:ascii="黑体" w:hAnsi="黑体" w:eastAsia="黑体" w:cs="黑体"/>
          <w:b w:val="0"/>
          <w:bCs w:val="0"/>
          <w:color w:val="auto"/>
          <w:highlight w:val="none"/>
          <w:u w:val="none"/>
        </w:rPr>
      </w:pPr>
      <w:bookmarkStart w:id="10" w:name="_Toc13646"/>
      <w:bookmarkStart w:id="11" w:name="_Toc15188"/>
      <w:bookmarkStart w:id="12" w:name="_Toc6682"/>
      <w:bookmarkStart w:id="13" w:name="_Toc17627"/>
      <w:bookmarkStart w:id="14" w:name="_Toc30617"/>
      <w:bookmarkStart w:id="15" w:name="_Toc16625"/>
      <w:r>
        <w:rPr>
          <w:rFonts w:hint="eastAsia" w:ascii="黑体" w:hAnsi="黑体" w:eastAsia="黑体" w:cs="黑体"/>
          <w:b w:val="0"/>
          <w:bCs w:val="0"/>
          <w:color w:val="auto"/>
          <w:highlight w:val="none"/>
          <w:u w:val="none"/>
        </w:rPr>
        <w:t>一、生态</w:t>
      </w:r>
      <w:r>
        <w:rPr>
          <w:rFonts w:hint="eastAsia" w:ascii="黑体" w:hAnsi="黑体" w:eastAsia="黑体" w:cs="黑体"/>
          <w:b w:val="0"/>
          <w:bCs w:val="0"/>
          <w:color w:val="auto"/>
          <w:highlight w:val="none"/>
          <w:u w:val="none"/>
          <w:lang w:val="en-US" w:eastAsia="zh-CN"/>
        </w:rPr>
        <w:t>环境</w:t>
      </w:r>
      <w:r>
        <w:rPr>
          <w:rFonts w:hint="eastAsia" w:ascii="黑体" w:hAnsi="黑体" w:eastAsia="黑体" w:cs="黑体"/>
          <w:b w:val="0"/>
          <w:bCs w:val="0"/>
          <w:color w:val="auto"/>
          <w:highlight w:val="none"/>
          <w:u w:val="none"/>
        </w:rPr>
        <w:t>保护形势</w:t>
      </w:r>
      <w:bookmarkEnd w:id="6"/>
      <w:bookmarkEnd w:id="7"/>
      <w:bookmarkEnd w:id="8"/>
      <w:bookmarkEnd w:id="9"/>
      <w:bookmarkEnd w:id="10"/>
      <w:bookmarkEnd w:id="11"/>
      <w:bookmarkEnd w:id="12"/>
      <w:bookmarkEnd w:id="13"/>
      <w:bookmarkEnd w:id="14"/>
      <w:bookmarkEnd w:id="15"/>
    </w:p>
    <w:p w14:paraId="5CA6DDF0">
      <w:pPr>
        <w:pStyle w:val="4"/>
        <w:rPr>
          <w:rFonts w:hint="eastAsia"/>
          <w:b w:val="0"/>
          <w:bCs w:val="0"/>
          <w:u w:val="none"/>
        </w:rPr>
      </w:pPr>
      <w:bookmarkStart w:id="16" w:name="_Toc14867"/>
      <w:bookmarkStart w:id="17" w:name="_Toc14871"/>
      <w:bookmarkStart w:id="18" w:name="_Toc13003"/>
      <w:bookmarkStart w:id="19" w:name="_Toc22196"/>
      <w:bookmarkStart w:id="20" w:name="_Toc18038"/>
      <w:bookmarkStart w:id="21" w:name="_Toc11116"/>
      <w:bookmarkStart w:id="22" w:name="_Toc31820"/>
      <w:bookmarkStart w:id="23" w:name="_Toc10839"/>
      <w:bookmarkStart w:id="24" w:name="_Toc32707"/>
      <w:bookmarkStart w:id="25" w:name="_Toc5102"/>
      <w:r>
        <w:rPr>
          <w:rFonts w:hint="eastAsia"/>
          <w:b w:val="0"/>
          <w:bCs w:val="0"/>
          <w:u w:val="none"/>
        </w:rPr>
        <w:t>（一）“十四五”</w:t>
      </w:r>
      <w:r>
        <w:rPr>
          <w:rFonts w:hint="eastAsia"/>
          <w:b w:val="0"/>
          <w:bCs w:val="0"/>
          <w:u w:val="none"/>
          <w:lang w:eastAsia="zh-CN"/>
        </w:rPr>
        <w:t>时期</w:t>
      </w:r>
      <w:r>
        <w:rPr>
          <w:rFonts w:hint="eastAsia"/>
          <w:b w:val="0"/>
          <w:bCs w:val="0"/>
          <w:u w:val="none"/>
          <w:lang w:val="en-US" w:eastAsia="zh-CN"/>
        </w:rPr>
        <w:t>生态环境保护</w:t>
      </w:r>
      <w:r>
        <w:rPr>
          <w:rFonts w:hint="eastAsia"/>
          <w:b w:val="0"/>
          <w:bCs w:val="0"/>
          <w:u w:val="none"/>
        </w:rPr>
        <w:t>工作成效</w:t>
      </w:r>
      <w:bookmarkEnd w:id="16"/>
      <w:bookmarkEnd w:id="17"/>
      <w:bookmarkEnd w:id="18"/>
      <w:bookmarkEnd w:id="19"/>
      <w:bookmarkEnd w:id="20"/>
      <w:bookmarkEnd w:id="21"/>
      <w:bookmarkEnd w:id="22"/>
      <w:bookmarkEnd w:id="23"/>
      <w:bookmarkEnd w:id="24"/>
      <w:bookmarkEnd w:id="25"/>
    </w:p>
    <w:p w14:paraId="13834278">
      <w:pPr>
        <w:ind w:firstLine="640"/>
        <w:rPr>
          <w:rFonts w:ascii="Times New Roman" w:hAnsi="Times New Roman" w:cs="Times New Roman"/>
          <w:b w:val="0"/>
          <w:bCs w:val="0"/>
          <w:color w:val="auto"/>
          <w:highlight w:val="none"/>
          <w:u w:val="none"/>
        </w:rPr>
      </w:pPr>
      <w:r>
        <w:rPr>
          <w:rFonts w:hint="eastAsia" w:ascii="仿宋_GB2312" w:hAnsi="仿宋_GB2312" w:eastAsia="仿宋_GB2312" w:cs="仿宋_GB2312"/>
          <w:b w:val="0"/>
          <w:bCs w:val="0"/>
          <w:color w:val="auto"/>
          <w:highlight w:val="none"/>
          <w:u w:val="none"/>
        </w:rPr>
        <w:t>“十四五”</w:t>
      </w:r>
      <w:r>
        <w:rPr>
          <w:rFonts w:hint="eastAsia" w:ascii="仿宋_GB2312" w:hAnsi="仿宋_GB2312" w:eastAsia="仿宋_GB2312" w:cs="仿宋_GB2312"/>
          <w:b w:val="0"/>
          <w:bCs w:val="0"/>
          <w:color w:val="auto"/>
          <w:highlight w:val="none"/>
          <w:u w:val="none"/>
          <w:lang w:eastAsia="zh-CN"/>
        </w:rPr>
        <w:t>时期</w:t>
      </w:r>
      <w:r>
        <w:rPr>
          <w:rFonts w:hint="eastAsia" w:ascii="仿宋_GB2312" w:hAnsi="仿宋_GB2312" w:eastAsia="仿宋_GB2312" w:cs="仿宋_GB2312"/>
          <w:b w:val="0"/>
          <w:bCs w:val="0"/>
          <w:color w:val="auto"/>
          <w:highlight w:val="none"/>
          <w:u w:val="none"/>
        </w:rPr>
        <w:t>，顺义区</w:t>
      </w:r>
      <w:r>
        <w:rPr>
          <w:rFonts w:hint="eastAsia" w:ascii="仿宋_GB2312" w:hAnsi="仿宋_GB2312" w:eastAsia="仿宋_GB2312" w:cs="仿宋_GB2312"/>
          <w:b w:val="0"/>
          <w:bCs w:val="0"/>
          <w:color w:val="auto"/>
          <w:sz w:val="32"/>
          <w:szCs w:val="32"/>
          <w:highlight w:val="none"/>
          <w:u w:val="none"/>
          <w:lang w:eastAsia="zh-CN"/>
        </w:rPr>
        <w:t>坚持以</w:t>
      </w:r>
      <w:r>
        <w:rPr>
          <w:rFonts w:hint="eastAsia" w:ascii="仿宋_GB2312" w:hAnsi="仿宋_GB2312" w:eastAsia="仿宋_GB2312" w:cs="仿宋_GB2312"/>
          <w:b w:val="0"/>
          <w:bCs w:val="0"/>
          <w:color w:val="auto"/>
          <w:kern w:val="2"/>
          <w:sz w:val="32"/>
          <w:szCs w:val="32"/>
          <w:highlight w:val="none"/>
          <w:u w:val="none"/>
          <w:lang w:val="en-US" w:eastAsia="zh-CN" w:bidi="ar-SA"/>
        </w:rPr>
        <w:t>习近平新时代中国特色社会主义思想特别是习近平生态文明思想为指导</w:t>
      </w:r>
      <w:r>
        <w:rPr>
          <w:rFonts w:hint="eastAsia" w:hAnsi="仿宋_GB2312" w:cs="仿宋_GB2312"/>
          <w:b w:val="0"/>
          <w:bCs w:val="0"/>
          <w:color w:val="auto"/>
          <w:kern w:val="2"/>
          <w:sz w:val="32"/>
          <w:szCs w:val="32"/>
          <w:highlight w:val="none"/>
          <w:u w:val="none"/>
          <w:lang w:val="en-US" w:eastAsia="zh-CN" w:bidi="ar-SA"/>
        </w:rPr>
        <w:t>，</w:t>
      </w:r>
      <w:r>
        <w:rPr>
          <w:rFonts w:hint="eastAsia" w:ascii="Times New Roman" w:hAnsi="Times New Roman" w:cs="Times New Roman"/>
          <w:b w:val="0"/>
          <w:bCs w:val="0"/>
          <w:color w:val="auto"/>
          <w:highlight w:val="none"/>
          <w:u w:val="none"/>
          <w:lang w:eastAsia="zh-CN"/>
        </w:rPr>
        <w:t>深入</w:t>
      </w:r>
      <w:r>
        <w:rPr>
          <w:rFonts w:ascii="Times New Roman" w:hAnsi="Times New Roman" w:cs="Times New Roman"/>
          <w:b w:val="0"/>
          <w:bCs w:val="0"/>
          <w:color w:val="auto"/>
          <w:highlight w:val="none"/>
          <w:u w:val="none"/>
        </w:rPr>
        <w:t>贯彻党的二十大和二十届</w:t>
      </w:r>
      <w:r>
        <w:rPr>
          <w:rFonts w:hint="eastAsia" w:ascii="Times New Roman" w:hAnsi="Times New Roman" w:cs="Times New Roman"/>
          <w:b w:val="0"/>
          <w:bCs w:val="0"/>
          <w:color w:val="auto"/>
          <w:highlight w:val="none"/>
          <w:u w:val="none"/>
          <w:lang w:eastAsia="zh-CN"/>
        </w:rPr>
        <w:t>历次</w:t>
      </w:r>
      <w:r>
        <w:rPr>
          <w:rFonts w:ascii="Times New Roman" w:hAnsi="Times New Roman" w:cs="Times New Roman"/>
          <w:b w:val="0"/>
          <w:bCs w:val="0"/>
          <w:color w:val="auto"/>
          <w:highlight w:val="none"/>
          <w:u w:val="none"/>
        </w:rPr>
        <w:t>全会精神，</w:t>
      </w:r>
      <w:r>
        <w:rPr>
          <w:rFonts w:hint="eastAsia" w:ascii="Times New Roman" w:hAnsi="Times New Roman" w:cs="Times New Roman"/>
          <w:b w:val="0"/>
          <w:bCs w:val="0"/>
          <w:color w:val="auto"/>
          <w:highlight w:val="none"/>
          <w:u w:val="none"/>
        </w:rPr>
        <w:t>以推动绿色低碳发展、促进人与自然和谐共生为</w:t>
      </w:r>
      <w:r>
        <w:rPr>
          <w:rFonts w:hint="eastAsia" w:ascii="Times New Roman" w:hAnsi="Times New Roman" w:cs="Times New Roman"/>
          <w:b w:val="0"/>
          <w:bCs w:val="0"/>
          <w:color w:val="auto"/>
          <w:highlight w:val="none"/>
          <w:u w:val="none"/>
          <w:lang w:eastAsia="zh-CN"/>
        </w:rPr>
        <w:t>目标</w:t>
      </w:r>
      <w:r>
        <w:rPr>
          <w:rFonts w:hint="eastAsia" w:ascii="Times New Roman" w:hAnsi="Times New Roman" w:cs="Times New Roman"/>
          <w:b w:val="0"/>
          <w:bCs w:val="0"/>
          <w:color w:val="auto"/>
          <w:highlight w:val="none"/>
          <w:u w:val="none"/>
        </w:rPr>
        <w:t>，深入打好污染防治攻坚战，生态文明建设和生态环境治理取得显著成效。</w:t>
      </w:r>
    </w:p>
    <w:p w14:paraId="0CA4EDC5">
      <w:pPr>
        <w:pStyle w:val="5"/>
        <w:rPr>
          <w:rFonts w:hint="eastAsia" w:eastAsia="仿宋_GB2312"/>
          <w:b w:val="0"/>
          <w:bCs w:val="0"/>
          <w:color w:val="auto"/>
          <w:u w:val="none"/>
          <w:lang w:eastAsia="zh-CN"/>
        </w:rPr>
      </w:pPr>
      <w:r>
        <w:rPr>
          <w:rFonts w:hint="eastAsia"/>
          <w:b w:val="0"/>
          <w:bCs w:val="0"/>
          <w:color w:val="auto"/>
          <w:u w:val="none"/>
          <w:lang w:val="en-US" w:eastAsia="zh-CN"/>
        </w:rPr>
        <w:t>1.生态文明</w:t>
      </w:r>
      <w:r>
        <w:rPr>
          <w:b w:val="0"/>
          <w:bCs w:val="0"/>
          <w:color w:val="auto"/>
          <w:u w:val="none"/>
        </w:rPr>
        <w:t>体制机制</w:t>
      </w:r>
      <w:r>
        <w:rPr>
          <w:rFonts w:hint="eastAsia"/>
          <w:b w:val="0"/>
          <w:bCs w:val="0"/>
          <w:color w:val="auto"/>
          <w:u w:val="none"/>
          <w:lang w:val="en-US" w:eastAsia="zh-CN"/>
        </w:rPr>
        <w:t>不断优化</w:t>
      </w:r>
    </w:p>
    <w:p w14:paraId="69A6F40C">
      <w:pPr>
        <w:rPr>
          <w:rFonts w:hint="eastAsia"/>
          <w:b w:val="0"/>
          <w:bCs w:val="0"/>
          <w:highlight w:val="none"/>
          <w:u w:val="none"/>
          <w:lang w:val="en-US" w:eastAsia="zh-CN"/>
        </w:rPr>
      </w:pPr>
      <w:r>
        <w:rPr>
          <w:rFonts w:hint="eastAsia"/>
          <w:b w:val="0"/>
          <w:bCs w:val="0"/>
          <w:highlight w:val="none"/>
          <w:u w:val="none"/>
          <w:lang w:val="en-US" w:eastAsia="zh-CN"/>
        </w:rPr>
        <w:t>坚持高位推动，</w:t>
      </w:r>
      <w:r>
        <w:rPr>
          <w:rFonts w:hint="eastAsia" w:ascii="仿宋_GB2312" w:hAnsi="仿宋_GB2312" w:eastAsia="仿宋_GB2312" w:cs="仿宋_GB2312"/>
          <w:b w:val="0"/>
          <w:bCs w:val="0"/>
          <w:color w:val="auto"/>
          <w:kern w:val="2"/>
          <w:sz w:val="32"/>
          <w:szCs w:val="32"/>
          <w:highlight w:val="none"/>
          <w:lang w:val="en-US" w:eastAsia="zh-CN" w:bidi="ar-SA"/>
        </w:rPr>
        <w:t>通过区党（工）委书记会议、区政府常务会议、区生态文明建设联席会议等加强统筹调度，凝聚共治合力。</w:t>
      </w:r>
      <w:r>
        <w:rPr>
          <w:rFonts w:hint="eastAsia"/>
          <w:b w:val="0"/>
          <w:bCs w:val="0"/>
          <w:highlight w:val="none"/>
          <w:u w:val="none"/>
          <w:lang w:val="en-US" w:eastAsia="zh-CN"/>
        </w:rPr>
        <w:t>强化生态环境保护督察整改闭环管理，严要求、高质量推进中央及市级督察反馈问题整改。强化跨区域联防联治，构建“1+5+N”京津冀生态协同推进体系。</w:t>
      </w:r>
      <w:r>
        <w:rPr>
          <w:rFonts w:hint="eastAsia"/>
          <w:b w:val="0"/>
          <w:bCs w:val="0"/>
          <w:highlight w:val="none"/>
          <w:u w:val="none"/>
        </w:rPr>
        <w:t>严格落实生态环境分区管控制度，编制完成顺义区</w:t>
      </w:r>
      <w:r>
        <w:rPr>
          <w:rFonts w:hint="eastAsia"/>
          <w:b w:val="0"/>
          <w:bCs w:val="0"/>
          <w:highlight w:val="none"/>
          <w:u w:val="none"/>
          <w:lang w:val="en-US" w:eastAsia="zh-CN"/>
        </w:rPr>
        <w:t>分区管控</w:t>
      </w:r>
      <w:r>
        <w:rPr>
          <w:rFonts w:hint="eastAsia"/>
          <w:b w:val="0"/>
          <w:bCs w:val="0"/>
          <w:highlight w:val="none"/>
          <w:u w:val="none"/>
        </w:rPr>
        <w:t>细化方案</w:t>
      </w:r>
      <w:r>
        <w:rPr>
          <w:rFonts w:hint="eastAsia"/>
          <w:b w:val="0"/>
          <w:bCs w:val="0"/>
          <w:highlight w:val="none"/>
          <w:u w:val="none"/>
          <w:lang w:eastAsia="zh-CN"/>
        </w:rPr>
        <w:t>。</w:t>
      </w:r>
      <w:r>
        <w:rPr>
          <w:rFonts w:hint="eastAsia"/>
          <w:b w:val="0"/>
          <w:bCs w:val="0"/>
          <w:highlight w:val="none"/>
          <w:u w:val="none"/>
          <w:lang w:val="en-US" w:eastAsia="zh-CN"/>
        </w:rPr>
        <w:t>推动生态环境损害赔偿与检察公益诉讼有效衔接，生态损害赔偿案件办理量全市第一。</w:t>
      </w:r>
    </w:p>
    <w:p w14:paraId="2F3B813B">
      <w:pPr>
        <w:pStyle w:val="5"/>
        <w:rPr>
          <w:rFonts w:hint="default" w:eastAsia="仿宋_GB2312"/>
          <w:b w:val="0"/>
          <w:bCs w:val="0"/>
          <w:color w:val="auto"/>
          <w:highlight w:val="none"/>
          <w:u w:val="none"/>
          <w:lang w:val="en-US" w:eastAsia="zh-CN"/>
        </w:rPr>
      </w:pPr>
      <w:r>
        <w:rPr>
          <w:rFonts w:hint="eastAsia"/>
          <w:b w:val="0"/>
          <w:bCs w:val="0"/>
          <w:color w:val="auto"/>
          <w:highlight w:val="none"/>
          <w:u w:val="none"/>
          <w:lang w:val="en-US" w:eastAsia="zh-CN"/>
        </w:rPr>
        <w:t>2.</w:t>
      </w:r>
      <w:r>
        <w:rPr>
          <w:b w:val="0"/>
          <w:bCs w:val="0"/>
          <w:color w:val="auto"/>
          <w:highlight w:val="none"/>
          <w:u w:val="none"/>
        </w:rPr>
        <w:t>绿色低碳发展</w:t>
      </w:r>
      <w:r>
        <w:rPr>
          <w:rFonts w:hint="eastAsia"/>
          <w:b w:val="0"/>
          <w:bCs w:val="0"/>
          <w:color w:val="auto"/>
          <w:highlight w:val="none"/>
          <w:u w:val="none"/>
          <w:lang w:val="en-US" w:eastAsia="zh-CN"/>
        </w:rPr>
        <w:t>迈出坚实步伐</w:t>
      </w:r>
    </w:p>
    <w:p w14:paraId="4BE6C46E">
      <w:pPr>
        <w:ind w:firstLine="640" w:firstLineChars="200"/>
        <w:rPr>
          <w:rFonts w:hint="eastAsia" w:ascii="仿宋_GB2312" w:hAnsi="仿宋_GB2312" w:eastAsia="仿宋_GB2312" w:cs="仿宋_GB2312"/>
          <w:b w:val="0"/>
          <w:bCs w:val="0"/>
          <w:color w:val="auto"/>
          <w:kern w:val="0"/>
          <w:sz w:val="32"/>
          <w:szCs w:val="32"/>
          <w:highlight w:val="none"/>
          <w:u w:val="none"/>
          <w:lang w:val="en-US" w:eastAsia="zh-CN" w:bidi="ar"/>
        </w:rPr>
      </w:pPr>
      <w:r>
        <w:rPr>
          <w:rFonts w:hint="eastAsia" w:hAnsi="仿宋_GB2312" w:cs="仿宋_GB2312"/>
          <w:b w:val="0"/>
          <w:bCs w:val="0"/>
          <w:color w:val="auto"/>
          <w:highlight w:val="none"/>
          <w:u w:val="none"/>
          <w:lang w:val="en-US" w:eastAsia="zh-CN"/>
        </w:rPr>
        <w:t>推动重点领域绿色低碳发展。</w:t>
      </w:r>
      <w:r>
        <w:rPr>
          <w:rFonts w:hint="eastAsia" w:ascii="仿宋_GB2312" w:hAnsi="仿宋_GB2312" w:eastAsia="仿宋_GB2312" w:cs="仿宋_GB2312"/>
          <w:b w:val="0"/>
          <w:bCs w:val="0"/>
          <w:kern w:val="0"/>
          <w:sz w:val="32"/>
          <w:szCs w:val="32"/>
          <w:highlight w:val="none"/>
          <w:u w:val="none"/>
          <w:lang w:val="en-US" w:eastAsia="zh-CN" w:bidi="ar"/>
        </w:rPr>
        <w:t>能源向“洁”而行</w:t>
      </w:r>
      <w:r>
        <w:rPr>
          <w:rFonts w:hint="eastAsia" w:hAnsi="仿宋_GB2312" w:cs="仿宋_GB2312"/>
          <w:b w:val="0"/>
          <w:bCs w:val="0"/>
          <w:kern w:val="0"/>
          <w:sz w:val="32"/>
          <w:szCs w:val="32"/>
          <w:highlight w:val="none"/>
          <w:u w:val="none"/>
          <w:lang w:val="en-US" w:eastAsia="zh-CN" w:bidi="ar"/>
        </w:rPr>
        <w:t>，</w:t>
      </w:r>
      <w:r>
        <w:rPr>
          <w:rFonts w:hint="eastAsia" w:ascii="仿宋_GB2312" w:hAnsi="仿宋_GB2312" w:eastAsia="仿宋_GB2312" w:cs="仿宋_GB2312"/>
          <w:b w:val="0"/>
          <w:bCs w:val="0"/>
          <w:sz w:val="32"/>
          <w:szCs w:val="32"/>
          <w:highlight w:val="none"/>
          <w:u w:val="none"/>
          <w:lang w:val="en-US" w:eastAsia="zh-CN"/>
        </w:rPr>
        <w:t>分布式光伏发电并网规模居全市首位</w:t>
      </w:r>
      <w:r>
        <w:rPr>
          <w:rFonts w:hint="eastAsia" w:hAnsi="仿宋_GB2312" w:cs="仿宋_GB2312"/>
          <w:b w:val="0"/>
          <w:bCs w:val="0"/>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none"/>
          <w:lang w:val="en-US" w:eastAsia="zh-CN"/>
        </w:rPr>
        <w:t>三大集中办公区实现100%绿电覆盖</w:t>
      </w:r>
      <w:r>
        <w:rPr>
          <w:rFonts w:hint="eastAsia" w:ascii="仿宋_GB2312" w:hAnsi="仿宋_GB2312" w:eastAsia="仿宋_GB2312" w:cs="仿宋_GB2312"/>
          <w:b w:val="0"/>
          <w:bCs w:val="0"/>
          <w:kern w:val="0"/>
          <w:sz w:val="32"/>
          <w:szCs w:val="32"/>
          <w:highlight w:val="none"/>
          <w:u w:val="none"/>
          <w:lang w:val="en-US" w:eastAsia="zh-CN" w:bidi="ar"/>
        </w:rPr>
        <w:t>。产业向“绿”而兴</w:t>
      </w:r>
      <w:r>
        <w:rPr>
          <w:rFonts w:hint="eastAsia" w:hAnsi="仿宋_GB2312" w:cs="仿宋_GB2312"/>
          <w:b w:val="0"/>
          <w:bCs w:val="0"/>
          <w:kern w:val="0"/>
          <w:sz w:val="32"/>
          <w:szCs w:val="32"/>
          <w:highlight w:val="none"/>
          <w:u w:val="none"/>
          <w:lang w:val="en-US" w:eastAsia="zh-CN" w:bidi="ar"/>
        </w:rPr>
        <w:t>，</w:t>
      </w:r>
      <w:r>
        <w:rPr>
          <w:rFonts w:hint="eastAsia" w:ascii="仿宋_GB2312" w:hAnsi="仿宋_GB2312" w:eastAsia="仿宋_GB2312" w:cs="仿宋_GB2312"/>
          <w:b w:val="0"/>
          <w:bCs w:val="0"/>
          <w:kern w:val="0"/>
          <w:sz w:val="32"/>
          <w:szCs w:val="32"/>
          <w:highlight w:val="none"/>
          <w:u w:val="none"/>
          <w:lang w:val="en-US" w:eastAsia="zh-CN" w:bidi="ar"/>
        </w:rPr>
        <w:t>着力构建“5+4”现代化产业体系，</w:t>
      </w:r>
      <w:r>
        <w:rPr>
          <w:rFonts w:hint="eastAsia" w:hAnsi="仿宋_GB2312" w:cs="仿宋_GB2312"/>
          <w:b w:val="0"/>
          <w:bCs w:val="0"/>
          <w:color w:val="auto"/>
          <w:highlight w:val="none"/>
          <w:u w:val="none"/>
          <w:lang w:val="en-US" w:eastAsia="zh-CN"/>
        </w:rPr>
        <w:t>“两区”项目入库数量全市第一，</w:t>
      </w:r>
      <w:r>
        <w:rPr>
          <w:rFonts w:hint="eastAsia" w:ascii="仿宋_GB2312" w:hAnsi="仿宋_GB2312" w:eastAsia="仿宋_GB2312" w:cs="仿宋_GB2312"/>
          <w:b w:val="0"/>
          <w:bCs w:val="0"/>
          <w:kern w:val="0"/>
          <w:sz w:val="32"/>
          <w:szCs w:val="32"/>
          <w:highlight w:val="none"/>
          <w:u w:val="none"/>
          <w:lang w:val="en-US" w:eastAsia="zh-CN" w:bidi="ar"/>
        </w:rPr>
        <w:t>绿色制造企业总量稳居全市前列</w:t>
      </w:r>
      <w:r>
        <w:rPr>
          <w:rFonts w:hint="eastAsia" w:hAnsi="仿宋_GB2312" w:cs="仿宋_GB2312"/>
          <w:b w:val="0"/>
          <w:bCs w:val="0"/>
          <w:kern w:val="0"/>
          <w:sz w:val="32"/>
          <w:szCs w:val="32"/>
          <w:highlight w:val="none"/>
          <w:u w:val="none"/>
          <w:lang w:val="en-US" w:eastAsia="zh-CN" w:bidi="ar"/>
        </w:rPr>
        <w:t>，</w:t>
      </w:r>
      <w:r>
        <w:rPr>
          <w:rFonts w:hint="eastAsia" w:ascii="仿宋_GB2312" w:hAnsi="仿宋_GB2312" w:eastAsia="仿宋_GB2312" w:cs="仿宋_GB2312"/>
          <w:b w:val="0"/>
          <w:bCs w:val="0"/>
          <w:color w:val="auto"/>
          <w:kern w:val="0"/>
          <w:sz w:val="32"/>
          <w:szCs w:val="32"/>
          <w:highlight w:val="none"/>
          <w:u w:val="none"/>
          <w:lang w:val="en-US" w:eastAsia="zh-CN" w:bidi="ar"/>
        </w:rPr>
        <w:t>退D企业数量全市第</w:t>
      </w:r>
      <w:r>
        <w:rPr>
          <w:rFonts w:hint="eastAsia" w:cs="仿宋_GB2312"/>
          <w:b w:val="0"/>
          <w:bCs w:val="0"/>
          <w:color w:val="auto"/>
          <w:kern w:val="0"/>
          <w:sz w:val="32"/>
          <w:szCs w:val="32"/>
          <w:highlight w:val="none"/>
          <w:u w:val="none"/>
          <w:lang w:val="en-US" w:eastAsia="zh-CN" w:bidi="ar"/>
        </w:rPr>
        <w:t>一</w:t>
      </w:r>
      <w:r>
        <w:rPr>
          <w:rFonts w:hint="eastAsia" w:ascii="仿宋_GB2312" w:hAnsi="仿宋_GB2312" w:eastAsia="仿宋_GB2312" w:cs="仿宋_GB2312"/>
          <w:b w:val="0"/>
          <w:bCs w:val="0"/>
          <w:color w:val="auto"/>
          <w:kern w:val="0"/>
          <w:sz w:val="32"/>
          <w:szCs w:val="32"/>
          <w:highlight w:val="none"/>
          <w:u w:val="none"/>
          <w:lang w:val="en-US" w:eastAsia="zh-CN" w:bidi="ar"/>
        </w:rPr>
        <w:t>。</w:t>
      </w:r>
      <w:r>
        <w:rPr>
          <w:rFonts w:hint="eastAsia" w:hAnsi="仿宋_GB2312" w:cs="仿宋_GB2312"/>
          <w:b w:val="0"/>
          <w:bCs w:val="0"/>
          <w:color w:val="auto"/>
          <w:highlight w:val="none"/>
          <w:u w:val="none"/>
          <w:lang w:val="en-US" w:eastAsia="zh-CN"/>
        </w:rPr>
        <w:t>建筑向“节”而筑，新建建筑全面落实绿色施工要求，老旧小区节能改造全面完成。</w:t>
      </w:r>
      <w:r>
        <w:rPr>
          <w:rFonts w:hint="eastAsia" w:ascii="仿宋_GB2312" w:hAnsi="仿宋_GB2312" w:eastAsia="仿宋_GB2312" w:cs="仿宋_GB2312"/>
          <w:b w:val="0"/>
          <w:bCs w:val="0"/>
          <w:kern w:val="0"/>
          <w:sz w:val="32"/>
          <w:szCs w:val="32"/>
          <w:highlight w:val="none"/>
          <w:u w:val="none"/>
          <w:lang w:val="en-US" w:eastAsia="zh-CN" w:bidi="ar"/>
        </w:rPr>
        <w:t>交通向“新”而进</w:t>
      </w:r>
      <w:r>
        <w:rPr>
          <w:rFonts w:hint="eastAsia" w:hAnsi="仿宋_GB2312" w:cs="仿宋_GB2312"/>
          <w:b w:val="0"/>
          <w:bCs w:val="0"/>
          <w:kern w:val="0"/>
          <w:sz w:val="32"/>
          <w:szCs w:val="32"/>
          <w:highlight w:val="none"/>
          <w:u w:val="none"/>
          <w:lang w:val="en-US" w:eastAsia="zh-CN" w:bidi="ar"/>
        </w:rPr>
        <w:t>，</w:t>
      </w:r>
      <w:r>
        <w:rPr>
          <w:rFonts w:hint="eastAsia" w:ascii="仿宋_GB2312" w:hAnsi="仿宋_GB2312" w:eastAsia="仿宋_GB2312" w:cs="仿宋_GB2312"/>
          <w:b w:val="0"/>
          <w:bCs w:val="0"/>
          <w:snapToGrid/>
          <w:color w:val="000000"/>
          <w:kern w:val="2"/>
          <w:sz w:val="32"/>
          <w:szCs w:val="32"/>
          <w:highlight w:val="none"/>
          <w:u w:val="none"/>
          <w:lang w:val="en-US" w:eastAsia="zh-CN" w:bidi="ar-SA"/>
        </w:rPr>
        <w:t>全区轻型环卫车、出租车、区属公园摆渡车实现100%新能源化</w:t>
      </w:r>
      <w:r>
        <w:rPr>
          <w:rFonts w:hint="eastAsia" w:hAnsi="仿宋_GB2312" w:cs="仿宋_GB2312"/>
          <w:b w:val="0"/>
          <w:bCs w:val="0"/>
          <w:snapToGrid/>
          <w:color w:val="000000"/>
          <w:kern w:val="2"/>
          <w:sz w:val="32"/>
          <w:szCs w:val="32"/>
          <w:highlight w:val="none"/>
          <w:u w:val="none"/>
          <w:lang w:val="en-US" w:eastAsia="zh-CN" w:bidi="ar-SA"/>
        </w:rPr>
        <w:t>，</w:t>
      </w:r>
      <w:r>
        <w:rPr>
          <w:rFonts w:hint="eastAsia" w:hAnsi="仿宋_GB2312" w:cs="仿宋_GB2312"/>
          <w:b w:val="0"/>
          <w:bCs w:val="0"/>
          <w:color w:val="auto"/>
          <w:highlight w:val="none"/>
          <w:u w:val="none"/>
          <w:lang w:val="en-US" w:eastAsia="zh-CN"/>
        </w:rPr>
        <w:t>氢能重卡零碳运输干线常态化运营，</w:t>
      </w:r>
      <w:r>
        <w:rPr>
          <w:rFonts w:hint="eastAsia" w:ascii="仿宋_GB2312" w:hAnsi="仿宋_GB2312" w:eastAsia="仿宋_GB2312" w:cs="仿宋_GB2312"/>
          <w:b w:val="0"/>
          <w:bCs w:val="0"/>
          <w:color w:val="auto"/>
          <w:kern w:val="0"/>
          <w:sz w:val="32"/>
          <w:szCs w:val="32"/>
          <w:highlight w:val="none"/>
          <w:u w:val="none"/>
          <w:lang w:val="en-US" w:eastAsia="zh-CN" w:bidi="ar"/>
        </w:rPr>
        <w:t>北京洛杰特物流有限公司成为全市道路运输业首家绿色标杆（深绿）企业。</w:t>
      </w:r>
    </w:p>
    <w:p w14:paraId="70A4A844">
      <w:pPr>
        <w:bidi w:val="0"/>
        <w:ind w:firstLine="640"/>
        <w:jc w:val="both"/>
        <w:rPr>
          <w:rFonts w:hint="eastAsia"/>
          <w:b w:val="0"/>
          <w:bCs w:val="0"/>
          <w:color w:val="auto"/>
          <w:highlight w:val="none"/>
          <w:u w:val="none"/>
          <w:lang w:val="en-US" w:eastAsia="zh-CN"/>
        </w:rPr>
      </w:pPr>
      <w:r>
        <w:rPr>
          <w:rFonts w:hint="eastAsia" w:hAnsi="仿宋_GB2312" w:cs="仿宋_GB2312"/>
          <w:b w:val="0"/>
          <w:bCs w:val="0"/>
          <w:color w:val="auto"/>
          <w:kern w:val="0"/>
          <w:sz w:val="32"/>
          <w:szCs w:val="32"/>
          <w:highlight w:val="none"/>
          <w:u w:val="none"/>
          <w:lang w:val="en-US" w:eastAsia="zh-CN" w:bidi="ar"/>
        </w:rPr>
        <w:t>强化绿色低碳示范引领。</w:t>
      </w:r>
      <w:r>
        <w:rPr>
          <w:rFonts w:hint="eastAsia" w:ascii="仿宋_GB2312" w:hAnsi="仿宋_GB2312" w:eastAsia="仿宋_GB2312" w:cs="仿宋_GB2312"/>
          <w:b w:val="0"/>
          <w:bCs w:val="0"/>
          <w:color w:val="auto"/>
          <w:sz w:val="32"/>
          <w:szCs w:val="32"/>
          <w:highlight w:val="none"/>
          <w:lang w:val="en-US" w:eastAsia="zh-CN"/>
        </w:rPr>
        <w:t>后沙峪镇</w:t>
      </w:r>
      <w:r>
        <w:rPr>
          <w:rFonts w:hint="eastAsia" w:ascii="仿宋_GB2312" w:hAnsi="仿宋_GB2312" w:eastAsia="仿宋_GB2312" w:cs="仿宋_GB2312"/>
          <w:b w:val="0"/>
          <w:bCs w:val="0"/>
          <w:snapToGrid w:val="0"/>
          <w:color w:val="auto"/>
          <w:spacing w:val="0"/>
          <w:kern w:val="0"/>
          <w:sz w:val="32"/>
          <w:szCs w:val="32"/>
          <w:highlight w:val="none"/>
          <w:u w:val="none" w:color="auto"/>
          <w:lang w:val="en-US" w:eastAsia="zh-CN"/>
        </w:rPr>
        <w:t>江山赋社区在联合国气候变化大会分享绿色低碳经验</w:t>
      </w:r>
      <w:r>
        <w:rPr>
          <w:rFonts w:hint="eastAsia"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b w:val="0"/>
          <w:bCs w:val="0"/>
          <w:sz w:val="32"/>
          <w:szCs w:val="32"/>
          <w:highlight w:val="none"/>
        </w:rPr>
        <w:t>顺义区汽车制造行业清洁生产审核创新试点项目入选北京市“两区”建设改革创新案例。</w:t>
      </w:r>
      <w:r>
        <w:rPr>
          <w:rFonts w:hint="eastAsia" w:ascii="仿宋_GB2312" w:hAnsi="仿宋_GB2312" w:eastAsia="仿宋_GB2312" w:cs="仿宋_GB2312"/>
          <w:b w:val="0"/>
          <w:bCs w:val="0"/>
          <w:color w:val="auto"/>
          <w:kern w:val="2"/>
          <w:sz w:val="32"/>
          <w:szCs w:val="32"/>
          <w:highlight w:val="none"/>
          <w:lang w:val="en-US" w:eastAsia="zh-CN" w:bidi="ar-SA"/>
        </w:rPr>
        <w:t>完成全市首个环评、排污许可和辐射安全许可证“三证合一”审批，入选北京市营商环境改革创新案例</w:t>
      </w:r>
      <w:r>
        <w:rPr>
          <w:rFonts w:hint="eastAsia" w:cs="仿宋_GB2312"/>
          <w:b w:val="0"/>
          <w:bCs w:val="0"/>
          <w:color w:val="auto"/>
          <w:kern w:val="2"/>
          <w:sz w:val="32"/>
          <w:szCs w:val="32"/>
          <w:highlight w:val="none"/>
          <w:lang w:val="en-US" w:eastAsia="zh-CN" w:bidi="ar-SA"/>
        </w:rPr>
        <w:t>。</w:t>
      </w:r>
    </w:p>
    <w:p w14:paraId="52090765">
      <w:pPr>
        <w:pStyle w:val="5"/>
        <w:rPr>
          <w:b w:val="0"/>
          <w:bCs w:val="0"/>
          <w:color w:val="auto"/>
          <w:highlight w:val="none"/>
          <w:u w:val="none"/>
        </w:rPr>
      </w:pPr>
      <w:r>
        <w:rPr>
          <w:rFonts w:hint="eastAsia"/>
          <w:b w:val="0"/>
          <w:bCs w:val="0"/>
          <w:color w:val="auto"/>
          <w:highlight w:val="none"/>
          <w:u w:val="none"/>
          <w:lang w:val="en-US" w:eastAsia="zh-CN"/>
        </w:rPr>
        <w:t>3.</w:t>
      </w:r>
      <w:r>
        <w:rPr>
          <w:b w:val="0"/>
          <w:bCs w:val="0"/>
          <w:color w:val="auto"/>
          <w:highlight w:val="none"/>
          <w:u w:val="none"/>
        </w:rPr>
        <w:t>生态环境质量持续改善</w:t>
      </w:r>
    </w:p>
    <w:p w14:paraId="7F643D26">
      <w:pPr>
        <w:ind w:firstLine="0"/>
        <w:rPr>
          <w:rFonts w:hint="eastAsia" w:ascii="仿宋_GB2312" w:hAnsi="仿宋_GB2312" w:cs="仿宋_GB2312"/>
          <w:b w:val="0"/>
          <w:bCs w:val="0"/>
          <w:color w:val="auto"/>
          <w:highlight w:val="none"/>
          <w:u w:val="none"/>
          <w:shd w:val="clear" w:color="auto" w:fill="auto"/>
        </w:rPr>
      </w:pPr>
      <w:r>
        <w:rPr>
          <w:rFonts w:hint="eastAsia" w:ascii="仿宋_GB2312" w:hAnsi="仿宋_GB2312" w:cs="仿宋_GB2312"/>
          <w:b w:val="0"/>
          <w:bCs w:val="0"/>
          <w:color w:val="auto"/>
          <w:highlight w:val="none"/>
          <w:u w:val="none"/>
          <w:shd w:val="clear" w:color="auto" w:fill="auto"/>
        </w:rPr>
        <w:t>空气质量取得新突破</w:t>
      </w:r>
      <w:r>
        <w:rPr>
          <w:rFonts w:hint="eastAsia" w:ascii="仿宋_GB2312" w:hAnsi="仿宋_GB2312" w:cs="仿宋_GB2312"/>
          <w:b w:val="0"/>
          <w:bCs w:val="0"/>
          <w:color w:val="auto"/>
          <w:highlight w:val="none"/>
          <w:u w:val="none"/>
          <w:shd w:val="clear" w:color="auto" w:fill="auto"/>
          <w:lang w:eastAsia="zh-CN"/>
        </w:rPr>
        <w:t>，细颗粒物（</w:t>
      </w:r>
      <w:r>
        <w:rPr>
          <w:rFonts w:hint="eastAsia" w:ascii="仿宋_GB2312" w:hAnsi="仿宋_GB2312" w:cs="仿宋_GB2312"/>
          <w:b w:val="0"/>
          <w:bCs w:val="0"/>
          <w:color w:val="auto"/>
          <w:highlight w:val="none"/>
          <w:u w:val="none"/>
          <w:shd w:val="clear" w:color="auto" w:fill="auto"/>
        </w:rPr>
        <w:t>PM</w:t>
      </w:r>
      <w:r>
        <w:rPr>
          <w:rFonts w:hint="eastAsia" w:ascii="仿宋_GB2312" w:hAnsi="仿宋_GB2312" w:cs="仿宋_GB2312"/>
          <w:b w:val="0"/>
          <w:bCs w:val="0"/>
          <w:color w:val="auto"/>
          <w:highlight w:val="none"/>
          <w:u w:val="none"/>
          <w:shd w:val="clear" w:color="auto" w:fill="auto"/>
          <w:vertAlign w:val="subscript"/>
        </w:rPr>
        <w:t>2.5</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年均浓度</w:t>
      </w:r>
      <w:r>
        <w:rPr>
          <w:rFonts w:hint="eastAsia" w:ascii="仿宋_GB2312" w:hAnsi="仿宋_GB2312" w:cs="仿宋_GB2312"/>
          <w:b w:val="0"/>
          <w:bCs w:val="0"/>
          <w:color w:val="auto"/>
          <w:highlight w:val="none"/>
          <w:u w:val="none"/>
          <w:shd w:val="clear" w:color="auto" w:fill="auto"/>
          <w:lang w:val="en-US" w:eastAsia="zh-CN"/>
        </w:rPr>
        <w:t>25.6</w:t>
      </w:r>
      <w:r>
        <w:rPr>
          <w:rFonts w:hint="eastAsia" w:ascii="仿宋_GB2312" w:hAnsi="仿宋_GB2312" w:cs="仿宋_GB2312"/>
          <w:b w:val="0"/>
          <w:bCs w:val="0"/>
          <w:color w:val="auto"/>
          <w:highlight w:val="none"/>
          <w:u w:val="none"/>
          <w:shd w:val="clear" w:color="auto" w:fill="auto"/>
        </w:rPr>
        <w:t>微克/立方米</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创</w:t>
      </w:r>
      <w:r>
        <w:rPr>
          <w:rFonts w:hint="eastAsia" w:ascii="仿宋_GB2312" w:hAnsi="仿宋_GB2312" w:cs="仿宋_GB2312"/>
          <w:b w:val="0"/>
          <w:bCs w:val="0"/>
          <w:color w:val="auto"/>
          <w:highlight w:val="none"/>
          <w:u w:val="none"/>
          <w:shd w:val="clear" w:color="auto" w:fill="auto"/>
          <w:lang w:eastAsia="zh-CN"/>
        </w:rPr>
        <w:t>有</w:t>
      </w:r>
      <w:r>
        <w:rPr>
          <w:rFonts w:hint="eastAsia" w:ascii="仿宋_GB2312" w:hAnsi="仿宋_GB2312" w:cs="仿宋_GB2312"/>
          <w:b w:val="0"/>
          <w:bCs w:val="0"/>
          <w:color w:val="auto"/>
          <w:highlight w:val="none"/>
          <w:u w:val="none"/>
          <w:shd w:val="clear" w:color="auto" w:fill="auto"/>
        </w:rPr>
        <w:t>监测记录</w:t>
      </w:r>
      <w:r>
        <w:rPr>
          <w:rFonts w:hint="eastAsia" w:ascii="仿宋_GB2312" w:hAnsi="仿宋_GB2312" w:cs="仿宋_GB2312"/>
          <w:b w:val="0"/>
          <w:bCs w:val="0"/>
          <w:color w:val="auto"/>
          <w:highlight w:val="none"/>
          <w:u w:val="none"/>
          <w:shd w:val="clear" w:color="auto" w:fill="auto"/>
          <w:lang w:eastAsia="zh-CN"/>
        </w:rPr>
        <w:t>以来</w:t>
      </w:r>
      <w:r>
        <w:rPr>
          <w:rFonts w:hint="eastAsia" w:ascii="仿宋_GB2312" w:hAnsi="仿宋_GB2312" w:cs="仿宋_GB2312"/>
          <w:b w:val="0"/>
          <w:bCs w:val="0"/>
          <w:color w:val="auto"/>
          <w:highlight w:val="none"/>
          <w:u w:val="none"/>
          <w:shd w:val="clear" w:color="auto" w:fill="auto"/>
        </w:rPr>
        <w:t>最优</w:t>
      </w:r>
      <w:r>
        <w:rPr>
          <w:rFonts w:hint="eastAsia" w:ascii="仿宋_GB2312" w:hAnsi="仿宋_GB2312" w:cs="仿宋_GB2312"/>
          <w:b w:val="0"/>
          <w:bCs w:val="0"/>
          <w:color w:val="auto"/>
          <w:highlight w:val="none"/>
          <w:u w:val="none"/>
          <w:shd w:val="clear" w:color="auto" w:fill="auto"/>
          <w:lang w:eastAsia="zh-CN"/>
        </w:rPr>
        <w:t>水平</w:t>
      </w:r>
      <w:r>
        <w:rPr>
          <w:rFonts w:hint="eastAsia" w:ascii="仿宋_GB2312" w:hAnsi="仿宋_GB2312" w:cs="仿宋_GB2312"/>
          <w:b w:val="0"/>
          <w:bCs w:val="0"/>
          <w:color w:val="auto"/>
          <w:highlight w:val="none"/>
          <w:u w:val="none"/>
          <w:shd w:val="clear" w:color="auto" w:fill="auto"/>
        </w:rPr>
        <w:t>，稳居非生态涵养区首位，优良天数比率较“十</w:t>
      </w:r>
      <w:r>
        <w:rPr>
          <w:rFonts w:hint="eastAsia" w:cs="仿宋_GB2312"/>
          <w:b w:val="0"/>
          <w:bCs w:val="0"/>
          <w:color w:val="auto"/>
          <w:highlight w:val="none"/>
          <w:u w:val="none"/>
          <w:shd w:val="clear" w:color="auto" w:fill="auto"/>
          <w:lang w:val="en-US" w:eastAsia="zh-CN"/>
        </w:rPr>
        <w:t>三</w:t>
      </w:r>
      <w:r>
        <w:rPr>
          <w:rFonts w:hint="eastAsia" w:ascii="仿宋_GB2312" w:hAnsi="仿宋_GB2312" w:cs="仿宋_GB2312"/>
          <w:b w:val="0"/>
          <w:bCs w:val="0"/>
          <w:color w:val="auto"/>
          <w:highlight w:val="none"/>
          <w:u w:val="none"/>
          <w:shd w:val="clear" w:color="auto" w:fill="auto"/>
        </w:rPr>
        <w:t>五”末提升</w:t>
      </w:r>
      <w:r>
        <w:rPr>
          <w:rFonts w:hint="eastAsia" w:ascii="仿宋_GB2312" w:hAnsi="仿宋_GB2312" w:cs="仿宋_GB2312"/>
          <w:b w:val="0"/>
          <w:bCs w:val="0"/>
          <w:color w:val="auto"/>
          <w:highlight w:val="none"/>
          <w:u w:val="none"/>
          <w:shd w:val="clear" w:color="auto" w:fill="auto"/>
          <w:lang w:val="en-US" w:eastAsia="zh-CN"/>
        </w:rPr>
        <w:t>10.6</w:t>
      </w:r>
      <w:r>
        <w:rPr>
          <w:rFonts w:hint="eastAsia" w:ascii="仿宋_GB2312" w:hAnsi="仿宋_GB2312" w:cs="仿宋_GB2312"/>
          <w:b w:val="0"/>
          <w:bCs w:val="0"/>
          <w:color w:val="auto"/>
          <w:highlight w:val="none"/>
          <w:u w:val="none"/>
          <w:shd w:val="clear" w:color="auto" w:fill="auto"/>
        </w:rPr>
        <w:t>个百分点。水环境质量稳中向好</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国市考断面优良水体比例</w:t>
      </w:r>
      <w:r>
        <w:rPr>
          <w:rFonts w:hint="eastAsia" w:ascii="仿宋_GB2312" w:hAnsi="仿宋_GB2312" w:cs="仿宋_GB2312"/>
          <w:b w:val="0"/>
          <w:bCs w:val="0"/>
          <w:color w:val="auto"/>
          <w:highlight w:val="none"/>
          <w:u w:val="none"/>
          <w:shd w:val="clear" w:color="auto" w:fill="auto"/>
          <w:lang w:val="en-US" w:eastAsia="zh-CN"/>
        </w:rPr>
        <w:t>达到</w:t>
      </w:r>
      <w:r>
        <w:rPr>
          <w:rFonts w:hint="eastAsia" w:ascii="仿宋_GB2312" w:hAnsi="仿宋_GB2312" w:cs="仿宋_GB2312"/>
          <w:b w:val="0"/>
          <w:bCs w:val="0"/>
          <w:color w:val="auto"/>
          <w:highlight w:val="none"/>
          <w:u w:val="none"/>
          <w:shd w:val="clear" w:color="auto" w:fill="auto"/>
        </w:rPr>
        <w:t>100%，水生态健康综合指数88.41</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居城市发展新区第一</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地下水平均埋深连续7年</w:t>
      </w:r>
      <w:r>
        <w:rPr>
          <w:rFonts w:hint="eastAsia" w:ascii="仿宋_GB2312" w:hAnsi="仿宋_GB2312" w:cs="仿宋_GB2312"/>
          <w:b w:val="0"/>
          <w:bCs w:val="0"/>
          <w:color w:val="auto"/>
          <w:highlight w:val="none"/>
          <w:u w:val="none"/>
          <w:shd w:val="clear" w:color="auto" w:fill="auto"/>
          <w:lang w:val="en-US" w:eastAsia="zh-CN"/>
        </w:rPr>
        <w:t>稳步</w:t>
      </w:r>
      <w:r>
        <w:rPr>
          <w:rFonts w:hint="eastAsia" w:ascii="仿宋_GB2312" w:hAnsi="仿宋_GB2312" w:cs="仿宋_GB2312"/>
          <w:b w:val="0"/>
          <w:bCs w:val="0"/>
          <w:color w:val="auto"/>
          <w:highlight w:val="none"/>
          <w:u w:val="none"/>
          <w:shd w:val="clear" w:color="auto" w:fill="auto"/>
        </w:rPr>
        <w:t>回升。土壤环境</w:t>
      </w:r>
      <w:r>
        <w:rPr>
          <w:rFonts w:hint="eastAsia" w:ascii="仿宋_GB2312" w:hAnsi="仿宋_GB2312" w:cs="仿宋_GB2312"/>
          <w:b w:val="0"/>
          <w:bCs w:val="0"/>
          <w:color w:val="auto"/>
          <w:highlight w:val="none"/>
          <w:u w:val="none"/>
          <w:shd w:val="clear" w:color="auto" w:fill="auto"/>
          <w:lang w:val="en-US" w:eastAsia="zh-CN"/>
        </w:rPr>
        <w:t>风险</w:t>
      </w:r>
      <w:r>
        <w:rPr>
          <w:rFonts w:hint="eastAsia" w:ascii="仿宋_GB2312" w:hAnsi="仿宋_GB2312" w:cs="仿宋_GB2312"/>
          <w:b w:val="0"/>
          <w:bCs w:val="0"/>
          <w:color w:val="auto"/>
          <w:highlight w:val="none"/>
          <w:u w:val="none"/>
          <w:shd w:val="clear" w:color="auto" w:fill="auto"/>
        </w:rPr>
        <w:t>安全可控</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受污染耕地、污染地块、重点建设用地安全利用率保持100%。农村环境持续提升</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349个村庄生活污水实现全收集全处理，</w:t>
      </w:r>
      <w:r>
        <w:rPr>
          <w:rFonts w:hint="eastAsia" w:ascii="仿宋_GB2312" w:hAnsi="仿宋_GB2312" w:eastAsia="仿宋_GB2312" w:cs="仿宋_GB2312"/>
          <w:b w:val="0"/>
          <w:bCs w:val="0"/>
          <w:kern w:val="0"/>
          <w:sz w:val="32"/>
          <w:szCs w:val="32"/>
          <w:highlight w:val="none"/>
          <w:u w:val="none"/>
          <w:lang w:val="en-US" w:eastAsia="zh-CN" w:bidi="ar"/>
        </w:rPr>
        <w:t>农村黑臭水体动态清零</w:t>
      </w:r>
      <w:r>
        <w:rPr>
          <w:rFonts w:hint="eastAsia" w:cs="仿宋_GB2312"/>
          <w:b w:val="0"/>
          <w:bCs w:val="0"/>
          <w:kern w:val="0"/>
          <w:sz w:val="32"/>
          <w:szCs w:val="32"/>
          <w:highlight w:val="none"/>
          <w:u w:val="none"/>
          <w:lang w:val="en-US" w:eastAsia="zh-CN" w:bidi="ar"/>
        </w:rPr>
        <w:t>。</w:t>
      </w:r>
      <w:r>
        <w:rPr>
          <w:rFonts w:hint="eastAsia" w:ascii="仿宋_GB2312" w:hAnsi="仿宋_GB2312" w:cs="仿宋_GB2312"/>
          <w:b w:val="0"/>
          <w:bCs w:val="0"/>
          <w:color w:val="auto"/>
          <w:highlight w:val="none"/>
          <w:u w:val="none"/>
          <w:shd w:val="clear" w:color="auto" w:fill="auto"/>
          <w:lang w:val="en-US" w:eastAsia="zh-CN"/>
        </w:rPr>
        <w:t>声环境质量取得新成效，</w:t>
      </w:r>
      <w:r>
        <w:rPr>
          <w:rFonts w:hint="eastAsia" w:ascii="仿宋_GB2312" w:hAnsi="仿宋_GB2312" w:cs="仿宋_GB2312"/>
          <w:b w:val="0"/>
          <w:bCs w:val="0"/>
          <w:color w:val="auto"/>
          <w:highlight w:val="none"/>
          <w:u w:val="none"/>
          <w:shd w:val="clear" w:color="auto" w:fill="auto"/>
        </w:rPr>
        <w:t>功能区</w:t>
      </w:r>
      <w:r>
        <w:rPr>
          <w:rFonts w:hint="eastAsia" w:cs="仿宋_GB2312"/>
          <w:b w:val="0"/>
          <w:bCs w:val="0"/>
          <w:color w:val="auto"/>
          <w:highlight w:val="none"/>
          <w:u w:val="none"/>
          <w:shd w:val="clear" w:color="auto" w:fill="auto"/>
          <w:lang w:eastAsia="zh-CN"/>
        </w:rPr>
        <w:t>声环境</w:t>
      </w:r>
      <w:r>
        <w:rPr>
          <w:rFonts w:hint="eastAsia" w:ascii="仿宋_GB2312" w:hAnsi="仿宋_GB2312" w:cs="仿宋_GB2312"/>
          <w:b w:val="0"/>
          <w:bCs w:val="0"/>
          <w:color w:val="auto"/>
          <w:highlight w:val="none"/>
          <w:u w:val="none"/>
          <w:shd w:val="clear" w:color="auto" w:fill="auto"/>
        </w:rPr>
        <w:t>夜间达标率达</w:t>
      </w:r>
      <w:r>
        <w:rPr>
          <w:rFonts w:hint="eastAsia" w:cs="仿宋_GB2312"/>
          <w:b w:val="0"/>
          <w:bCs w:val="0"/>
          <w:color w:val="auto"/>
          <w:highlight w:val="none"/>
          <w:u w:val="none"/>
          <w:shd w:val="clear" w:color="auto" w:fill="auto"/>
          <w:lang w:val="en-US" w:eastAsia="zh-CN"/>
        </w:rPr>
        <w:t>98.8</w:t>
      </w:r>
      <w:r>
        <w:rPr>
          <w:rFonts w:hint="eastAsia" w:ascii="仿宋_GB2312" w:hAnsi="仿宋_GB2312" w:cs="仿宋_GB2312"/>
          <w:b w:val="0"/>
          <w:bCs w:val="0"/>
          <w:color w:val="auto"/>
          <w:highlight w:val="none"/>
          <w:u w:val="none"/>
          <w:shd w:val="clear" w:color="auto" w:fill="auto"/>
        </w:rPr>
        <w:t>%，位列平原新城第一。</w:t>
      </w:r>
    </w:p>
    <w:p w14:paraId="017FBA8B">
      <w:pPr>
        <w:ind w:firstLine="643"/>
        <w:rPr>
          <w:rFonts w:hint="default" w:eastAsia="仿宋_GB2312"/>
          <w:b w:val="0"/>
          <w:bCs w:val="0"/>
          <w:color w:val="auto"/>
          <w:highlight w:val="none"/>
          <w:u w:val="none"/>
          <w:lang w:val="en-US" w:eastAsia="zh-CN"/>
        </w:rPr>
      </w:pPr>
      <w:r>
        <w:rPr>
          <w:rFonts w:hint="eastAsia"/>
          <w:b w:val="0"/>
          <w:bCs w:val="0"/>
          <w:color w:val="auto"/>
          <w:highlight w:val="none"/>
          <w:u w:val="none"/>
          <w:lang w:val="en-US" w:eastAsia="zh-CN"/>
        </w:rPr>
        <w:t>4.生态环境保护向纵深推进</w:t>
      </w:r>
    </w:p>
    <w:p w14:paraId="686BAABF">
      <w:pPr>
        <w:rPr>
          <w:rFonts w:hint="eastAsia" w:eastAsia="仿宋_GB2312"/>
          <w:b w:val="0"/>
          <w:bCs w:val="0"/>
          <w:color w:val="auto"/>
          <w:highlight w:val="none"/>
          <w:u w:val="none"/>
          <w:lang w:eastAsia="zh-CN"/>
        </w:rPr>
      </w:pPr>
      <w:r>
        <w:rPr>
          <w:rFonts w:hint="eastAsia" w:ascii="仿宋_GB2312" w:hAnsi="仿宋_GB2312" w:eastAsia="仿宋_GB2312" w:cs="仿宋_GB2312"/>
          <w:b w:val="0"/>
          <w:bCs w:val="0"/>
          <w:color w:val="auto"/>
          <w:kern w:val="2"/>
          <w:szCs w:val="32"/>
          <w:highlight w:val="none"/>
          <w:u w:val="none"/>
          <w:lang w:val="en-US" w:eastAsia="zh-CN" w:bidi="ar-SA"/>
        </w:rPr>
        <w:t>生态保护修复基础持续筑牢。完成“三区三线”划定</w:t>
      </w:r>
      <w:r>
        <w:rPr>
          <w:rFonts w:hint="eastAsia" w:ascii="仿宋_GB2312" w:hAnsi="仿宋_GB2312" w:cs="仿宋_GB2312"/>
          <w:b w:val="0"/>
          <w:bCs w:val="0"/>
          <w:color w:val="auto"/>
          <w:kern w:val="2"/>
          <w:szCs w:val="32"/>
          <w:highlight w:val="none"/>
          <w:u w:val="none"/>
          <w:lang w:val="en-US" w:eastAsia="zh-CN" w:bidi="ar-SA"/>
        </w:rPr>
        <w:t>并纳入全市“一张图”管理</w:t>
      </w:r>
      <w:r>
        <w:rPr>
          <w:rFonts w:hint="eastAsia" w:ascii="仿宋_GB2312" w:hAnsi="仿宋_GB2312" w:eastAsia="仿宋_GB2312" w:cs="仿宋_GB2312"/>
          <w:b w:val="0"/>
          <w:bCs w:val="0"/>
          <w:color w:val="auto"/>
          <w:kern w:val="2"/>
          <w:szCs w:val="32"/>
          <w:highlight w:val="none"/>
          <w:u w:val="none"/>
          <w:lang w:val="en-US" w:eastAsia="zh-CN" w:bidi="ar-SA"/>
        </w:rPr>
        <w:t>，“疏整促”拆违、腾地面积均位列全市第一</w:t>
      </w:r>
      <w:r>
        <w:rPr>
          <w:rFonts w:hint="eastAsia" w:ascii="仿宋_GB2312" w:hAnsi="仿宋_GB2312" w:cs="仿宋_GB2312"/>
          <w:b w:val="0"/>
          <w:bCs w:val="0"/>
          <w:color w:val="auto"/>
          <w:kern w:val="2"/>
          <w:szCs w:val="32"/>
          <w:highlight w:val="none"/>
          <w:u w:val="none"/>
          <w:lang w:val="en-US" w:eastAsia="zh-CN" w:bidi="ar-SA"/>
        </w:rPr>
        <w:t>。</w:t>
      </w:r>
      <w:r>
        <w:rPr>
          <w:rFonts w:hint="eastAsia" w:ascii="仿宋_GB2312" w:hAnsi="仿宋_GB2312" w:eastAsia="仿宋_GB2312" w:cs="仿宋_GB2312"/>
          <w:b w:val="0"/>
          <w:bCs w:val="0"/>
          <w:color w:val="auto"/>
          <w:kern w:val="2"/>
          <w:szCs w:val="32"/>
          <w:highlight w:val="none"/>
          <w:u w:val="none"/>
          <w:lang w:val="en-US" w:eastAsia="zh-CN" w:bidi="ar-SA"/>
        </w:rPr>
        <w:t>圆满完成国家森林城市创建任务。超额完成“留白增绿”“揭网见绿”年度目标</w:t>
      </w:r>
      <w:r>
        <w:rPr>
          <w:rFonts w:hint="eastAsia" w:ascii="仿宋_GB2312" w:hAnsi="仿宋_GB2312" w:cs="仿宋_GB2312"/>
          <w:b w:val="0"/>
          <w:bCs w:val="0"/>
          <w:color w:val="auto"/>
          <w:kern w:val="2"/>
          <w:szCs w:val="32"/>
          <w:highlight w:val="none"/>
          <w:u w:val="none"/>
          <w:lang w:val="en-US" w:eastAsia="zh-CN" w:bidi="ar-SA"/>
        </w:rPr>
        <w:t>。</w:t>
      </w:r>
      <w:r>
        <w:rPr>
          <w:rFonts w:hint="eastAsia" w:ascii="仿宋_GB2312" w:hAnsi="仿宋_GB2312" w:eastAsia="仿宋_GB2312" w:cs="仿宋_GB2312"/>
          <w:b w:val="0"/>
          <w:bCs w:val="0"/>
          <w:color w:val="auto"/>
          <w:kern w:val="2"/>
          <w:szCs w:val="32"/>
          <w:highlight w:val="none"/>
          <w:u w:val="none"/>
          <w:lang w:val="en-US" w:eastAsia="zh-CN" w:bidi="ar-SA"/>
        </w:rPr>
        <w:t>首次开展全区野生动植物资源本底调查，共记录物种1254种</w:t>
      </w:r>
      <w:r>
        <w:rPr>
          <w:rFonts w:hint="eastAsia" w:ascii="仿宋_GB2312" w:hAnsi="仿宋_GB2312" w:cs="仿宋_GB2312"/>
          <w:b w:val="0"/>
          <w:bCs w:val="0"/>
          <w:color w:val="auto"/>
          <w:kern w:val="2"/>
          <w:szCs w:val="32"/>
          <w:highlight w:val="none"/>
          <w:u w:val="none"/>
          <w:lang w:val="en-US" w:eastAsia="zh-CN" w:bidi="ar-SA"/>
        </w:rPr>
        <w:t>。</w:t>
      </w:r>
    </w:p>
    <w:p w14:paraId="6C4FC947">
      <w:pPr>
        <w:ind w:firstLine="643"/>
        <w:rPr>
          <w:rFonts w:hint="eastAsia" w:ascii="仿宋_GB2312" w:hAnsi="仿宋_GB2312" w:eastAsia="仿宋_GB2312" w:cs="仿宋_GB2312"/>
          <w:b w:val="0"/>
          <w:bCs w:val="0"/>
          <w:color w:val="auto"/>
          <w:kern w:val="2"/>
          <w:szCs w:val="32"/>
          <w:highlight w:val="none"/>
          <w:u w:val="none"/>
          <w:lang w:val="en-US" w:eastAsia="zh-CN" w:bidi="ar-SA"/>
        </w:rPr>
      </w:pPr>
      <w:r>
        <w:rPr>
          <w:rFonts w:hint="eastAsia" w:ascii="仿宋_GB2312" w:hAnsi="仿宋_GB2312" w:cs="仿宋_GB2312"/>
          <w:b w:val="0"/>
          <w:bCs w:val="0"/>
          <w:color w:val="auto"/>
          <w:kern w:val="2"/>
          <w:szCs w:val="32"/>
          <w:highlight w:val="none"/>
          <w:u w:val="none"/>
          <w:lang w:val="en-US" w:eastAsia="zh-CN" w:bidi="ar-SA"/>
        </w:rPr>
        <w:t>高品质推进花园城市建设</w:t>
      </w:r>
      <w:r>
        <w:rPr>
          <w:rFonts w:hint="eastAsia" w:ascii="仿宋_GB2312" w:hAnsi="仿宋_GB2312" w:eastAsia="仿宋_GB2312" w:cs="仿宋_GB2312"/>
          <w:b w:val="0"/>
          <w:bCs w:val="0"/>
          <w:color w:val="auto"/>
          <w:kern w:val="2"/>
          <w:szCs w:val="32"/>
          <w:highlight w:val="none"/>
          <w:u w:val="none"/>
          <w:lang w:val="en-US" w:eastAsia="zh-CN" w:bidi="ar-SA"/>
        </w:rPr>
        <w:t>。温榆河公园顺义二期如期对外开放</w:t>
      </w:r>
      <w:r>
        <w:rPr>
          <w:rFonts w:hint="eastAsia" w:ascii="仿宋_GB2312" w:hAnsi="仿宋_GB2312" w:cs="仿宋_GB2312"/>
          <w:b w:val="0"/>
          <w:bCs w:val="0"/>
          <w:color w:val="auto"/>
          <w:kern w:val="2"/>
          <w:szCs w:val="32"/>
          <w:highlight w:val="none"/>
          <w:u w:val="none"/>
          <w:lang w:val="en-US" w:eastAsia="zh-CN" w:bidi="ar-SA"/>
        </w:rPr>
        <w:t>，京城最大“绿肺”全面落成。</w:t>
      </w:r>
      <w:r>
        <w:rPr>
          <w:rFonts w:hint="eastAsia" w:ascii="仿宋_GB2312" w:hAnsi="仿宋_GB2312" w:eastAsia="仿宋_GB2312" w:cs="仿宋_GB2312"/>
          <w:b w:val="0"/>
          <w:bCs w:val="0"/>
          <w:color w:val="auto"/>
          <w:kern w:val="2"/>
          <w:szCs w:val="32"/>
          <w:highlight w:val="none"/>
          <w:u w:val="none"/>
          <w:lang w:val="en-US" w:eastAsia="zh-CN" w:bidi="ar-SA"/>
        </w:rPr>
        <w:t>建成区公园绿地500米服务半径覆盖率达93.1%，新增平原造林、山区森林经营等重点工程全面完成。</w:t>
      </w:r>
    </w:p>
    <w:p w14:paraId="5966E1B7">
      <w:pPr>
        <w:rPr>
          <w:rFonts w:hint="eastAsia" w:eastAsia="仿宋_GB2312"/>
          <w:b w:val="0"/>
          <w:bCs w:val="0"/>
          <w:color w:val="auto"/>
          <w:highlight w:val="none"/>
          <w:u w:val="none"/>
          <w:lang w:eastAsia="zh-CN"/>
        </w:rPr>
      </w:pPr>
      <w:r>
        <w:rPr>
          <w:rFonts w:hint="eastAsia" w:ascii="仿宋_GB2312" w:hAnsi="仿宋_GB2312" w:eastAsia="仿宋_GB2312" w:cs="仿宋_GB2312"/>
          <w:b w:val="0"/>
          <w:bCs w:val="0"/>
          <w:color w:val="auto"/>
          <w:kern w:val="2"/>
          <w:szCs w:val="32"/>
          <w:highlight w:val="none"/>
          <w:u w:val="none"/>
          <w:lang w:val="en-US" w:eastAsia="zh-CN" w:bidi="ar-SA"/>
        </w:rPr>
        <w:t>宜居宜业的品质活力持续提升。</w:t>
      </w:r>
      <w:r>
        <w:rPr>
          <w:rFonts w:hint="eastAsia" w:ascii="仿宋_GB2312" w:hAnsi="仿宋_GB2312" w:eastAsia="仿宋_GB2312" w:cs="仿宋_GB2312"/>
          <w:b w:val="0"/>
          <w:bCs w:val="0"/>
          <w:kern w:val="0"/>
          <w:sz w:val="32"/>
          <w:szCs w:val="32"/>
          <w:highlight w:val="none"/>
          <w:u w:val="none"/>
          <w:lang w:val="en-US" w:eastAsia="zh-CN" w:bidi="ar"/>
        </w:rPr>
        <w:t>生态环境质量指数与生态系统调节服务价值</w:t>
      </w:r>
      <w:r>
        <w:rPr>
          <w:rFonts w:hint="eastAsia" w:cs="仿宋_GB2312"/>
          <w:b w:val="0"/>
          <w:bCs w:val="0"/>
          <w:kern w:val="0"/>
          <w:sz w:val="32"/>
          <w:szCs w:val="32"/>
          <w:highlight w:val="none"/>
          <w:u w:val="none"/>
          <w:lang w:val="en-US" w:eastAsia="zh-CN" w:bidi="ar"/>
        </w:rPr>
        <w:t>（GEP-R）</w:t>
      </w:r>
      <w:r>
        <w:rPr>
          <w:rFonts w:hint="eastAsia" w:ascii="仿宋_GB2312" w:hAnsi="仿宋_GB2312" w:eastAsia="仿宋_GB2312" w:cs="仿宋_GB2312"/>
          <w:b w:val="0"/>
          <w:bCs w:val="0"/>
          <w:kern w:val="0"/>
          <w:sz w:val="32"/>
          <w:szCs w:val="32"/>
          <w:highlight w:val="none"/>
          <w:u w:val="none"/>
          <w:lang w:val="en-US" w:eastAsia="zh-CN" w:bidi="ar"/>
        </w:rPr>
        <w:t>稳居非生态涵养区第一。</w:t>
      </w:r>
      <w:r>
        <w:rPr>
          <w:rFonts w:hint="eastAsia" w:ascii="仿宋_GB2312" w:hAnsi="仿宋_GB2312" w:eastAsia="仿宋_GB2312" w:cs="仿宋_GB2312"/>
          <w:b w:val="0"/>
          <w:bCs w:val="0"/>
          <w:color w:val="auto"/>
          <w:kern w:val="2"/>
          <w:szCs w:val="32"/>
          <w:highlight w:val="none"/>
          <w:u w:val="none"/>
          <w:lang w:val="en-US" w:eastAsia="zh-CN" w:bidi="ar-SA"/>
        </w:rPr>
        <w:t>农村人居环境考核</w:t>
      </w:r>
      <w:r>
        <w:rPr>
          <w:rFonts w:hint="eastAsia" w:ascii="仿宋_GB2312" w:hAnsi="仿宋_GB2312" w:cs="仿宋_GB2312"/>
          <w:b w:val="0"/>
          <w:bCs w:val="0"/>
          <w:color w:val="auto"/>
          <w:kern w:val="2"/>
          <w:szCs w:val="32"/>
          <w:highlight w:val="none"/>
          <w:u w:val="none"/>
          <w:lang w:val="en-US" w:eastAsia="zh-CN" w:bidi="ar-SA"/>
        </w:rPr>
        <w:t>稳居</w:t>
      </w:r>
      <w:r>
        <w:rPr>
          <w:rFonts w:hint="eastAsia" w:ascii="仿宋_GB2312" w:hAnsi="仿宋_GB2312" w:eastAsia="仿宋_GB2312" w:cs="仿宋_GB2312"/>
          <w:b w:val="0"/>
          <w:bCs w:val="0"/>
          <w:color w:val="auto"/>
          <w:kern w:val="2"/>
          <w:szCs w:val="32"/>
          <w:highlight w:val="none"/>
          <w:u w:val="none"/>
          <w:lang w:val="en-US" w:eastAsia="zh-CN" w:bidi="ar-SA"/>
        </w:rPr>
        <w:t>全市第一。</w:t>
      </w:r>
      <w:r>
        <w:rPr>
          <w:rFonts w:hint="eastAsia" w:ascii="仿宋_GB2312" w:hAnsi="仿宋_GB2312" w:eastAsia="仿宋_GB2312" w:cs="仿宋_GB2312"/>
          <w:b w:val="0"/>
          <w:bCs w:val="0"/>
          <w:kern w:val="0"/>
          <w:sz w:val="32"/>
          <w:szCs w:val="32"/>
          <w:highlight w:val="none"/>
          <w:u w:val="none"/>
          <w:lang w:val="en-US" w:eastAsia="zh-CN" w:bidi="ar"/>
        </w:rPr>
        <w:t>森林覆盖率提升至32.9%</w:t>
      </w:r>
      <w:r>
        <w:rPr>
          <w:rFonts w:hint="eastAsia" w:cs="仿宋_GB2312"/>
          <w:b w:val="0"/>
          <w:bCs w:val="0"/>
          <w:kern w:val="0"/>
          <w:sz w:val="32"/>
          <w:szCs w:val="32"/>
          <w:highlight w:val="none"/>
          <w:u w:val="none"/>
          <w:lang w:val="en-US" w:eastAsia="zh-CN" w:bidi="ar"/>
        </w:rPr>
        <w:t>，</w:t>
      </w:r>
      <w:r>
        <w:rPr>
          <w:rFonts w:hint="eastAsia" w:ascii="仿宋_GB2312" w:hAnsi="仿宋_GB2312" w:eastAsia="仿宋_GB2312" w:cs="仿宋_GB2312"/>
          <w:b w:val="0"/>
          <w:bCs w:val="0"/>
          <w:kern w:val="0"/>
          <w:sz w:val="32"/>
          <w:szCs w:val="32"/>
          <w:highlight w:val="none"/>
          <w:u w:val="none"/>
          <w:lang w:val="en-US" w:eastAsia="zh-CN" w:bidi="ar"/>
        </w:rPr>
        <w:t>累计新增造林绿化4.3万亩，建成66万平方米小微绿地。</w:t>
      </w:r>
    </w:p>
    <w:p w14:paraId="36E18915">
      <w:pPr>
        <w:numPr>
          <w:ilvl w:val="-1"/>
          <w:numId w:val="0"/>
        </w:numPr>
        <w:ind w:firstLine="643"/>
        <w:rPr>
          <w:b w:val="0"/>
          <w:bCs w:val="0"/>
          <w:color w:val="auto"/>
          <w:highlight w:val="none"/>
          <w:u w:val="none"/>
        </w:rPr>
      </w:pPr>
      <w:r>
        <w:rPr>
          <w:rFonts w:hint="eastAsia"/>
          <w:b w:val="0"/>
          <w:bCs w:val="0"/>
          <w:color w:val="auto"/>
          <w:highlight w:val="none"/>
          <w:u w:val="none"/>
          <w:lang w:val="en-US" w:eastAsia="zh-CN"/>
        </w:rPr>
        <w:t>5.</w:t>
      </w:r>
      <w:r>
        <w:rPr>
          <w:b w:val="0"/>
          <w:bCs w:val="0"/>
          <w:color w:val="auto"/>
          <w:highlight w:val="none"/>
          <w:u w:val="none"/>
        </w:rPr>
        <w:t>生态环境安全得到</w:t>
      </w:r>
      <w:r>
        <w:rPr>
          <w:rFonts w:hint="eastAsia"/>
          <w:b w:val="0"/>
          <w:bCs w:val="0"/>
          <w:color w:val="auto"/>
          <w:highlight w:val="none"/>
          <w:u w:val="none"/>
          <w:lang w:val="en-US" w:eastAsia="zh-CN"/>
        </w:rPr>
        <w:t>有效</w:t>
      </w:r>
      <w:r>
        <w:rPr>
          <w:b w:val="0"/>
          <w:bCs w:val="0"/>
          <w:color w:val="auto"/>
          <w:highlight w:val="none"/>
          <w:u w:val="none"/>
        </w:rPr>
        <w:t>保障</w:t>
      </w:r>
    </w:p>
    <w:p w14:paraId="42CD45A5">
      <w:pPr>
        <w:ind w:firstLine="643"/>
        <w:rPr>
          <w:rFonts w:hint="eastAsia" w:ascii="仿宋_GB2312" w:hAnsi="仿宋_GB2312" w:cs="仿宋_GB2312"/>
          <w:b w:val="0"/>
          <w:bCs w:val="0"/>
          <w:color w:val="auto"/>
          <w:kern w:val="2"/>
          <w:szCs w:val="32"/>
          <w:highlight w:val="none"/>
          <w:u w:val="none"/>
          <w:lang w:val="en-US" w:eastAsia="zh-CN" w:bidi="ar-SA"/>
        </w:rPr>
      </w:pPr>
      <w:r>
        <w:rPr>
          <w:rFonts w:hint="eastAsia" w:ascii="仿宋_GB2312" w:hAnsi="仿宋_GB2312" w:cs="仿宋_GB2312"/>
          <w:b w:val="0"/>
          <w:bCs w:val="0"/>
          <w:color w:val="auto"/>
          <w:kern w:val="2"/>
          <w:szCs w:val="32"/>
          <w:highlight w:val="none"/>
          <w:u w:val="none"/>
          <w:lang w:val="en-US" w:eastAsia="zh-CN" w:bidi="ar-SA"/>
        </w:rPr>
        <w:t>危险废物环境风险防控能力持续增强。企业申报备案实现双百目标，收集转运效率显著提升。新污染物治理稳步推进，完成364家企业化学物质环境信息初筛。核与辐射安全监管效能稳步提升，高风险放射源单位专项检查实现全覆盖。</w:t>
      </w:r>
    </w:p>
    <w:p w14:paraId="66443351">
      <w:pPr>
        <w:ind w:firstLine="643"/>
        <w:rPr>
          <w:b w:val="0"/>
          <w:bCs w:val="0"/>
          <w:color w:val="auto"/>
          <w:highlight w:val="none"/>
          <w:u w:val="none"/>
          <w:shd w:val="clear" w:color="auto" w:fill="auto"/>
        </w:rPr>
      </w:pPr>
      <w:r>
        <w:rPr>
          <w:rFonts w:hint="eastAsia"/>
          <w:b w:val="0"/>
          <w:bCs w:val="0"/>
          <w:color w:val="auto"/>
          <w:highlight w:val="none"/>
          <w:u w:val="none"/>
          <w:shd w:val="clear" w:color="auto" w:fill="auto"/>
          <w:lang w:val="en-US" w:eastAsia="zh-CN"/>
        </w:rPr>
        <w:t>6.</w:t>
      </w:r>
      <w:r>
        <w:rPr>
          <w:b w:val="0"/>
          <w:bCs w:val="0"/>
          <w:color w:val="auto"/>
          <w:highlight w:val="none"/>
          <w:u w:val="none"/>
          <w:shd w:val="clear" w:color="auto" w:fill="auto"/>
        </w:rPr>
        <w:t>治理体</w:t>
      </w:r>
      <w:r>
        <w:rPr>
          <w:rFonts w:hint="eastAsia"/>
          <w:b w:val="0"/>
          <w:bCs w:val="0"/>
          <w:color w:val="auto"/>
          <w:highlight w:val="none"/>
          <w:u w:val="none"/>
          <w:shd w:val="clear" w:color="auto" w:fill="auto"/>
          <w:lang w:eastAsia="zh-CN"/>
        </w:rPr>
        <w:t>系和</w:t>
      </w:r>
      <w:r>
        <w:rPr>
          <w:rFonts w:hint="eastAsia"/>
          <w:b w:val="0"/>
          <w:bCs w:val="0"/>
          <w:color w:val="auto"/>
          <w:highlight w:val="none"/>
          <w:u w:val="none"/>
          <w:shd w:val="clear" w:color="auto" w:fill="auto"/>
          <w:lang w:val="en-US" w:eastAsia="zh-CN"/>
        </w:rPr>
        <w:t>治理</w:t>
      </w:r>
      <w:r>
        <w:rPr>
          <w:b w:val="0"/>
          <w:bCs w:val="0"/>
          <w:color w:val="auto"/>
          <w:highlight w:val="none"/>
          <w:u w:val="none"/>
          <w:shd w:val="clear" w:color="auto" w:fill="auto"/>
        </w:rPr>
        <w:t>能力逐步提升</w:t>
      </w:r>
    </w:p>
    <w:p w14:paraId="206FCDC7">
      <w:pPr>
        <w:pStyle w:val="7"/>
        <w:rPr>
          <w:rFonts w:hint="eastAsia" w:eastAsia="仿宋_GB2312"/>
          <w:b w:val="0"/>
          <w:bCs w:val="0"/>
          <w:color w:val="auto"/>
          <w:highlight w:val="none"/>
          <w:u w:val="none"/>
          <w:lang w:eastAsia="zh-CN"/>
        </w:rPr>
      </w:pPr>
      <w:r>
        <w:rPr>
          <w:rFonts w:hint="eastAsia" w:ascii="仿宋_GB2312" w:hAnsi="仿宋_GB2312" w:cs="仿宋_GB2312"/>
          <w:b w:val="0"/>
          <w:bCs w:val="0"/>
          <w:color w:val="auto"/>
          <w:highlight w:val="none"/>
          <w:u w:val="none"/>
          <w:shd w:val="clear" w:color="auto" w:fill="auto"/>
          <w:lang w:eastAsia="zh-CN"/>
        </w:rPr>
        <w:t>生态环境监管能力实现持续</w:t>
      </w:r>
      <w:r>
        <w:rPr>
          <w:rFonts w:hint="eastAsia" w:ascii="仿宋_GB2312" w:hAnsi="仿宋_GB2312" w:cs="仿宋_GB2312"/>
          <w:b w:val="0"/>
          <w:bCs w:val="0"/>
          <w:color w:val="auto"/>
          <w:highlight w:val="none"/>
          <w:u w:val="none"/>
          <w:shd w:val="clear" w:color="auto" w:fill="auto"/>
          <w:lang w:val="en-US" w:eastAsia="zh-CN"/>
        </w:rPr>
        <w:t>提升，构建起“天空地”多层次立体监测体系，整合600处空气质量监测微站，大气污染监管指挥平台问题线索排查全面实现市区两级互联互通。水质在线监测系统已全面接入水环境智慧管理平台，国控及市考断面自动监测实现全覆盖，“三监联动”机制高效运行，监管模式实现从“人防为主”到“技防优先”的转变。区域联防联控工作不断走深走实，与河北三河建立“顺三”协同机制；潮白河流域综合治理、跨区域联合执法常态化推进，生态环境共管共治取得显著突破。</w:t>
      </w:r>
    </w:p>
    <w:p w14:paraId="4C775E59">
      <w:pPr>
        <w:pStyle w:val="4"/>
        <w:rPr>
          <w:b w:val="0"/>
          <w:bCs w:val="0"/>
          <w:color w:val="auto"/>
          <w:u w:val="none"/>
        </w:rPr>
      </w:pPr>
      <w:bookmarkStart w:id="26" w:name="_Toc16254"/>
      <w:bookmarkStart w:id="27" w:name="_Toc25765"/>
      <w:bookmarkStart w:id="28" w:name="_Toc14631"/>
      <w:bookmarkStart w:id="29" w:name="_Toc19918"/>
      <w:bookmarkStart w:id="30" w:name="_Toc13296"/>
      <w:bookmarkStart w:id="31" w:name="_Toc4754"/>
      <w:bookmarkStart w:id="32" w:name="_Toc20395"/>
      <w:bookmarkStart w:id="33" w:name="_Toc4592"/>
      <w:bookmarkStart w:id="34" w:name="_Toc16989"/>
      <w:bookmarkStart w:id="35" w:name="_Toc28148"/>
      <w:r>
        <w:rPr>
          <w:rFonts w:hint="eastAsia"/>
          <w:b w:val="0"/>
          <w:bCs w:val="0"/>
          <w:color w:val="auto"/>
          <w:u w:val="none"/>
        </w:rPr>
        <w:t>（二）</w:t>
      </w:r>
      <w:r>
        <w:rPr>
          <w:b w:val="0"/>
          <w:bCs w:val="0"/>
          <w:color w:val="auto"/>
          <w:u w:val="none"/>
        </w:rPr>
        <w:t>“十五五”</w:t>
      </w:r>
      <w:r>
        <w:rPr>
          <w:rFonts w:hint="eastAsia"/>
          <w:b w:val="0"/>
          <w:bCs w:val="0"/>
          <w:color w:val="auto"/>
          <w:u w:val="none"/>
          <w:lang w:eastAsia="zh-CN"/>
        </w:rPr>
        <w:t>时期</w:t>
      </w:r>
      <w:r>
        <w:rPr>
          <w:rFonts w:hint="eastAsia"/>
          <w:b w:val="0"/>
          <w:bCs w:val="0"/>
          <w:color w:val="auto"/>
          <w:u w:val="none"/>
          <w:lang w:val="en-US" w:eastAsia="zh-CN"/>
        </w:rPr>
        <w:t>美丽顺义建设</w:t>
      </w:r>
      <w:r>
        <w:rPr>
          <w:b w:val="0"/>
          <w:bCs w:val="0"/>
          <w:color w:val="auto"/>
          <w:u w:val="none"/>
        </w:rPr>
        <w:t>面临的机遇与挑战</w:t>
      </w:r>
      <w:bookmarkEnd w:id="26"/>
      <w:bookmarkEnd w:id="27"/>
      <w:bookmarkEnd w:id="28"/>
      <w:bookmarkEnd w:id="29"/>
      <w:bookmarkEnd w:id="30"/>
      <w:bookmarkEnd w:id="31"/>
      <w:bookmarkEnd w:id="32"/>
      <w:bookmarkEnd w:id="33"/>
      <w:bookmarkEnd w:id="34"/>
      <w:bookmarkEnd w:id="35"/>
      <w:r>
        <w:rPr>
          <w:b w:val="0"/>
          <w:bCs w:val="0"/>
          <w:color w:val="auto"/>
          <w:u w:val="none"/>
        </w:rPr>
        <w:tab/>
      </w:r>
    </w:p>
    <w:p w14:paraId="51F0E19E">
      <w:pPr>
        <w:ind w:firstLine="643"/>
        <w:rPr>
          <w:rFonts w:ascii="Times New Roman" w:hAnsi="Times New Roman" w:cs="Times New Roman"/>
          <w:b w:val="0"/>
          <w:bCs w:val="0"/>
          <w:color w:val="auto"/>
          <w:highlight w:val="none"/>
          <w:u w:val="none"/>
        </w:rPr>
      </w:pPr>
      <w:r>
        <w:rPr>
          <w:rFonts w:hint="eastAsia" w:ascii="Times New Roman" w:hAnsi="Times New Roman" w:cs="Times New Roman"/>
          <w:b w:val="0"/>
          <w:bCs w:val="0"/>
          <w:color w:val="auto"/>
          <w:highlight w:val="none"/>
          <w:u w:val="none"/>
          <w:lang w:val="en-US" w:eastAsia="zh-CN"/>
        </w:rPr>
        <w:t>1.</w:t>
      </w:r>
      <w:r>
        <w:rPr>
          <w:rFonts w:ascii="Times New Roman" w:hAnsi="Times New Roman" w:cs="Times New Roman"/>
          <w:b w:val="0"/>
          <w:bCs w:val="0"/>
          <w:color w:val="auto"/>
          <w:highlight w:val="none"/>
          <w:u w:val="none"/>
        </w:rPr>
        <w:t>战略机遇</w:t>
      </w:r>
    </w:p>
    <w:p w14:paraId="1B9270BA">
      <w:pPr>
        <w:ind w:firstLine="643"/>
        <w:rPr>
          <w:rFonts w:hint="eastAsia" w:ascii="仿宋_GB2312" w:hAnsi="仿宋_GB2312" w:cs="仿宋_GB2312"/>
          <w:b w:val="0"/>
          <w:bCs w:val="0"/>
          <w:highlight w:val="none"/>
          <w:u w:val="none"/>
        </w:rPr>
      </w:pPr>
      <w:r>
        <w:rPr>
          <w:rFonts w:hint="eastAsia" w:ascii="仿宋_GB2312" w:hAnsi="仿宋_GB2312" w:cs="仿宋_GB2312"/>
          <w:b w:val="0"/>
          <w:bCs w:val="0"/>
          <w:highlight w:val="none"/>
          <w:u w:val="none"/>
        </w:rPr>
        <w:t>当前，生态文明与美丽中国建设为区域绿色高质量发展提供了根本遵循。党的二十大确立了人与自然和谐共生的现代化基调，全国生态环境保护大会进一步明确了美丽中国在强国建设、民族复兴中的战略定位。特别是《关于加快经济社会发展全面绿色转型的意见》及后续配套政策的出台，为“十五五”时期新质生产力培育与产业低碳转型明确了行动路径。面向“十五五”，美丽中国建设进入承上启下的关键期，美丽北京建设也在加速推进，为顺义融入国家战略、实现跨越发展提供了广阔空间。</w:t>
      </w:r>
    </w:p>
    <w:p w14:paraId="3A4AD4F8">
      <w:pPr>
        <w:ind w:firstLine="643"/>
        <w:rPr>
          <w:rFonts w:hint="eastAsia" w:ascii="仿宋_GB2312" w:hAnsi="仿宋_GB2312" w:cs="仿宋_GB2312"/>
          <w:b w:val="0"/>
          <w:bCs w:val="0"/>
          <w:highlight w:val="none"/>
          <w:u w:val="none"/>
        </w:rPr>
      </w:pPr>
      <w:r>
        <w:rPr>
          <w:rFonts w:hint="eastAsia" w:ascii="仿宋_GB2312" w:hAnsi="仿宋_GB2312" w:cs="仿宋_GB2312"/>
          <w:b w:val="0"/>
          <w:bCs w:val="0"/>
          <w:highlight w:val="none"/>
          <w:u w:val="none"/>
        </w:rPr>
        <w:t>作为“国门”所在地和首都重点平原新城，顺义在生态文明、产业升级与区域协同等多重战略叠加中迎来重大机遇：一是借力美丽中国建设与城市更新行动，推动降碳、减污、扩绿、增长，打造产城融合、宜居宜业的花园新城；二是依托新质生产力布局与“两区”政策，优化产业结构、营造国际化环境，吸引高端要素集聚；三是深化京津冀美丽中国先行区共建，拓展生态共治、绿色产业协作与能源优化等合作空间。面向“十五五”，顺义将坚持生态优先、绿色低碳发展，为建设美丽北京贡献顺义力量。</w:t>
      </w:r>
    </w:p>
    <w:p w14:paraId="13C796AD">
      <w:pPr>
        <w:numPr>
          <w:ilvl w:val="-1"/>
          <w:numId w:val="0"/>
        </w:numPr>
        <w:bidi w:val="0"/>
        <w:ind w:firstLine="640"/>
        <w:rPr>
          <w:b w:val="0"/>
          <w:bCs w:val="0"/>
          <w:color w:val="auto"/>
          <w:highlight w:val="none"/>
          <w:u w:val="none"/>
        </w:rPr>
      </w:pPr>
      <w:r>
        <w:rPr>
          <w:rFonts w:hint="eastAsia"/>
          <w:b w:val="0"/>
          <w:bCs w:val="0"/>
          <w:color w:val="auto"/>
          <w:highlight w:val="none"/>
          <w:u w:val="none"/>
          <w:lang w:val="en-US" w:eastAsia="zh-CN"/>
        </w:rPr>
        <w:t>2.</w:t>
      </w:r>
      <w:r>
        <w:rPr>
          <w:b w:val="0"/>
          <w:bCs w:val="0"/>
          <w:color w:val="auto"/>
          <w:highlight w:val="none"/>
          <w:u w:val="none"/>
        </w:rPr>
        <w:t>形势与挑战</w:t>
      </w:r>
    </w:p>
    <w:p w14:paraId="74611FA3">
      <w:pPr>
        <w:adjustRightInd w:val="0"/>
        <w:snapToGrid w:val="0"/>
        <w:spacing w:line="560" w:lineRule="exact"/>
        <w:ind w:firstLine="640" w:firstLineChars="200"/>
        <w:contextualSpacing/>
        <w:rPr>
          <w:b w:val="0"/>
          <w:bCs w:val="0"/>
          <w:color w:val="auto"/>
          <w:highlight w:val="none"/>
          <w:u w:val="none"/>
        </w:rPr>
      </w:pPr>
      <w:r>
        <w:rPr>
          <w:rFonts w:hint="eastAsia" w:ascii="仿宋_GB2312" w:hAnsi="仿宋_GB2312" w:eastAsia="仿宋_GB2312" w:cs="仿宋_GB2312"/>
          <w:b w:val="0"/>
          <w:bCs w:val="0"/>
          <w:color w:val="auto"/>
          <w:sz w:val="32"/>
          <w:szCs w:val="32"/>
          <w:highlight w:val="none"/>
          <w:u w:val="none"/>
          <w:shd w:val="clear" w:color="auto" w:fill="auto"/>
        </w:rPr>
        <w:t>绿色低碳转型发展面临新挑战。</w:t>
      </w:r>
      <w:r>
        <w:rPr>
          <w:rFonts w:hint="eastAsia"/>
          <w:b w:val="0"/>
          <w:bCs w:val="0"/>
          <w:color w:val="auto"/>
          <w:highlight w:val="none"/>
          <w:u w:val="none"/>
          <w:shd w:val="clear" w:color="auto" w:fill="auto"/>
        </w:rPr>
        <w:t>顺义区</w:t>
      </w:r>
      <w:r>
        <w:rPr>
          <w:rFonts w:hint="eastAsia"/>
          <w:b w:val="0"/>
          <w:bCs w:val="0"/>
          <w:color w:val="auto"/>
          <w:highlight w:val="none"/>
          <w:u w:val="none"/>
          <w:shd w:val="clear" w:color="auto" w:fill="auto"/>
          <w:lang w:val="en-US" w:eastAsia="zh-CN"/>
        </w:rPr>
        <w:t>正</w:t>
      </w:r>
      <w:r>
        <w:rPr>
          <w:rFonts w:hint="eastAsia"/>
          <w:b w:val="0"/>
          <w:bCs w:val="0"/>
          <w:color w:val="auto"/>
          <w:highlight w:val="none"/>
          <w:u w:val="none"/>
          <w:shd w:val="clear" w:color="auto" w:fill="auto"/>
        </w:rPr>
        <w:t>加快构建“</w:t>
      </w:r>
      <w:r>
        <w:rPr>
          <w:rFonts w:hint="eastAsia"/>
          <w:b w:val="0"/>
          <w:bCs w:val="0"/>
          <w:color w:val="auto"/>
          <w:highlight w:val="none"/>
          <w:u w:val="none"/>
          <w:shd w:val="clear" w:color="auto" w:fill="auto"/>
          <w:lang w:val="en-US" w:eastAsia="zh-CN"/>
        </w:rPr>
        <w:t>5+4</w:t>
      </w:r>
      <w:r>
        <w:rPr>
          <w:rFonts w:hint="eastAsia"/>
          <w:b w:val="0"/>
          <w:bCs w:val="0"/>
          <w:color w:val="auto"/>
          <w:highlight w:val="none"/>
          <w:u w:val="none"/>
          <w:shd w:val="clear" w:color="auto" w:fill="auto"/>
        </w:rPr>
        <w:t>”产业新格局，推进</w:t>
      </w:r>
      <w:r>
        <w:rPr>
          <w:b w:val="0"/>
          <w:bCs w:val="0"/>
          <w:color w:val="auto"/>
          <w:highlight w:val="none"/>
          <w:u w:val="none"/>
          <w:shd w:val="clear" w:color="auto" w:fill="auto"/>
        </w:rPr>
        <w:t>港</w:t>
      </w:r>
      <w:r>
        <w:rPr>
          <w:b w:val="0"/>
          <w:bCs w:val="0"/>
          <w:color w:val="auto"/>
          <w:highlight w:val="none"/>
          <w:u w:val="none"/>
        </w:rPr>
        <w:t>城融合的国际航空中心核心区</w:t>
      </w:r>
      <w:r>
        <w:rPr>
          <w:rFonts w:hint="eastAsia"/>
          <w:b w:val="0"/>
          <w:bCs w:val="0"/>
          <w:color w:val="auto"/>
          <w:highlight w:val="none"/>
          <w:u w:val="none"/>
        </w:rPr>
        <w:t>、</w:t>
      </w:r>
      <w:r>
        <w:rPr>
          <w:b w:val="0"/>
          <w:bCs w:val="0"/>
          <w:color w:val="auto"/>
          <w:highlight w:val="none"/>
          <w:u w:val="none"/>
        </w:rPr>
        <w:t>创新引领的区域经济提升发展先行区</w:t>
      </w:r>
      <w:r>
        <w:rPr>
          <w:rFonts w:hint="eastAsia"/>
          <w:b w:val="0"/>
          <w:bCs w:val="0"/>
          <w:color w:val="auto"/>
          <w:highlight w:val="none"/>
          <w:u w:val="none"/>
        </w:rPr>
        <w:t>、</w:t>
      </w:r>
      <w:r>
        <w:rPr>
          <w:b w:val="0"/>
          <w:bCs w:val="0"/>
          <w:color w:val="auto"/>
          <w:highlight w:val="none"/>
          <w:u w:val="none"/>
        </w:rPr>
        <w:t>城乡协调的首都和谐宜居示范区</w:t>
      </w:r>
      <w:r>
        <w:rPr>
          <w:rFonts w:hint="eastAsia"/>
          <w:b w:val="0"/>
          <w:bCs w:val="0"/>
          <w:color w:val="auto"/>
          <w:highlight w:val="none"/>
          <w:u w:val="none"/>
        </w:rPr>
        <w:t>建设，推动民生福祉显著提升，</w:t>
      </w:r>
      <w:r>
        <w:rPr>
          <w:b w:val="0"/>
          <w:bCs w:val="0"/>
          <w:color w:val="auto"/>
          <w:highlight w:val="none"/>
          <w:u w:val="none"/>
        </w:rPr>
        <w:t>能源</w:t>
      </w:r>
      <w:r>
        <w:rPr>
          <w:rFonts w:hint="eastAsia"/>
          <w:b w:val="0"/>
          <w:bCs w:val="0"/>
          <w:color w:val="auto"/>
          <w:highlight w:val="none"/>
          <w:u w:val="none"/>
        </w:rPr>
        <w:t>资源</w:t>
      </w:r>
      <w:r>
        <w:rPr>
          <w:b w:val="0"/>
          <w:bCs w:val="0"/>
          <w:color w:val="auto"/>
          <w:highlight w:val="none"/>
          <w:u w:val="none"/>
        </w:rPr>
        <w:t>消费</w:t>
      </w:r>
      <w:r>
        <w:rPr>
          <w:rFonts w:hint="eastAsia"/>
          <w:b w:val="0"/>
          <w:bCs w:val="0"/>
          <w:color w:val="auto"/>
          <w:highlight w:val="none"/>
          <w:u w:val="none"/>
        </w:rPr>
        <w:t>量</w:t>
      </w:r>
      <w:r>
        <w:rPr>
          <w:b w:val="0"/>
          <w:bCs w:val="0"/>
          <w:color w:val="auto"/>
          <w:highlight w:val="none"/>
          <w:u w:val="none"/>
        </w:rPr>
        <w:t>和碳排放量还将在</w:t>
      </w:r>
      <w:r>
        <w:rPr>
          <w:rFonts w:hint="eastAsia"/>
          <w:b w:val="0"/>
          <w:bCs w:val="0"/>
          <w:color w:val="auto"/>
          <w:highlight w:val="none"/>
          <w:u w:val="none"/>
        </w:rPr>
        <w:t>未来</w:t>
      </w:r>
      <w:r>
        <w:rPr>
          <w:b w:val="0"/>
          <w:bCs w:val="0"/>
          <w:color w:val="auto"/>
          <w:highlight w:val="none"/>
          <w:u w:val="none"/>
        </w:rPr>
        <w:t>一段时间内保持增长态势。</w:t>
      </w:r>
    </w:p>
    <w:p w14:paraId="6B862371">
      <w:pPr>
        <w:adjustRightInd w:val="0"/>
        <w:snapToGrid w:val="0"/>
        <w:spacing w:line="560" w:lineRule="exact"/>
        <w:ind w:firstLine="640" w:firstLineChars="200"/>
        <w:contextualSpacing/>
        <w:rPr>
          <w:rFonts w:hint="eastAsia" w:ascii="仿宋_GB2312" w:hAnsi="仿宋_GB2312" w:cs="仿宋_GB2312"/>
          <w:b w:val="0"/>
          <w:bCs w:val="0"/>
          <w:color w:val="auto"/>
          <w:highlight w:val="none"/>
          <w:u w:val="none"/>
        </w:rPr>
      </w:pPr>
      <w:r>
        <w:rPr>
          <w:rFonts w:hint="eastAsia" w:cs="仿宋_GB2312"/>
          <w:b w:val="0"/>
          <w:bCs w:val="0"/>
          <w:color w:val="auto"/>
          <w:highlight w:val="none"/>
          <w:u w:val="none"/>
          <w:lang w:eastAsia="zh-CN"/>
        </w:rPr>
        <w:t>生态环境系统治理能力仍需持续提升</w:t>
      </w:r>
      <w:r>
        <w:rPr>
          <w:rFonts w:hint="eastAsia" w:ascii="仿宋_GB2312" w:hAnsi="仿宋_GB2312" w:cs="仿宋_GB2312"/>
          <w:b w:val="0"/>
          <w:bCs w:val="0"/>
          <w:color w:val="auto"/>
          <w:highlight w:val="none"/>
          <w:u w:val="none"/>
        </w:rPr>
        <w:t>。空气质量方面，</w:t>
      </w:r>
      <w:r>
        <w:rPr>
          <w:rFonts w:hint="eastAsia" w:cs="仿宋_GB2312"/>
          <w:b w:val="0"/>
          <w:bCs w:val="0"/>
          <w:color w:val="auto"/>
          <w:highlight w:val="none"/>
          <w:u w:val="none"/>
          <w:lang w:eastAsia="zh-CN"/>
        </w:rPr>
        <w:t>需</w:t>
      </w:r>
      <w:r>
        <w:rPr>
          <w:rFonts w:hint="eastAsia" w:ascii="仿宋_GB2312" w:hAnsi="仿宋_GB2312" w:cs="仿宋_GB2312"/>
          <w:b w:val="0"/>
          <w:bCs w:val="0"/>
          <w:color w:val="auto"/>
          <w:highlight w:val="none"/>
          <w:u w:val="none"/>
        </w:rPr>
        <w:t>提升PM</w:t>
      </w:r>
      <w:r>
        <w:rPr>
          <w:rFonts w:hint="eastAsia" w:ascii="仿宋_GB2312" w:hAnsi="仿宋_GB2312" w:cs="仿宋_GB2312"/>
          <w:b w:val="0"/>
          <w:bCs w:val="0"/>
          <w:color w:val="auto"/>
          <w:highlight w:val="none"/>
          <w:u w:val="none"/>
          <w:vertAlign w:val="subscript"/>
        </w:rPr>
        <w:t>2.5</w:t>
      </w:r>
      <w:r>
        <w:rPr>
          <w:rFonts w:hint="eastAsia" w:ascii="仿宋_GB2312" w:hAnsi="仿宋_GB2312" w:cs="仿宋_GB2312"/>
          <w:b w:val="0"/>
          <w:bCs w:val="0"/>
          <w:color w:val="auto"/>
          <w:highlight w:val="none"/>
          <w:u w:val="none"/>
        </w:rPr>
        <w:t>与臭氧（O</w:t>
      </w:r>
      <w:r>
        <w:rPr>
          <w:rFonts w:hint="eastAsia" w:ascii="仿宋_GB2312" w:hAnsi="仿宋_GB2312" w:cs="仿宋_GB2312"/>
          <w:b w:val="0"/>
          <w:bCs w:val="0"/>
          <w:color w:val="auto"/>
          <w:highlight w:val="none"/>
          <w:u w:val="none"/>
          <w:vertAlign w:val="subscript"/>
        </w:rPr>
        <w:t>3</w:t>
      </w:r>
      <w:r>
        <w:rPr>
          <w:rFonts w:hint="eastAsia" w:ascii="仿宋_GB2312" w:hAnsi="仿宋_GB2312" w:cs="仿宋_GB2312"/>
          <w:b w:val="0"/>
          <w:bCs w:val="0"/>
          <w:color w:val="auto"/>
          <w:highlight w:val="none"/>
          <w:u w:val="none"/>
        </w:rPr>
        <w:t>）协同控制能力</w:t>
      </w:r>
      <w:r>
        <w:rPr>
          <w:rFonts w:hint="eastAsia" w:cs="仿宋_GB2312"/>
          <w:b w:val="0"/>
          <w:bCs w:val="0"/>
          <w:color w:val="auto"/>
          <w:highlight w:val="none"/>
          <w:u w:val="none"/>
          <w:lang w:eastAsia="zh-CN"/>
        </w:rPr>
        <w:t>，持续</w:t>
      </w:r>
      <w:r>
        <w:rPr>
          <w:rFonts w:hint="eastAsia" w:ascii="仿宋_GB2312" w:hAnsi="仿宋_GB2312" w:cs="仿宋_GB2312"/>
          <w:b w:val="0"/>
          <w:bCs w:val="0"/>
          <w:color w:val="auto"/>
          <w:highlight w:val="none"/>
          <w:u w:val="none"/>
        </w:rPr>
        <w:t>强化挥发性有机物治理。水生态环境方面，</w:t>
      </w:r>
      <w:r>
        <w:rPr>
          <w:rFonts w:hint="eastAsia" w:cs="仿宋_GB2312"/>
          <w:b w:val="0"/>
          <w:bCs w:val="0"/>
          <w:color w:val="auto"/>
          <w:highlight w:val="none"/>
          <w:u w:val="none"/>
          <w:lang w:eastAsia="zh-CN"/>
        </w:rPr>
        <w:t>需</w:t>
      </w:r>
      <w:r>
        <w:rPr>
          <w:rFonts w:hint="eastAsia" w:ascii="仿宋_GB2312" w:hAnsi="仿宋_GB2312" w:cs="仿宋_GB2312"/>
          <w:b w:val="0"/>
          <w:bCs w:val="0"/>
          <w:color w:val="auto"/>
          <w:highlight w:val="none"/>
          <w:u w:val="none"/>
        </w:rPr>
        <w:t>稳步提升生态补水保障水平，增强河湖自净能力，增强水生态系统服务功能。噪声治理方面，</w:t>
      </w:r>
      <w:r>
        <w:rPr>
          <w:rFonts w:hint="eastAsia" w:cs="仿宋_GB2312"/>
          <w:b w:val="0"/>
          <w:bCs w:val="0"/>
          <w:color w:val="auto"/>
          <w:highlight w:val="none"/>
          <w:u w:val="none"/>
          <w:lang w:eastAsia="zh-CN"/>
        </w:rPr>
        <w:t>需</w:t>
      </w:r>
      <w:r>
        <w:rPr>
          <w:rFonts w:hint="eastAsia" w:ascii="仿宋_GB2312" w:hAnsi="仿宋_GB2312" w:cs="仿宋_GB2312"/>
          <w:b w:val="0"/>
          <w:bCs w:val="0"/>
          <w:color w:val="auto"/>
          <w:highlight w:val="none"/>
          <w:u w:val="none"/>
        </w:rPr>
        <w:t>强化重点管控区夜间噪声达标管理。生态系统建设方面，</w:t>
      </w:r>
      <w:r>
        <w:rPr>
          <w:rFonts w:hint="eastAsia" w:cs="仿宋_GB2312"/>
          <w:b w:val="0"/>
          <w:bCs w:val="0"/>
          <w:color w:val="auto"/>
          <w:highlight w:val="none"/>
          <w:u w:val="none"/>
          <w:lang w:eastAsia="zh-CN"/>
        </w:rPr>
        <w:t>需</w:t>
      </w:r>
      <w:r>
        <w:rPr>
          <w:rFonts w:hint="eastAsia" w:ascii="仿宋_GB2312" w:hAnsi="仿宋_GB2312" w:cs="仿宋_GB2312"/>
          <w:b w:val="0"/>
          <w:bCs w:val="0"/>
          <w:color w:val="auto"/>
          <w:highlight w:val="none"/>
          <w:u w:val="none"/>
        </w:rPr>
        <w:t>着力提升</w:t>
      </w:r>
      <w:r>
        <w:rPr>
          <w:rFonts w:hint="eastAsia" w:cs="仿宋_GB2312"/>
          <w:b w:val="0"/>
          <w:bCs w:val="0"/>
          <w:color w:val="auto"/>
          <w:highlight w:val="none"/>
          <w:u w:val="none"/>
          <w:lang w:eastAsia="zh-CN"/>
        </w:rPr>
        <w:t>生物</w:t>
      </w:r>
      <w:r>
        <w:rPr>
          <w:rFonts w:hint="eastAsia" w:ascii="仿宋_GB2312" w:hAnsi="仿宋_GB2312" w:cs="仿宋_GB2312"/>
          <w:b w:val="0"/>
          <w:bCs w:val="0"/>
          <w:color w:val="auto"/>
          <w:highlight w:val="none"/>
          <w:u w:val="none"/>
        </w:rPr>
        <w:t>多样性、稳定性与持续性，增强</w:t>
      </w:r>
      <w:r>
        <w:rPr>
          <w:rFonts w:hint="eastAsia" w:ascii="仿宋_GB2312" w:hAnsi="仿宋_GB2312" w:cs="仿宋_GB2312"/>
          <w:b w:val="0"/>
          <w:bCs w:val="0"/>
          <w:color w:val="auto"/>
          <w:highlight w:val="none"/>
          <w:u w:val="none"/>
          <w:lang w:val="en-US" w:eastAsia="zh-CN"/>
        </w:rPr>
        <w:t>生态系统调节服务价值</w:t>
      </w:r>
      <w:r>
        <w:rPr>
          <w:rFonts w:hint="eastAsia" w:ascii="仿宋_GB2312" w:hAnsi="仿宋_GB2312" w:cs="仿宋_GB2312"/>
          <w:b w:val="0"/>
          <w:bCs w:val="0"/>
          <w:color w:val="auto"/>
          <w:highlight w:val="none"/>
          <w:u w:val="none"/>
        </w:rPr>
        <w:t>（GEP-R）增长动能。</w:t>
      </w:r>
    </w:p>
    <w:p w14:paraId="046769FA">
      <w:pPr>
        <w:pStyle w:val="3"/>
        <w:rPr>
          <w:rFonts w:hint="eastAsia" w:ascii="黑体" w:hAnsi="黑体" w:eastAsia="黑体" w:cs="黑体"/>
          <w:b w:val="0"/>
          <w:bCs w:val="0"/>
          <w:color w:val="auto"/>
          <w:highlight w:val="none"/>
          <w:u w:val="none"/>
        </w:rPr>
      </w:pPr>
      <w:bookmarkStart w:id="36" w:name="_Toc10474"/>
      <w:bookmarkStart w:id="37" w:name="_Toc24326"/>
      <w:bookmarkStart w:id="38" w:name="_Toc22374"/>
      <w:bookmarkStart w:id="39" w:name="_Toc6547"/>
      <w:bookmarkStart w:id="40" w:name="_Toc28016"/>
      <w:bookmarkStart w:id="41" w:name="_Toc20182"/>
      <w:bookmarkStart w:id="42" w:name="_Toc2637"/>
      <w:bookmarkStart w:id="43" w:name="_Toc18239"/>
      <w:bookmarkStart w:id="44" w:name="_Toc28567"/>
      <w:bookmarkStart w:id="45" w:name="_Toc26590"/>
      <w:r>
        <w:rPr>
          <w:rFonts w:hint="eastAsia" w:ascii="黑体" w:hAnsi="黑体" w:eastAsia="黑体" w:cs="黑体"/>
          <w:b w:val="0"/>
          <w:bCs w:val="0"/>
          <w:color w:val="auto"/>
          <w:highlight w:val="none"/>
          <w:u w:val="none"/>
        </w:rPr>
        <w:t>二、规划指导思想和目标</w:t>
      </w:r>
      <w:bookmarkEnd w:id="36"/>
      <w:bookmarkEnd w:id="37"/>
      <w:bookmarkEnd w:id="38"/>
      <w:bookmarkEnd w:id="39"/>
      <w:bookmarkEnd w:id="40"/>
      <w:bookmarkEnd w:id="41"/>
      <w:bookmarkEnd w:id="42"/>
      <w:bookmarkEnd w:id="43"/>
      <w:bookmarkEnd w:id="44"/>
      <w:bookmarkEnd w:id="45"/>
      <w:r>
        <w:rPr>
          <w:rFonts w:hint="eastAsia" w:ascii="黑体" w:hAnsi="黑体" w:eastAsia="黑体" w:cs="黑体"/>
          <w:b w:val="0"/>
          <w:bCs w:val="0"/>
          <w:color w:val="auto"/>
          <w:highlight w:val="none"/>
          <w:u w:val="none"/>
        </w:rPr>
        <w:tab/>
      </w:r>
    </w:p>
    <w:p w14:paraId="57735616">
      <w:pPr>
        <w:pStyle w:val="4"/>
        <w:rPr>
          <w:b w:val="0"/>
          <w:bCs w:val="0"/>
          <w:color w:val="auto"/>
          <w:u w:val="none"/>
        </w:rPr>
      </w:pPr>
      <w:bookmarkStart w:id="46" w:name="_Toc28898"/>
      <w:bookmarkStart w:id="47" w:name="_Toc18251"/>
      <w:bookmarkStart w:id="48" w:name="_Toc3042"/>
      <w:bookmarkStart w:id="49" w:name="_Toc1370"/>
      <w:bookmarkStart w:id="50" w:name="_Toc31825"/>
      <w:bookmarkStart w:id="51" w:name="_Toc20608"/>
      <w:bookmarkStart w:id="52" w:name="_Toc27564"/>
      <w:bookmarkStart w:id="53" w:name="_Toc30630"/>
      <w:bookmarkStart w:id="54" w:name="_Toc32402"/>
      <w:bookmarkStart w:id="55" w:name="_Toc28051"/>
      <w:r>
        <w:rPr>
          <w:rFonts w:hint="eastAsia"/>
          <w:b w:val="0"/>
          <w:bCs w:val="0"/>
          <w:color w:val="auto"/>
          <w:u w:val="none"/>
        </w:rPr>
        <w:t>（一）</w:t>
      </w:r>
      <w:r>
        <w:rPr>
          <w:b w:val="0"/>
          <w:bCs w:val="0"/>
          <w:color w:val="auto"/>
          <w:u w:val="none"/>
        </w:rPr>
        <w:t>指导思想</w:t>
      </w:r>
      <w:bookmarkEnd w:id="46"/>
      <w:bookmarkEnd w:id="47"/>
      <w:bookmarkEnd w:id="48"/>
      <w:bookmarkEnd w:id="49"/>
      <w:bookmarkEnd w:id="50"/>
      <w:bookmarkEnd w:id="51"/>
      <w:bookmarkEnd w:id="52"/>
      <w:bookmarkEnd w:id="53"/>
      <w:bookmarkEnd w:id="54"/>
      <w:bookmarkEnd w:id="55"/>
    </w:p>
    <w:p w14:paraId="03CD19A9">
      <w:pPr>
        <w:adjustRightInd w:val="0"/>
        <w:snapToGrid w:val="0"/>
        <w:spacing w:line="560" w:lineRule="exact"/>
        <w:ind w:firstLine="640" w:firstLineChars="200"/>
        <w:contextualSpacing/>
        <w:rPr>
          <w:b w:val="0"/>
          <w:bCs w:val="0"/>
          <w:color w:val="auto"/>
          <w:highlight w:val="none"/>
          <w:u w:val="none"/>
        </w:rPr>
      </w:pPr>
      <w:r>
        <w:rPr>
          <w:rFonts w:hint="eastAsia" w:ascii="仿宋_GB2312" w:hAnsi="仿宋_GB2312" w:eastAsia="仿宋_GB2312" w:cs="仿宋_GB2312"/>
          <w:b w:val="0"/>
          <w:bCs w:val="0"/>
          <w:color w:val="auto"/>
          <w:sz w:val="32"/>
          <w:szCs w:val="32"/>
          <w:highlight w:val="none"/>
          <w:u w:val="none"/>
          <w:lang w:eastAsia="zh-CN"/>
        </w:rPr>
        <w:t>坚持以习近平新时代中国特色社会主义思想为指导，深入贯彻习近平生态文明思想，完整准确全面贯彻新发展理念，牢固树立绿水青山就是金山银山理念，统筹高质量发展与高水平保护，协同推进降碳、减污、扩绿、增长，夯实生态文明本底，加快构建人与自然和谐共生的平原新城新格局，为建设美丽北京贡献顺义力量。</w:t>
      </w:r>
    </w:p>
    <w:p w14:paraId="391FC699">
      <w:pPr>
        <w:pStyle w:val="4"/>
        <w:rPr>
          <w:b w:val="0"/>
          <w:bCs w:val="0"/>
          <w:color w:val="auto"/>
          <w:u w:val="none"/>
        </w:rPr>
      </w:pPr>
      <w:bookmarkStart w:id="56" w:name="_Toc15459"/>
      <w:bookmarkStart w:id="57" w:name="_Toc7814"/>
      <w:bookmarkStart w:id="58" w:name="_Toc9722"/>
      <w:bookmarkStart w:id="59" w:name="_Toc442"/>
      <w:bookmarkStart w:id="60" w:name="_Toc18828"/>
      <w:bookmarkStart w:id="61" w:name="_Toc16774"/>
      <w:bookmarkStart w:id="62" w:name="_Toc19570"/>
      <w:bookmarkStart w:id="63" w:name="_Toc18083"/>
      <w:bookmarkStart w:id="64" w:name="_Toc5326"/>
      <w:bookmarkStart w:id="65" w:name="_Toc26617"/>
      <w:r>
        <w:rPr>
          <w:rFonts w:hint="eastAsia"/>
          <w:b w:val="0"/>
          <w:bCs w:val="0"/>
          <w:color w:val="auto"/>
          <w:u w:val="none"/>
        </w:rPr>
        <w:t>（二）</w:t>
      </w:r>
      <w:r>
        <w:rPr>
          <w:b w:val="0"/>
          <w:bCs w:val="0"/>
          <w:color w:val="auto"/>
          <w:u w:val="none"/>
        </w:rPr>
        <w:t>规划原则</w:t>
      </w:r>
      <w:bookmarkEnd w:id="56"/>
      <w:bookmarkEnd w:id="57"/>
      <w:bookmarkEnd w:id="58"/>
      <w:bookmarkEnd w:id="59"/>
      <w:bookmarkEnd w:id="60"/>
      <w:bookmarkEnd w:id="61"/>
      <w:bookmarkEnd w:id="62"/>
      <w:bookmarkEnd w:id="63"/>
      <w:bookmarkEnd w:id="64"/>
      <w:bookmarkEnd w:id="65"/>
    </w:p>
    <w:p w14:paraId="5A691AE5">
      <w:pPr>
        <w:ind w:firstLine="643"/>
        <w:rPr>
          <w:rFonts w:ascii="Times New Roman" w:hAnsi="Times New Roman" w:cs="Times New Roman"/>
          <w:b w:val="0"/>
          <w:bCs w:val="0"/>
          <w:color w:val="auto"/>
          <w:highlight w:val="none"/>
          <w:u w:val="none"/>
        </w:rPr>
      </w:pPr>
      <w:r>
        <w:rPr>
          <w:rFonts w:ascii="Times New Roman" w:hAnsi="Times New Roman" w:cs="Times New Roman"/>
          <w:b w:val="0"/>
          <w:bCs w:val="0"/>
          <w:color w:val="auto"/>
          <w:highlight w:val="none"/>
          <w:u w:val="none"/>
        </w:rPr>
        <w:t>生态优先</w:t>
      </w:r>
      <w:r>
        <w:rPr>
          <w:rFonts w:hint="eastAsia" w:ascii="Times New Roman" w:hAnsi="Times New Roman" w:cs="Times New Roman"/>
          <w:b w:val="0"/>
          <w:bCs w:val="0"/>
          <w:color w:val="auto"/>
          <w:highlight w:val="none"/>
          <w:u w:val="none"/>
          <w:lang w:eastAsia="zh-CN"/>
        </w:rPr>
        <w:t>，</w:t>
      </w:r>
      <w:r>
        <w:rPr>
          <w:rFonts w:ascii="Times New Roman" w:hAnsi="Times New Roman" w:cs="Times New Roman"/>
          <w:b w:val="0"/>
          <w:bCs w:val="0"/>
          <w:color w:val="auto"/>
          <w:highlight w:val="none"/>
          <w:u w:val="none"/>
        </w:rPr>
        <w:t>绿色发展。坚持尊重自然、顺应自然、保护自然，聚焦美丽中国</w:t>
      </w:r>
      <w:r>
        <w:rPr>
          <w:rFonts w:hint="eastAsia" w:ascii="Times New Roman" w:hAnsi="Times New Roman" w:cs="Times New Roman"/>
          <w:b w:val="0"/>
          <w:bCs w:val="0"/>
          <w:color w:val="auto"/>
          <w:highlight w:val="none"/>
          <w:u w:val="none"/>
          <w:lang w:eastAsia="zh-CN"/>
        </w:rPr>
        <w:t>、</w:t>
      </w:r>
      <w:r>
        <w:rPr>
          <w:rFonts w:hint="eastAsia" w:ascii="Times New Roman" w:hAnsi="Times New Roman" w:cs="Times New Roman"/>
          <w:b w:val="0"/>
          <w:bCs w:val="0"/>
          <w:color w:val="auto"/>
          <w:highlight w:val="none"/>
          <w:u w:val="none"/>
          <w:lang w:val="en-US" w:eastAsia="zh-CN"/>
        </w:rPr>
        <w:t>美丽北京</w:t>
      </w:r>
      <w:r>
        <w:rPr>
          <w:rFonts w:ascii="Times New Roman" w:hAnsi="Times New Roman" w:cs="Times New Roman"/>
          <w:b w:val="0"/>
          <w:bCs w:val="0"/>
          <w:color w:val="auto"/>
          <w:highlight w:val="none"/>
          <w:u w:val="none"/>
        </w:rPr>
        <w:t>建设，加快经济社会发展全面绿色转型，推进生态优先、节约集约、绿色低碳发展，促进人与自然和谐共生。</w:t>
      </w:r>
    </w:p>
    <w:p w14:paraId="47CF4595">
      <w:pPr>
        <w:ind w:firstLine="643"/>
        <w:rPr>
          <w:rFonts w:hint="eastAsia" w:ascii="Times New Roman" w:hAnsi="Times New Roman" w:cs="Times New Roman"/>
          <w:b w:val="0"/>
          <w:bCs w:val="0"/>
          <w:color w:val="auto"/>
          <w:highlight w:val="none"/>
          <w:u w:val="none"/>
          <w:shd w:val="clear" w:color="auto" w:fill="auto"/>
        </w:rPr>
      </w:pPr>
      <w:r>
        <w:rPr>
          <w:rFonts w:hint="eastAsia" w:ascii="Times New Roman" w:hAnsi="Times New Roman" w:cs="Times New Roman"/>
          <w:b w:val="0"/>
          <w:bCs w:val="0"/>
          <w:color w:val="auto"/>
          <w:highlight w:val="none"/>
          <w:u w:val="none"/>
          <w:shd w:val="clear" w:color="auto" w:fill="auto"/>
          <w:lang w:val="en-US" w:eastAsia="zh-CN"/>
        </w:rPr>
        <w:t>系统治理，严守底线</w:t>
      </w:r>
      <w:r>
        <w:rPr>
          <w:rFonts w:ascii="Times New Roman" w:hAnsi="Times New Roman" w:cs="Times New Roman"/>
          <w:b w:val="0"/>
          <w:bCs w:val="0"/>
          <w:color w:val="auto"/>
          <w:highlight w:val="none"/>
          <w:u w:val="none"/>
          <w:shd w:val="clear" w:color="auto" w:fill="auto"/>
        </w:rPr>
        <w:t>。</w:t>
      </w:r>
      <w:r>
        <w:rPr>
          <w:rFonts w:hint="eastAsia" w:ascii="Times New Roman" w:hAnsi="Times New Roman" w:cs="Times New Roman"/>
          <w:b w:val="0"/>
          <w:bCs w:val="0"/>
          <w:color w:val="auto"/>
          <w:highlight w:val="none"/>
          <w:u w:val="none"/>
          <w:shd w:val="clear" w:color="auto" w:fill="auto"/>
        </w:rPr>
        <w:t>坚持系统观念，</w:t>
      </w:r>
      <w:r>
        <w:rPr>
          <w:rFonts w:hint="eastAsia" w:ascii="Times New Roman" w:hAnsi="Times New Roman" w:cs="Times New Roman"/>
          <w:b w:val="0"/>
          <w:bCs w:val="0"/>
          <w:color w:val="auto"/>
          <w:highlight w:val="none"/>
          <w:u w:val="none"/>
          <w:shd w:val="clear" w:color="auto" w:fill="auto"/>
          <w:lang w:eastAsia="zh-CN"/>
        </w:rPr>
        <w:t>统筹推进</w:t>
      </w:r>
      <w:r>
        <w:rPr>
          <w:rFonts w:hint="eastAsia" w:ascii="Times New Roman" w:hAnsi="Times New Roman" w:cs="Times New Roman"/>
          <w:b w:val="0"/>
          <w:bCs w:val="0"/>
          <w:color w:val="auto"/>
          <w:highlight w:val="none"/>
          <w:u w:val="none"/>
          <w:shd w:val="clear" w:color="auto" w:fill="auto"/>
        </w:rPr>
        <w:t>山水林田湖草沙一体化保护</w:t>
      </w:r>
      <w:r>
        <w:rPr>
          <w:rFonts w:hint="eastAsia" w:ascii="Times New Roman" w:hAnsi="Times New Roman" w:cs="Times New Roman"/>
          <w:b w:val="0"/>
          <w:bCs w:val="0"/>
          <w:color w:val="auto"/>
          <w:highlight w:val="none"/>
          <w:u w:val="none"/>
          <w:shd w:val="clear" w:color="auto" w:fill="auto"/>
          <w:lang w:eastAsia="zh-CN"/>
        </w:rPr>
        <w:t>与</w:t>
      </w:r>
      <w:r>
        <w:rPr>
          <w:rFonts w:hint="eastAsia" w:ascii="Times New Roman" w:hAnsi="Times New Roman" w:cs="Times New Roman"/>
          <w:b w:val="0"/>
          <w:bCs w:val="0"/>
          <w:color w:val="auto"/>
          <w:highlight w:val="none"/>
          <w:u w:val="none"/>
          <w:shd w:val="clear" w:color="auto" w:fill="auto"/>
        </w:rPr>
        <w:t>系统治理</w:t>
      </w:r>
      <w:r>
        <w:rPr>
          <w:rFonts w:hint="eastAsia" w:ascii="Times New Roman" w:hAnsi="Times New Roman" w:cs="Times New Roman"/>
          <w:b w:val="0"/>
          <w:bCs w:val="0"/>
          <w:color w:val="auto"/>
          <w:highlight w:val="none"/>
          <w:u w:val="none"/>
          <w:shd w:val="clear" w:color="auto" w:fill="auto"/>
          <w:lang w:eastAsia="zh-CN"/>
        </w:rPr>
        <w:t>，</w:t>
      </w:r>
      <w:r>
        <w:rPr>
          <w:rFonts w:ascii="Times New Roman" w:hAnsi="Times New Roman" w:cs="Times New Roman"/>
          <w:b w:val="0"/>
          <w:bCs w:val="0"/>
          <w:color w:val="auto"/>
          <w:highlight w:val="none"/>
          <w:u w:val="none"/>
        </w:rPr>
        <w:t>全面提升生态系统多样性、稳定性、持续性</w:t>
      </w:r>
      <w:r>
        <w:rPr>
          <w:rFonts w:hint="eastAsia" w:ascii="Times New Roman" w:hAnsi="Times New Roman" w:cs="Times New Roman"/>
          <w:b w:val="0"/>
          <w:bCs w:val="0"/>
          <w:color w:val="auto"/>
          <w:highlight w:val="none"/>
          <w:u w:val="none"/>
          <w:shd w:val="clear" w:color="auto" w:fill="auto"/>
          <w:lang w:eastAsia="zh-CN"/>
        </w:rPr>
        <w:t>。</w:t>
      </w:r>
      <w:r>
        <w:rPr>
          <w:rFonts w:hint="eastAsia" w:ascii="仿宋_GB2312" w:hAnsiTheme="minorHAnsi" w:cstheme="minorBidi"/>
          <w:b w:val="0"/>
          <w:bCs w:val="0"/>
          <w:color w:val="auto"/>
          <w:highlight w:val="none"/>
          <w:u w:val="none"/>
          <w:shd w:val="clear" w:color="auto" w:fill="auto"/>
          <w:lang w:eastAsia="zh-CN"/>
        </w:rPr>
        <w:t>坚守</w:t>
      </w:r>
      <w:r>
        <w:rPr>
          <w:rFonts w:hint="eastAsia" w:ascii="Times New Roman" w:hAnsi="Times New Roman" w:cs="Times New Roman"/>
          <w:b w:val="0"/>
          <w:bCs w:val="0"/>
          <w:color w:val="auto"/>
          <w:highlight w:val="none"/>
          <w:u w:val="none"/>
          <w:shd w:val="clear" w:color="auto" w:fill="auto"/>
          <w:lang w:eastAsia="zh-CN"/>
        </w:rPr>
        <w:t>持续</w:t>
      </w:r>
      <w:r>
        <w:rPr>
          <w:rFonts w:hint="eastAsia" w:ascii="仿宋_GB2312" w:hAnsiTheme="minorHAnsi" w:cstheme="minorBidi"/>
          <w:b w:val="0"/>
          <w:bCs w:val="0"/>
          <w:color w:val="auto"/>
          <w:highlight w:val="none"/>
          <w:u w:val="none"/>
          <w:shd w:val="clear" w:color="auto" w:fill="auto"/>
          <w:lang w:eastAsia="zh-CN"/>
        </w:rPr>
        <w:t>提升</w:t>
      </w:r>
      <w:r>
        <w:rPr>
          <w:rFonts w:hint="eastAsia" w:ascii="Times New Roman" w:hAnsi="Times New Roman" w:cs="Times New Roman"/>
          <w:b w:val="0"/>
          <w:bCs w:val="0"/>
          <w:color w:val="auto"/>
          <w:highlight w:val="none"/>
          <w:u w:val="none"/>
          <w:shd w:val="clear" w:color="auto" w:fill="auto"/>
          <w:lang w:eastAsia="zh-CN"/>
        </w:rPr>
        <w:t>环境质量</w:t>
      </w:r>
      <w:r>
        <w:rPr>
          <w:rFonts w:hint="eastAsia" w:ascii="仿宋_GB2312" w:hAnsiTheme="minorHAnsi" w:cstheme="minorBidi"/>
          <w:b w:val="0"/>
          <w:bCs w:val="0"/>
          <w:color w:val="auto"/>
          <w:highlight w:val="none"/>
          <w:u w:val="none"/>
          <w:shd w:val="clear" w:color="auto" w:fill="auto"/>
          <w:lang w:eastAsia="zh-CN"/>
        </w:rPr>
        <w:t>与严守</w:t>
      </w:r>
      <w:r>
        <w:rPr>
          <w:rFonts w:hint="eastAsia" w:ascii="Times New Roman" w:hAnsi="Times New Roman" w:cs="Times New Roman"/>
          <w:b w:val="0"/>
          <w:bCs w:val="0"/>
          <w:color w:val="auto"/>
          <w:highlight w:val="none"/>
          <w:u w:val="none"/>
          <w:shd w:val="clear" w:color="auto" w:fill="auto"/>
          <w:lang w:eastAsia="zh-CN"/>
        </w:rPr>
        <w:t>生态安全底线</w:t>
      </w:r>
      <w:r>
        <w:rPr>
          <w:rFonts w:hint="eastAsia" w:ascii="仿宋_GB2312" w:hAnsiTheme="minorHAnsi" w:cstheme="minorBidi"/>
          <w:b w:val="0"/>
          <w:bCs w:val="0"/>
          <w:color w:val="auto"/>
          <w:highlight w:val="none"/>
          <w:u w:val="none"/>
          <w:shd w:val="clear" w:color="auto" w:fill="auto"/>
          <w:lang w:eastAsia="zh-CN"/>
        </w:rPr>
        <w:t>并重</w:t>
      </w:r>
      <w:r>
        <w:rPr>
          <w:rFonts w:hint="eastAsia" w:ascii="Times New Roman" w:hAnsi="Times New Roman" w:cs="Times New Roman"/>
          <w:b w:val="0"/>
          <w:bCs w:val="0"/>
          <w:color w:val="auto"/>
          <w:highlight w:val="none"/>
          <w:u w:val="none"/>
          <w:shd w:val="clear" w:color="auto" w:fill="auto"/>
          <w:lang w:eastAsia="zh-CN"/>
        </w:rPr>
        <w:t>，</w:t>
      </w:r>
      <w:r>
        <w:rPr>
          <w:rFonts w:hint="eastAsia" w:ascii="仿宋_GB2312" w:hAnsiTheme="minorHAnsi" w:cstheme="minorBidi"/>
          <w:b w:val="0"/>
          <w:bCs w:val="0"/>
          <w:color w:val="auto"/>
          <w:highlight w:val="none"/>
          <w:u w:val="none"/>
          <w:shd w:val="clear" w:color="auto" w:fill="auto"/>
          <w:lang w:eastAsia="zh-CN"/>
        </w:rPr>
        <w:t>有效防范</w:t>
      </w:r>
      <w:r>
        <w:rPr>
          <w:rFonts w:hint="eastAsia" w:ascii="Times New Roman" w:hAnsi="Times New Roman" w:cs="Times New Roman"/>
          <w:b w:val="0"/>
          <w:bCs w:val="0"/>
          <w:color w:val="auto"/>
          <w:highlight w:val="none"/>
          <w:u w:val="none"/>
          <w:shd w:val="clear" w:color="auto" w:fill="auto"/>
          <w:lang w:eastAsia="zh-CN"/>
        </w:rPr>
        <w:t>生态环境风险，切实</w:t>
      </w:r>
      <w:r>
        <w:rPr>
          <w:rFonts w:hint="eastAsia" w:ascii="仿宋_GB2312" w:hAnsiTheme="minorHAnsi" w:cstheme="minorBidi"/>
          <w:b w:val="0"/>
          <w:bCs w:val="0"/>
          <w:color w:val="auto"/>
          <w:highlight w:val="none"/>
          <w:u w:val="none"/>
          <w:shd w:val="clear" w:color="auto" w:fill="auto"/>
          <w:lang w:eastAsia="zh-CN"/>
        </w:rPr>
        <w:t>保障</w:t>
      </w:r>
      <w:r>
        <w:rPr>
          <w:rFonts w:hint="eastAsia" w:ascii="Times New Roman" w:hAnsi="Times New Roman" w:cs="Times New Roman"/>
          <w:b w:val="0"/>
          <w:bCs w:val="0"/>
          <w:color w:val="auto"/>
          <w:highlight w:val="none"/>
          <w:u w:val="none"/>
          <w:shd w:val="clear" w:color="auto" w:fill="auto"/>
          <w:lang w:eastAsia="zh-CN"/>
        </w:rPr>
        <w:t>生态系统安全。统筹发展和安全，</w:t>
      </w:r>
      <w:r>
        <w:rPr>
          <w:rFonts w:hint="eastAsia" w:ascii="Times New Roman" w:hAnsi="Times New Roman" w:cs="Times New Roman"/>
          <w:b w:val="0"/>
          <w:bCs w:val="0"/>
          <w:color w:val="auto"/>
          <w:highlight w:val="none"/>
          <w:u w:val="none"/>
          <w:shd w:val="clear" w:color="auto" w:fill="auto"/>
          <w:lang w:val="en-US" w:eastAsia="zh-CN"/>
        </w:rPr>
        <w:t>坚决</w:t>
      </w:r>
      <w:r>
        <w:rPr>
          <w:rFonts w:hint="eastAsia" w:ascii="仿宋_GB2312" w:hAnsiTheme="minorHAnsi" w:cstheme="minorBidi"/>
          <w:b w:val="0"/>
          <w:bCs w:val="0"/>
          <w:color w:val="auto"/>
          <w:highlight w:val="none"/>
          <w:u w:val="none"/>
          <w:shd w:val="clear" w:color="auto" w:fill="auto"/>
        </w:rPr>
        <w:t>守</w:t>
      </w:r>
      <w:r>
        <w:rPr>
          <w:rFonts w:hint="eastAsia" w:cstheme="minorBidi"/>
          <w:b w:val="0"/>
          <w:bCs w:val="0"/>
          <w:color w:val="auto"/>
          <w:highlight w:val="none"/>
          <w:u w:val="none"/>
          <w:shd w:val="clear" w:color="auto" w:fill="auto"/>
          <w:lang w:val="en-US" w:eastAsia="zh-CN"/>
        </w:rPr>
        <w:t>护</w:t>
      </w:r>
      <w:r>
        <w:rPr>
          <w:rFonts w:ascii="Times New Roman" w:hAnsi="Times New Roman" w:cs="Times New Roman"/>
          <w:b w:val="0"/>
          <w:bCs w:val="0"/>
          <w:color w:val="auto"/>
          <w:highlight w:val="none"/>
          <w:u w:val="none"/>
          <w:shd w:val="clear" w:color="auto" w:fill="auto"/>
        </w:rPr>
        <w:t>美丽</w:t>
      </w:r>
      <w:r>
        <w:rPr>
          <w:rFonts w:hint="eastAsia" w:ascii="Times New Roman" w:hAnsi="Times New Roman" w:cs="Times New Roman"/>
          <w:b w:val="0"/>
          <w:bCs w:val="0"/>
          <w:color w:val="auto"/>
          <w:highlight w:val="none"/>
          <w:u w:val="none"/>
          <w:shd w:val="clear" w:color="auto" w:fill="auto"/>
          <w:lang w:val="en-US" w:eastAsia="zh-CN"/>
        </w:rPr>
        <w:t>顺义</w:t>
      </w:r>
      <w:r>
        <w:rPr>
          <w:rFonts w:ascii="Times New Roman" w:hAnsi="Times New Roman" w:cs="Times New Roman"/>
          <w:b w:val="0"/>
          <w:bCs w:val="0"/>
          <w:color w:val="auto"/>
          <w:highlight w:val="none"/>
          <w:u w:val="none"/>
          <w:shd w:val="clear" w:color="auto" w:fill="auto"/>
        </w:rPr>
        <w:t>建设</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的</w:t>
      </w:r>
      <w:r>
        <w:rPr>
          <w:rFonts w:ascii="Times New Roman" w:hAnsi="Times New Roman" w:cs="Times New Roman"/>
          <w:b w:val="0"/>
          <w:bCs w:val="0"/>
          <w:color w:val="auto"/>
          <w:highlight w:val="none"/>
          <w:u w:val="none"/>
          <w:shd w:val="clear" w:color="auto" w:fill="auto"/>
        </w:rPr>
        <w:t>安全底线。</w:t>
      </w:r>
    </w:p>
    <w:p w14:paraId="4C32D64C">
      <w:pPr>
        <w:adjustRightInd w:val="0"/>
        <w:snapToGrid w:val="0"/>
        <w:ind w:firstLine="643"/>
        <w:contextualSpacing/>
        <w:rPr>
          <w:rFonts w:ascii="Times New Roman" w:hAnsi="Times New Roman" w:cs="Times New Roman"/>
          <w:b w:val="0"/>
          <w:bCs w:val="0"/>
          <w:color w:val="auto"/>
          <w:highlight w:val="none"/>
          <w:u w:val="none"/>
        </w:rPr>
      </w:pPr>
      <w:r>
        <w:rPr>
          <w:rFonts w:ascii="Times New Roman" w:hAnsi="Times New Roman" w:cs="Times New Roman"/>
          <w:b w:val="0"/>
          <w:bCs w:val="0"/>
          <w:color w:val="auto"/>
          <w:highlight w:val="none"/>
          <w:u w:val="none"/>
        </w:rPr>
        <w:t>科技引领，创新</w:t>
      </w:r>
      <w:r>
        <w:rPr>
          <w:rFonts w:hint="eastAsia" w:ascii="Times New Roman" w:hAnsi="Times New Roman" w:cs="Times New Roman"/>
          <w:b w:val="0"/>
          <w:bCs w:val="0"/>
          <w:color w:val="auto"/>
          <w:highlight w:val="none"/>
          <w:u w:val="none"/>
          <w:lang w:val="en-US" w:eastAsia="zh-CN"/>
        </w:rPr>
        <w:t>赋能</w:t>
      </w:r>
      <w:r>
        <w:rPr>
          <w:rFonts w:ascii="Times New Roman" w:hAnsi="Times New Roman" w:cs="Times New Roman"/>
          <w:b w:val="0"/>
          <w:bCs w:val="0"/>
          <w:color w:val="auto"/>
          <w:highlight w:val="none"/>
          <w:u w:val="none"/>
        </w:rPr>
        <w:t>。</w:t>
      </w:r>
      <w:r>
        <w:rPr>
          <w:rFonts w:hint="eastAsia" w:ascii="仿宋_GB2312" w:hAnsi="仿宋_GB2312" w:eastAsia="仿宋_GB2312" w:cs="仿宋_GB2312"/>
          <w:b w:val="0"/>
          <w:bCs w:val="0"/>
          <w:color w:val="auto"/>
          <w:sz w:val="32"/>
          <w:szCs w:val="32"/>
          <w:highlight w:val="none"/>
          <w:u w:val="none"/>
        </w:rPr>
        <w:t>深入推进创新驱动发展战略，坚持把创新赋能作为高质量发展的第一动力，以科技创新、制度创新破解</w:t>
      </w:r>
      <w:r>
        <w:rPr>
          <w:rFonts w:ascii="仿宋_GB2312" w:hAnsi="仿宋_GB2312" w:eastAsia="仿宋_GB2312" w:cs="仿宋_GB2312"/>
          <w:b w:val="0"/>
          <w:bCs w:val="0"/>
          <w:color w:val="auto"/>
          <w:sz w:val="32"/>
          <w:szCs w:val="32"/>
          <w:highlight w:val="none"/>
          <w:u w:val="none"/>
        </w:rPr>
        <w:t>生态文明建设</w:t>
      </w:r>
      <w:r>
        <w:rPr>
          <w:rFonts w:hint="eastAsia" w:ascii="仿宋_GB2312" w:hAnsi="仿宋_GB2312" w:eastAsia="仿宋_GB2312" w:cs="仿宋_GB2312"/>
          <w:b w:val="0"/>
          <w:bCs w:val="0"/>
          <w:color w:val="auto"/>
          <w:sz w:val="32"/>
          <w:szCs w:val="32"/>
          <w:highlight w:val="none"/>
          <w:u w:val="none"/>
        </w:rPr>
        <w:t>难题，通过创新推动产业转型升级、助力新兴产业发展，全面提升综合竞争力，培育壮大发展新动能。</w:t>
      </w:r>
    </w:p>
    <w:p w14:paraId="10D6161E">
      <w:pPr>
        <w:adjustRightInd w:val="0"/>
        <w:snapToGrid w:val="0"/>
        <w:spacing w:line="560" w:lineRule="exact"/>
        <w:ind w:firstLine="640" w:firstLineChars="200"/>
        <w:contextualSpacing/>
        <w:rPr>
          <w:rFonts w:hint="eastAsia" w:hAnsi="仿宋_GB2312" w:eastAsia="仿宋_GB2312" w:cs="仿宋_GB2312"/>
          <w:b w:val="0"/>
          <w:bCs w:val="0"/>
          <w:color w:val="auto"/>
          <w:szCs w:val="32"/>
          <w:highlight w:val="none"/>
          <w:u w:val="none"/>
          <w:lang w:val="en-US" w:eastAsia="zh-CN"/>
        </w:rPr>
      </w:pPr>
      <w:r>
        <w:rPr>
          <w:rFonts w:hint="eastAsia" w:hAnsi="仿宋_GB2312" w:cs="仿宋_GB2312"/>
          <w:b w:val="0"/>
          <w:bCs w:val="0"/>
          <w:color w:val="auto"/>
          <w:szCs w:val="32"/>
          <w:highlight w:val="none"/>
          <w:u w:val="none"/>
          <w:lang w:val="en-US" w:eastAsia="zh-CN"/>
        </w:rPr>
        <w:t>立足区情，</w:t>
      </w:r>
      <w:r>
        <w:rPr>
          <w:rFonts w:hint="eastAsia" w:ascii="仿宋_GB2312" w:hAnsi="仿宋_GB2312" w:eastAsia="仿宋_GB2312" w:cs="仿宋_GB2312"/>
          <w:b w:val="0"/>
          <w:bCs w:val="0"/>
          <w:color w:val="auto"/>
          <w:szCs w:val="32"/>
          <w:highlight w:val="none"/>
          <w:u w:val="none"/>
        </w:rPr>
        <w:t>突出特色。</w:t>
      </w:r>
      <w:r>
        <w:rPr>
          <w:rFonts w:hint="eastAsia" w:hAnsi="仿宋_GB2312" w:cs="仿宋_GB2312"/>
          <w:b w:val="0"/>
          <w:bCs w:val="0"/>
          <w:color w:val="auto"/>
          <w:szCs w:val="32"/>
          <w:highlight w:val="none"/>
          <w:u w:val="none"/>
          <w:lang w:val="en-US" w:eastAsia="zh-CN"/>
        </w:rPr>
        <w:t>自觉将发展放到京津冀战略空间和首都发展大局考量，</w:t>
      </w:r>
      <w:r>
        <w:rPr>
          <w:rFonts w:hint="eastAsia" w:ascii="仿宋_GB2312" w:hAnsi="仿宋_GB2312" w:eastAsia="仿宋_GB2312" w:cs="仿宋_GB2312"/>
          <w:b w:val="0"/>
          <w:bCs w:val="0"/>
          <w:color w:val="auto"/>
          <w:szCs w:val="32"/>
          <w:highlight w:val="none"/>
          <w:u w:val="none"/>
        </w:rPr>
        <w:t>聚焦港城融合的国际航空中心核心区、创新引领的区域经济提升发展先行区、城乡协调的首都和谐宜居示范区建设，打造以高水平保护推动高质量发展的美丽平原新城典范</w:t>
      </w:r>
      <w:r>
        <w:rPr>
          <w:rFonts w:hint="eastAsia" w:hAnsi="仿宋_GB2312" w:cs="仿宋_GB2312"/>
          <w:b w:val="0"/>
          <w:bCs w:val="0"/>
          <w:color w:val="auto"/>
          <w:szCs w:val="32"/>
          <w:highlight w:val="none"/>
          <w:u w:val="none"/>
          <w:lang w:eastAsia="zh-CN"/>
        </w:rPr>
        <w:t>。</w:t>
      </w:r>
    </w:p>
    <w:p w14:paraId="1407D345">
      <w:pPr>
        <w:adjustRightInd w:val="0"/>
        <w:snapToGrid w:val="0"/>
        <w:spacing w:line="560" w:lineRule="exact"/>
        <w:ind w:firstLine="640" w:firstLineChars="200"/>
        <w:contextualSpacing/>
        <w:rPr>
          <w:rFonts w:ascii="仿宋" w:hAnsi="仿宋" w:eastAsia="仿宋"/>
          <w:b w:val="0"/>
          <w:bCs w:val="0"/>
          <w:color w:val="auto"/>
          <w:szCs w:val="30"/>
          <w:highlight w:val="none"/>
          <w:u w:val="none"/>
        </w:rPr>
      </w:pPr>
      <w:r>
        <w:rPr>
          <w:rFonts w:ascii="Times New Roman" w:hAnsi="Times New Roman" w:cs="Times New Roman"/>
          <w:b w:val="0"/>
          <w:bCs w:val="0"/>
          <w:color w:val="auto"/>
          <w:highlight w:val="none"/>
          <w:u w:val="none"/>
        </w:rPr>
        <w:t>以人为本</w:t>
      </w:r>
      <w:r>
        <w:rPr>
          <w:rFonts w:hint="eastAsia" w:ascii="Times New Roman" w:hAnsi="Times New Roman" w:cs="Times New Roman"/>
          <w:b w:val="0"/>
          <w:bCs w:val="0"/>
          <w:color w:val="auto"/>
          <w:highlight w:val="none"/>
          <w:u w:val="none"/>
          <w:lang w:eastAsia="zh-CN"/>
        </w:rPr>
        <w:t>，</w:t>
      </w:r>
      <w:r>
        <w:rPr>
          <w:rFonts w:ascii="Times New Roman" w:hAnsi="Times New Roman" w:cs="Times New Roman"/>
          <w:b w:val="0"/>
          <w:bCs w:val="0"/>
          <w:color w:val="auto"/>
          <w:highlight w:val="none"/>
          <w:u w:val="none"/>
        </w:rPr>
        <w:t>共</w:t>
      </w:r>
      <w:r>
        <w:rPr>
          <w:rFonts w:hint="eastAsia" w:ascii="Times New Roman" w:hAnsi="Times New Roman" w:cs="Times New Roman"/>
          <w:b w:val="0"/>
          <w:bCs w:val="0"/>
          <w:color w:val="auto"/>
          <w:highlight w:val="none"/>
          <w:u w:val="none"/>
          <w:lang w:val="en-US" w:eastAsia="zh-CN"/>
        </w:rPr>
        <w:t>建</w:t>
      </w:r>
      <w:r>
        <w:rPr>
          <w:rFonts w:ascii="Times New Roman" w:hAnsi="Times New Roman" w:cs="Times New Roman"/>
          <w:b w:val="0"/>
          <w:bCs w:val="0"/>
          <w:color w:val="auto"/>
          <w:highlight w:val="none"/>
          <w:u w:val="none"/>
        </w:rPr>
        <w:t>共享。</w:t>
      </w:r>
      <w:r>
        <w:rPr>
          <w:rFonts w:hint="eastAsia" w:ascii="Times New Roman" w:hAnsi="Times New Roman" w:cs="Times New Roman"/>
          <w:b w:val="0"/>
          <w:bCs w:val="0"/>
          <w:color w:val="auto"/>
          <w:highlight w:val="none"/>
          <w:u w:val="none"/>
          <w:lang w:val="en-US" w:eastAsia="zh-CN"/>
        </w:rPr>
        <w:t>坚持</w:t>
      </w:r>
      <w:r>
        <w:rPr>
          <w:rFonts w:ascii="仿宋_GB2312" w:hAnsi="仿宋_GB2312" w:eastAsia="仿宋_GB2312" w:cs="仿宋_GB2312"/>
          <w:b w:val="0"/>
          <w:bCs w:val="0"/>
          <w:color w:val="auto"/>
          <w:szCs w:val="32"/>
          <w:highlight w:val="none"/>
          <w:u w:val="none"/>
        </w:rPr>
        <w:t>以人民为中心，</w:t>
      </w:r>
      <w:r>
        <w:rPr>
          <w:rFonts w:hint="eastAsia" w:ascii="仿宋_GB2312" w:hAnsi="仿宋_GB2312" w:eastAsia="仿宋_GB2312" w:cs="仿宋_GB2312"/>
          <w:b w:val="0"/>
          <w:bCs w:val="0"/>
          <w:color w:val="auto"/>
          <w:szCs w:val="32"/>
          <w:highlight w:val="none"/>
          <w:u w:val="none"/>
        </w:rPr>
        <w:t>着力</w:t>
      </w:r>
      <w:r>
        <w:rPr>
          <w:rFonts w:ascii="仿宋_GB2312" w:hAnsi="仿宋_GB2312" w:eastAsia="仿宋_GB2312" w:cs="仿宋_GB2312"/>
          <w:b w:val="0"/>
          <w:bCs w:val="0"/>
          <w:color w:val="auto"/>
          <w:szCs w:val="32"/>
          <w:highlight w:val="none"/>
          <w:u w:val="none"/>
        </w:rPr>
        <w:t>解决</w:t>
      </w:r>
      <w:r>
        <w:rPr>
          <w:rFonts w:hint="eastAsia" w:ascii="仿宋_GB2312" w:hAnsi="仿宋_GB2312" w:eastAsia="仿宋_GB2312" w:cs="仿宋_GB2312"/>
          <w:b w:val="0"/>
          <w:bCs w:val="0"/>
          <w:color w:val="auto"/>
          <w:szCs w:val="32"/>
          <w:highlight w:val="none"/>
          <w:u w:val="none"/>
        </w:rPr>
        <w:t>影响人民</w:t>
      </w:r>
      <w:r>
        <w:rPr>
          <w:rFonts w:ascii="仿宋_GB2312" w:hAnsi="仿宋_GB2312" w:eastAsia="仿宋_GB2312" w:cs="仿宋_GB2312"/>
          <w:b w:val="0"/>
          <w:bCs w:val="0"/>
          <w:color w:val="auto"/>
          <w:szCs w:val="32"/>
          <w:highlight w:val="none"/>
          <w:u w:val="none"/>
        </w:rPr>
        <w:t>群众健康的突出</w:t>
      </w:r>
      <w:r>
        <w:rPr>
          <w:rFonts w:hint="eastAsia" w:ascii="仿宋_GB2312" w:hAnsi="仿宋_GB2312" w:eastAsia="仿宋_GB2312" w:cs="仿宋_GB2312"/>
          <w:b w:val="0"/>
          <w:bCs w:val="0"/>
          <w:color w:val="auto"/>
          <w:szCs w:val="32"/>
          <w:highlight w:val="none"/>
          <w:u w:val="none"/>
        </w:rPr>
        <w:t>生态</w:t>
      </w:r>
      <w:r>
        <w:rPr>
          <w:rFonts w:ascii="仿宋_GB2312" w:hAnsi="仿宋_GB2312" w:eastAsia="仿宋_GB2312" w:cs="仿宋_GB2312"/>
          <w:b w:val="0"/>
          <w:bCs w:val="0"/>
          <w:color w:val="auto"/>
          <w:szCs w:val="32"/>
          <w:highlight w:val="none"/>
          <w:u w:val="none"/>
        </w:rPr>
        <w:t>环境问题，努力提供更多优质生态产品，不断增强人民群众获得感</w:t>
      </w:r>
      <w:r>
        <w:rPr>
          <w:rFonts w:hint="eastAsia" w:ascii="仿宋_GB2312" w:hAnsi="仿宋_GB2312" w:eastAsia="仿宋_GB2312" w:cs="仿宋_GB2312"/>
          <w:b w:val="0"/>
          <w:bCs w:val="0"/>
          <w:color w:val="auto"/>
          <w:szCs w:val="32"/>
          <w:highlight w:val="none"/>
          <w:u w:val="none"/>
        </w:rPr>
        <w:t>、</w:t>
      </w:r>
      <w:r>
        <w:rPr>
          <w:rFonts w:ascii="仿宋_GB2312" w:hAnsi="仿宋_GB2312" w:eastAsia="仿宋_GB2312" w:cs="仿宋_GB2312"/>
          <w:b w:val="0"/>
          <w:bCs w:val="0"/>
          <w:color w:val="auto"/>
          <w:szCs w:val="32"/>
          <w:highlight w:val="none"/>
          <w:u w:val="none"/>
        </w:rPr>
        <w:t>幸福感</w:t>
      </w:r>
      <w:r>
        <w:rPr>
          <w:rFonts w:hint="eastAsia" w:ascii="仿宋_GB2312" w:hAnsi="仿宋_GB2312" w:eastAsia="仿宋_GB2312" w:cs="仿宋_GB2312"/>
          <w:b w:val="0"/>
          <w:bCs w:val="0"/>
          <w:color w:val="auto"/>
          <w:szCs w:val="32"/>
          <w:highlight w:val="none"/>
          <w:u w:val="none"/>
        </w:rPr>
        <w:t>、安全感</w:t>
      </w:r>
      <w:r>
        <w:rPr>
          <w:rFonts w:ascii="仿宋_GB2312" w:hAnsi="仿宋_GB2312" w:eastAsia="仿宋_GB2312" w:cs="仿宋_GB2312"/>
          <w:b w:val="0"/>
          <w:bCs w:val="0"/>
          <w:color w:val="auto"/>
          <w:szCs w:val="32"/>
          <w:highlight w:val="none"/>
          <w:u w:val="none"/>
        </w:rPr>
        <w:t>。</w:t>
      </w:r>
      <w:r>
        <w:rPr>
          <w:rFonts w:hint="eastAsia" w:ascii="仿宋_GB2312" w:hAnsi="仿宋_GB2312" w:eastAsia="仿宋_GB2312" w:cs="仿宋_GB2312"/>
          <w:b w:val="0"/>
          <w:bCs w:val="0"/>
          <w:color w:val="auto"/>
          <w:szCs w:val="32"/>
          <w:highlight w:val="none"/>
          <w:u w:val="none"/>
        </w:rPr>
        <w:t>深入</w:t>
      </w:r>
      <w:r>
        <w:rPr>
          <w:rFonts w:hint="eastAsia" w:hAnsi="仿宋_GB2312" w:cs="仿宋_GB2312"/>
          <w:b w:val="0"/>
          <w:bCs w:val="0"/>
          <w:color w:val="auto"/>
          <w:szCs w:val="32"/>
          <w:highlight w:val="none"/>
          <w:u w:val="none"/>
          <w:lang w:eastAsia="zh-CN"/>
        </w:rPr>
        <w:t>推进</w:t>
      </w:r>
      <w:r>
        <w:rPr>
          <w:rFonts w:hint="eastAsia" w:ascii="仿宋_GB2312" w:hAnsi="仿宋_GB2312" w:eastAsia="仿宋_GB2312" w:cs="仿宋_GB2312"/>
          <w:b w:val="0"/>
          <w:bCs w:val="0"/>
          <w:color w:val="auto"/>
          <w:szCs w:val="32"/>
          <w:highlight w:val="none"/>
          <w:u w:val="none"/>
        </w:rPr>
        <w:t>“</w:t>
      </w:r>
      <w:r>
        <w:rPr>
          <w:rFonts w:hint="eastAsia" w:hAnsi="仿宋_GB2312" w:cs="仿宋_GB2312"/>
          <w:b w:val="0"/>
          <w:bCs w:val="0"/>
          <w:color w:val="auto"/>
          <w:szCs w:val="32"/>
          <w:highlight w:val="none"/>
          <w:u w:val="none"/>
          <w:lang w:eastAsia="zh-CN"/>
        </w:rPr>
        <w:t>党委、政府</w:t>
      </w:r>
      <w:r>
        <w:rPr>
          <w:rFonts w:hint="eastAsia" w:ascii="仿宋_GB2312" w:hAnsi="仿宋_GB2312" w:eastAsia="仿宋_GB2312" w:cs="仿宋_GB2312"/>
          <w:b w:val="0"/>
          <w:bCs w:val="0"/>
          <w:color w:val="auto"/>
          <w:szCs w:val="32"/>
          <w:highlight w:val="none"/>
          <w:u w:val="none"/>
        </w:rPr>
        <w:t>主导、部门齐抓共管、企业协同推进、社会广泛参与”的工作机制，推动形成生态文明全民共建共享的良好格局。</w:t>
      </w:r>
    </w:p>
    <w:p w14:paraId="0A58D06F">
      <w:pPr>
        <w:pStyle w:val="4"/>
        <w:rPr>
          <w:b w:val="0"/>
          <w:bCs w:val="0"/>
          <w:color w:val="auto"/>
          <w:u w:val="none"/>
        </w:rPr>
      </w:pPr>
      <w:bookmarkStart w:id="66" w:name="_Toc12379"/>
      <w:bookmarkStart w:id="67" w:name="_Toc22408"/>
      <w:bookmarkStart w:id="68" w:name="_Toc10587"/>
      <w:bookmarkStart w:id="69" w:name="_Toc13231"/>
      <w:bookmarkStart w:id="70" w:name="_Toc32580"/>
      <w:bookmarkStart w:id="71" w:name="_Toc19620"/>
      <w:bookmarkStart w:id="72" w:name="_Toc29318"/>
      <w:bookmarkStart w:id="73" w:name="_Toc12344"/>
      <w:bookmarkStart w:id="74" w:name="_Toc8008"/>
      <w:bookmarkStart w:id="75" w:name="_Toc22881"/>
      <w:r>
        <w:rPr>
          <w:rFonts w:hint="eastAsia"/>
          <w:b w:val="0"/>
          <w:bCs w:val="0"/>
          <w:color w:val="auto"/>
          <w:u w:val="none"/>
        </w:rPr>
        <w:t>（三）</w:t>
      </w:r>
      <w:r>
        <w:rPr>
          <w:b w:val="0"/>
          <w:bCs w:val="0"/>
          <w:color w:val="auto"/>
          <w:u w:val="none"/>
        </w:rPr>
        <w:t>规划目标</w:t>
      </w:r>
      <w:bookmarkEnd w:id="66"/>
      <w:bookmarkEnd w:id="67"/>
      <w:bookmarkEnd w:id="68"/>
      <w:bookmarkEnd w:id="69"/>
      <w:bookmarkEnd w:id="70"/>
      <w:bookmarkEnd w:id="71"/>
      <w:bookmarkEnd w:id="72"/>
      <w:bookmarkEnd w:id="73"/>
      <w:bookmarkEnd w:id="74"/>
      <w:bookmarkEnd w:id="75"/>
    </w:p>
    <w:p w14:paraId="7EFF87BE">
      <w:pPr>
        <w:bidi w:val="0"/>
        <w:rPr>
          <w:b w:val="0"/>
          <w:bCs w:val="0"/>
          <w:color w:val="auto"/>
          <w:highlight w:val="none"/>
          <w:u w:val="none"/>
        </w:rPr>
      </w:pPr>
      <w:r>
        <w:rPr>
          <w:rFonts w:hint="eastAsia"/>
          <w:b w:val="0"/>
          <w:bCs w:val="0"/>
          <w:color w:val="auto"/>
          <w:highlight w:val="none"/>
          <w:u w:val="none"/>
          <w:lang w:val="en-US" w:eastAsia="zh-CN"/>
        </w:rPr>
        <w:t>到</w:t>
      </w:r>
      <w:r>
        <w:rPr>
          <w:b w:val="0"/>
          <w:bCs w:val="0"/>
          <w:color w:val="auto"/>
          <w:highlight w:val="none"/>
          <w:u w:val="none"/>
        </w:rPr>
        <w:t>2030年</w:t>
      </w:r>
      <w:r>
        <w:rPr>
          <w:rFonts w:hint="eastAsia"/>
          <w:b w:val="0"/>
          <w:bCs w:val="0"/>
          <w:color w:val="auto"/>
          <w:highlight w:val="none"/>
          <w:u w:val="none"/>
          <w:lang w:eastAsia="zh-CN"/>
        </w:rPr>
        <w:t>，</w:t>
      </w:r>
      <w:r>
        <w:rPr>
          <w:rFonts w:hint="eastAsia"/>
          <w:b w:val="0"/>
          <w:bCs w:val="0"/>
          <w:color w:val="auto"/>
          <w:highlight w:val="none"/>
          <w:u w:val="none"/>
        </w:rPr>
        <w:t>生态环境全面改善，绿色低碳发展深入推进，</w:t>
      </w:r>
      <w:r>
        <w:rPr>
          <w:rFonts w:hint="eastAsia"/>
          <w:b w:val="0"/>
          <w:bCs w:val="0"/>
          <w:color w:val="auto"/>
          <w:highlight w:val="none"/>
          <w:u w:val="none"/>
          <w:lang w:eastAsia="zh-CN"/>
        </w:rPr>
        <w:t>城乡人居环境明显改善</w:t>
      </w:r>
      <w:r>
        <w:rPr>
          <w:rFonts w:hint="eastAsia"/>
          <w:b w:val="0"/>
          <w:bCs w:val="0"/>
          <w:color w:val="auto"/>
          <w:highlight w:val="none"/>
          <w:u w:val="none"/>
        </w:rPr>
        <w:t>；</w:t>
      </w:r>
      <w:r>
        <w:rPr>
          <w:rFonts w:hint="eastAsia"/>
          <w:b w:val="0"/>
          <w:bCs w:val="0"/>
          <w:color w:val="auto"/>
          <w:highlight w:val="none"/>
          <w:u w:val="none"/>
          <w:lang w:val="en-US" w:eastAsia="zh-CN"/>
        </w:rPr>
        <w:t>生态空间持续扩容提质</w:t>
      </w:r>
      <w:r>
        <w:rPr>
          <w:rFonts w:hint="eastAsia"/>
          <w:b w:val="0"/>
          <w:bCs w:val="0"/>
          <w:color w:val="auto"/>
          <w:highlight w:val="none"/>
          <w:u w:val="none"/>
          <w:lang w:eastAsia="zh-CN"/>
        </w:rPr>
        <w:t>，</w:t>
      </w:r>
      <w:r>
        <w:rPr>
          <w:rFonts w:hint="eastAsia"/>
          <w:b w:val="0"/>
          <w:bCs w:val="0"/>
          <w:color w:val="auto"/>
          <w:highlight w:val="none"/>
          <w:u w:val="none"/>
        </w:rPr>
        <w:t>生态安全有效保障；“政府主导、企业参与、群众治理”的生态环境治理格局不断优化</w:t>
      </w:r>
      <w:r>
        <w:rPr>
          <w:rFonts w:hint="eastAsia"/>
          <w:b w:val="0"/>
          <w:bCs w:val="0"/>
          <w:color w:val="auto"/>
          <w:highlight w:val="none"/>
          <w:u w:val="none"/>
          <w:lang w:eastAsia="zh-CN"/>
        </w:rPr>
        <w:t>，</w:t>
      </w:r>
      <w:r>
        <w:rPr>
          <w:rFonts w:hint="eastAsia"/>
          <w:b w:val="0"/>
          <w:bCs w:val="0"/>
          <w:color w:val="auto"/>
          <w:highlight w:val="none"/>
          <w:u w:val="none"/>
        </w:rPr>
        <w:t>绿色生产生活方式深入人心</w:t>
      </w:r>
      <w:r>
        <w:rPr>
          <w:rFonts w:hint="eastAsia"/>
          <w:b w:val="0"/>
          <w:bCs w:val="0"/>
          <w:color w:val="auto"/>
          <w:highlight w:val="none"/>
          <w:u w:val="none"/>
          <w:lang w:eastAsia="zh-CN"/>
        </w:rPr>
        <w:t>，</w:t>
      </w:r>
      <w:r>
        <w:rPr>
          <w:rFonts w:hint="eastAsia"/>
          <w:b w:val="0"/>
          <w:bCs w:val="0"/>
          <w:color w:val="auto"/>
          <w:highlight w:val="none"/>
          <w:u w:val="none"/>
          <w:lang w:val="en-US" w:eastAsia="zh-CN"/>
        </w:rPr>
        <w:t>以高品质生态环境支撑高质量发展</w:t>
      </w:r>
      <w:r>
        <w:rPr>
          <w:b w:val="0"/>
          <w:bCs w:val="0"/>
          <w:color w:val="auto"/>
          <w:highlight w:val="none"/>
          <w:u w:val="none"/>
        </w:rPr>
        <w:t>。</w:t>
      </w:r>
    </w:p>
    <w:p w14:paraId="484B2AD9">
      <w:pPr>
        <w:bidi w:val="0"/>
        <w:rPr>
          <w:rFonts w:ascii="Times New Roman" w:hAnsi="Times New Roman" w:cs="Times New Roman"/>
          <w:b w:val="0"/>
          <w:bCs w:val="0"/>
          <w:color w:val="auto"/>
          <w:highlight w:val="none"/>
          <w:u w:val="none"/>
          <w:shd w:val="clear" w:color="auto" w:fill="auto"/>
        </w:rPr>
      </w:pPr>
      <w:r>
        <w:rPr>
          <w:rFonts w:hint="eastAsia"/>
          <w:b w:val="0"/>
          <w:bCs w:val="0"/>
          <w:color w:val="auto"/>
          <w:highlight w:val="none"/>
          <w:u w:val="none"/>
          <w:lang w:val="en-US" w:eastAsia="zh-CN"/>
        </w:rPr>
        <w:t>到</w:t>
      </w:r>
      <w:r>
        <w:rPr>
          <w:b w:val="0"/>
          <w:bCs w:val="0"/>
          <w:color w:val="auto"/>
          <w:highlight w:val="none"/>
          <w:u w:val="none"/>
        </w:rPr>
        <w:t>2035年</w:t>
      </w:r>
      <w:r>
        <w:rPr>
          <w:rFonts w:hint="eastAsia"/>
          <w:b w:val="0"/>
          <w:bCs w:val="0"/>
          <w:color w:val="auto"/>
          <w:highlight w:val="none"/>
          <w:u w:val="none"/>
          <w:lang w:eastAsia="zh-CN"/>
        </w:rPr>
        <w:t>，</w:t>
      </w:r>
      <w:r>
        <w:rPr>
          <w:rFonts w:hint="eastAsia"/>
          <w:b w:val="0"/>
          <w:bCs w:val="0"/>
          <w:color w:val="auto"/>
          <w:highlight w:val="none"/>
          <w:u w:val="none"/>
          <w:shd w:val="clear" w:color="auto" w:fill="auto"/>
          <w:lang w:val="en-US" w:eastAsia="zh-CN"/>
        </w:rPr>
        <w:t>生态环境根本改善，广泛形成绿色生产生活方式，生态环境治理体系和治理能力现代化基本实现，“低碳、天蓝、水清、土净、地绿、安宁”的美丽顺义基本建成</w:t>
      </w:r>
      <w:r>
        <w:rPr>
          <w:rFonts w:ascii="Times New Roman" w:hAnsi="Times New Roman" w:cs="Times New Roman"/>
          <w:b w:val="0"/>
          <w:bCs w:val="0"/>
          <w:color w:val="auto"/>
          <w:highlight w:val="none"/>
          <w:u w:val="none"/>
          <w:shd w:val="clear" w:color="auto" w:fill="auto"/>
        </w:rPr>
        <w:t>。</w:t>
      </w:r>
    </w:p>
    <w:p w14:paraId="20A4CF92">
      <w:pPr>
        <w:pStyle w:val="4"/>
        <w:rPr>
          <w:b w:val="0"/>
          <w:bCs w:val="0"/>
          <w:color w:val="auto"/>
          <w:u w:val="none"/>
        </w:rPr>
      </w:pPr>
      <w:bookmarkStart w:id="76" w:name="_Toc13636"/>
      <w:bookmarkStart w:id="77" w:name="_Toc23465"/>
      <w:bookmarkStart w:id="78" w:name="_Toc13622"/>
      <w:bookmarkStart w:id="79" w:name="_Toc24186"/>
      <w:bookmarkStart w:id="80" w:name="_Toc5493"/>
      <w:bookmarkStart w:id="81" w:name="_Toc32720"/>
      <w:bookmarkStart w:id="82" w:name="_Toc22153"/>
      <w:bookmarkStart w:id="83" w:name="_Toc22253"/>
      <w:bookmarkStart w:id="84" w:name="_Toc31719"/>
      <w:bookmarkStart w:id="85" w:name="_Toc5645"/>
      <w:r>
        <w:rPr>
          <w:rFonts w:hint="eastAsia"/>
          <w:b w:val="0"/>
          <w:bCs w:val="0"/>
          <w:color w:val="auto"/>
          <w:u w:val="none"/>
        </w:rPr>
        <w:t>（</w:t>
      </w:r>
      <w:r>
        <w:rPr>
          <w:rFonts w:hint="eastAsia"/>
          <w:b w:val="0"/>
          <w:bCs w:val="0"/>
          <w:color w:val="auto"/>
          <w:u w:val="none"/>
          <w:lang w:val="en-US" w:eastAsia="zh-CN"/>
        </w:rPr>
        <w:t>四</w:t>
      </w:r>
      <w:r>
        <w:rPr>
          <w:rFonts w:hint="eastAsia"/>
          <w:b w:val="0"/>
          <w:bCs w:val="0"/>
          <w:color w:val="auto"/>
          <w:u w:val="none"/>
        </w:rPr>
        <w:t>）</w:t>
      </w:r>
      <w:r>
        <w:rPr>
          <w:rFonts w:hint="eastAsia"/>
          <w:b w:val="0"/>
          <w:bCs w:val="0"/>
          <w:color w:val="auto"/>
          <w:u w:val="none"/>
          <w:lang w:val="en-US" w:eastAsia="zh-CN"/>
        </w:rPr>
        <w:t>指标体系</w:t>
      </w:r>
      <w:bookmarkEnd w:id="76"/>
      <w:bookmarkEnd w:id="77"/>
      <w:bookmarkEnd w:id="78"/>
      <w:bookmarkEnd w:id="79"/>
      <w:bookmarkEnd w:id="80"/>
      <w:bookmarkEnd w:id="81"/>
      <w:bookmarkEnd w:id="82"/>
      <w:bookmarkEnd w:id="83"/>
      <w:bookmarkEnd w:id="84"/>
      <w:bookmarkEnd w:id="85"/>
    </w:p>
    <w:p w14:paraId="0200344B">
      <w:pPr>
        <w:bidi w:val="0"/>
        <w:rPr>
          <w:rFonts w:hint="eastAsia"/>
          <w:b w:val="0"/>
          <w:bCs w:val="0"/>
          <w:color w:val="auto"/>
          <w:highlight w:val="none"/>
          <w:u w:val="none"/>
        </w:rPr>
      </w:pPr>
      <w:r>
        <w:rPr>
          <w:rFonts w:hint="eastAsia"/>
          <w:b w:val="0"/>
          <w:bCs w:val="0"/>
          <w:color w:val="auto"/>
          <w:highlight w:val="none"/>
          <w:u w:val="none"/>
          <w:lang w:val="en-US" w:eastAsia="zh-CN"/>
        </w:rPr>
        <w:t>立足市情区情与国家发展战略</w:t>
      </w:r>
      <w:r>
        <w:rPr>
          <w:rFonts w:hint="eastAsia"/>
          <w:b w:val="0"/>
          <w:bCs w:val="0"/>
          <w:color w:val="auto"/>
          <w:highlight w:val="none"/>
          <w:u w:val="none"/>
        </w:rPr>
        <w:t>，</w:t>
      </w:r>
      <w:r>
        <w:rPr>
          <w:rFonts w:hint="eastAsia"/>
          <w:b w:val="0"/>
          <w:bCs w:val="0"/>
          <w:color w:val="auto"/>
          <w:highlight w:val="none"/>
          <w:u w:val="none"/>
          <w:lang w:val="en-US" w:eastAsia="zh-CN"/>
        </w:rPr>
        <w:t>结合区域发展阶段性特征，</w:t>
      </w:r>
      <w:r>
        <w:rPr>
          <w:rFonts w:hint="eastAsia"/>
          <w:b w:val="0"/>
          <w:bCs w:val="0"/>
          <w:color w:val="auto"/>
          <w:highlight w:val="none"/>
          <w:u w:val="none"/>
        </w:rPr>
        <w:t>从</w:t>
      </w:r>
      <w:r>
        <w:rPr>
          <w:rFonts w:hint="eastAsia"/>
          <w:b w:val="0"/>
          <w:bCs w:val="0"/>
          <w:color w:val="auto"/>
          <w:highlight w:val="none"/>
          <w:u w:val="none"/>
          <w:lang w:val="en-US" w:eastAsia="zh-CN"/>
        </w:rPr>
        <w:t>绿色低碳发展</w:t>
      </w:r>
      <w:r>
        <w:rPr>
          <w:rFonts w:hint="eastAsia"/>
          <w:b w:val="0"/>
          <w:bCs w:val="0"/>
          <w:color w:val="auto"/>
          <w:highlight w:val="none"/>
          <w:u w:val="none"/>
        </w:rPr>
        <w:t>、</w:t>
      </w:r>
      <w:r>
        <w:rPr>
          <w:rFonts w:hint="eastAsia"/>
          <w:b w:val="0"/>
          <w:bCs w:val="0"/>
          <w:color w:val="auto"/>
          <w:highlight w:val="none"/>
          <w:u w:val="none"/>
          <w:lang w:val="en-US" w:eastAsia="zh-CN"/>
        </w:rPr>
        <w:t>生态</w:t>
      </w:r>
      <w:r>
        <w:rPr>
          <w:rFonts w:hint="eastAsia"/>
          <w:b w:val="0"/>
          <w:bCs w:val="0"/>
          <w:color w:val="auto"/>
          <w:highlight w:val="none"/>
          <w:u w:val="none"/>
        </w:rPr>
        <w:t>环境质量</w:t>
      </w:r>
      <w:r>
        <w:rPr>
          <w:rFonts w:hint="eastAsia"/>
          <w:b w:val="0"/>
          <w:bCs w:val="0"/>
          <w:color w:val="auto"/>
          <w:highlight w:val="none"/>
          <w:u w:val="none"/>
          <w:lang w:val="en-US" w:eastAsia="zh-CN"/>
        </w:rPr>
        <w:t>全面</w:t>
      </w:r>
      <w:r>
        <w:rPr>
          <w:rFonts w:hint="eastAsia"/>
          <w:b w:val="0"/>
          <w:bCs w:val="0"/>
          <w:color w:val="auto"/>
          <w:highlight w:val="none"/>
          <w:u w:val="none"/>
        </w:rPr>
        <w:t>改善、生态保护</w:t>
      </w:r>
      <w:r>
        <w:rPr>
          <w:rFonts w:hint="eastAsia"/>
          <w:b w:val="0"/>
          <w:bCs w:val="0"/>
          <w:color w:val="auto"/>
          <w:highlight w:val="none"/>
          <w:u w:val="none"/>
          <w:lang w:val="en-US" w:eastAsia="zh-CN"/>
        </w:rPr>
        <w:t>、</w:t>
      </w:r>
      <w:r>
        <w:rPr>
          <w:rFonts w:hint="eastAsia"/>
          <w:b w:val="0"/>
          <w:bCs w:val="0"/>
          <w:color w:val="auto"/>
          <w:highlight w:val="none"/>
          <w:u w:val="none"/>
        </w:rPr>
        <w:t>污染物减排</w:t>
      </w:r>
      <w:r>
        <w:rPr>
          <w:rFonts w:hint="eastAsia"/>
          <w:b w:val="0"/>
          <w:bCs w:val="0"/>
          <w:color w:val="auto"/>
          <w:highlight w:val="none"/>
          <w:u w:val="none"/>
          <w:lang w:eastAsia="zh-CN"/>
        </w:rPr>
        <w:t>、“</w:t>
      </w:r>
      <w:r>
        <w:rPr>
          <w:rFonts w:hint="eastAsia"/>
          <w:b w:val="0"/>
          <w:bCs w:val="0"/>
          <w:color w:val="auto"/>
          <w:highlight w:val="none"/>
          <w:u w:val="none"/>
          <w:lang w:val="en-US" w:eastAsia="zh-CN"/>
        </w:rPr>
        <w:t>美丽系列</w:t>
      </w:r>
      <w:r>
        <w:rPr>
          <w:rFonts w:hint="eastAsia"/>
          <w:b w:val="0"/>
          <w:bCs w:val="0"/>
          <w:color w:val="auto"/>
          <w:highlight w:val="none"/>
          <w:u w:val="none"/>
          <w:lang w:eastAsia="zh-CN"/>
        </w:rPr>
        <w:t>”</w:t>
      </w:r>
      <w:r>
        <w:rPr>
          <w:rFonts w:hint="eastAsia"/>
          <w:b w:val="0"/>
          <w:bCs w:val="0"/>
          <w:color w:val="auto"/>
          <w:highlight w:val="none"/>
          <w:u w:val="none"/>
          <w:lang w:val="en-US" w:eastAsia="zh-CN"/>
        </w:rPr>
        <w:t>建设等</w:t>
      </w:r>
      <w:r>
        <w:rPr>
          <w:rFonts w:hint="eastAsia"/>
          <w:b w:val="0"/>
          <w:bCs w:val="0"/>
          <w:color w:val="auto"/>
          <w:highlight w:val="none"/>
          <w:u w:val="none"/>
        </w:rPr>
        <w:t>方面建立</w:t>
      </w:r>
      <w:r>
        <w:rPr>
          <w:rFonts w:hint="eastAsia"/>
          <w:b w:val="0"/>
          <w:bCs w:val="0"/>
          <w:color w:val="auto"/>
          <w:highlight w:val="none"/>
          <w:u w:val="none"/>
          <w:lang w:val="en-US" w:eastAsia="zh-CN"/>
        </w:rPr>
        <w:t>24项</w:t>
      </w:r>
      <w:r>
        <w:rPr>
          <w:rFonts w:hint="eastAsia"/>
          <w:b w:val="0"/>
          <w:bCs w:val="0"/>
          <w:color w:val="auto"/>
          <w:highlight w:val="none"/>
          <w:u w:val="none"/>
        </w:rPr>
        <w:t>指标</w:t>
      </w:r>
      <w:r>
        <w:rPr>
          <w:rFonts w:hint="eastAsia"/>
          <w:b w:val="0"/>
          <w:bCs w:val="0"/>
          <w:color w:val="auto"/>
          <w:highlight w:val="none"/>
          <w:u w:val="none"/>
          <w:lang w:eastAsia="zh-CN"/>
        </w:rPr>
        <w:t>，</w:t>
      </w:r>
      <w:r>
        <w:rPr>
          <w:rFonts w:hint="eastAsia"/>
          <w:b w:val="0"/>
          <w:bCs w:val="0"/>
          <w:color w:val="auto"/>
          <w:highlight w:val="none"/>
          <w:u w:val="none"/>
        </w:rPr>
        <w:t>包括约束性指标</w:t>
      </w:r>
      <w:r>
        <w:rPr>
          <w:rFonts w:hint="eastAsia"/>
          <w:b w:val="0"/>
          <w:bCs w:val="0"/>
          <w:color w:val="auto"/>
          <w:highlight w:val="none"/>
          <w:u w:val="none"/>
          <w:lang w:val="en-US" w:eastAsia="zh-CN"/>
        </w:rPr>
        <w:t>11项</w:t>
      </w:r>
      <w:r>
        <w:rPr>
          <w:rFonts w:hint="eastAsia"/>
          <w:b w:val="0"/>
          <w:bCs w:val="0"/>
          <w:color w:val="auto"/>
          <w:highlight w:val="none"/>
          <w:u w:val="none"/>
        </w:rPr>
        <w:t>、预期性指标</w:t>
      </w:r>
      <w:r>
        <w:rPr>
          <w:rFonts w:hint="eastAsia"/>
          <w:b w:val="0"/>
          <w:bCs w:val="0"/>
          <w:color w:val="auto"/>
          <w:highlight w:val="none"/>
          <w:u w:val="none"/>
          <w:lang w:val="en-US" w:eastAsia="zh-CN"/>
        </w:rPr>
        <w:t>11项和</w:t>
      </w:r>
      <w:r>
        <w:rPr>
          <w:rFonts w:hint="eastAsia"/>
          <w:b w:val="0"/>
          <w:bCs w:val="0"/>
          <w:color w:val="auto"/>
          <w:highlight w:val="none"/>
          <w:u w:val="none"/>
        </w:rPr>
        <w:t>特色</w:t>
      </w:r>
      <w:r>
        <w:rPr>
          <w:rFonts w:hint="eastAsia"/>
          <w:b w:val="0"/>
          <w:bCs w:val="0"/>
          <w:color w:val="auto"/>
          <w:highlight w:val="none"/>
          <w:u w:val="none"/>
          <w:lang w:val="en-US" w:eastAsia="zh-CN"/>
        </w:rPr>
        <w:t>性</w:t>
      </w:r>
      <w:r>
        <w:rPr>
          <w:rFonts w:hint="eastAsia"/>
          <w:b w:val="0"/>
          <w:bCs w:val="0"/>
          <w:color w:val="auto"/>
          <w:highlight w:val="none"/>
          <w:u w:val="none"/>
        </w:rPr>
        <w:t>指标</w:t>
      </w:r>
      <w:r>
        <w:rPr>
          <w:rFonts w:hint="eastAsia"/>
          <w:b w:val="0"/>
          <w:bCs w:val="0"/>
          <w:color w:val="auto"/>
          <w:highlight w:val="none"/>
          <w:u w:val="none"/>
          <w:lang w:val="en-US" w:eastAsia="zh-CN"/>
        </w:rPr>
        <w:t>2项</w:t>
      </w:r>
      <w:r>
        <w:rPr>
          <w:rFonts w:hint="eastAsia"/>
          <w:b w:val="0"/>
          <w:bCs w:val="0"/>
          <w:color w:val="auto"/>
          <w:highlight w:val="none"/>
          <w:u w:val="none"/>
        </w:rPr>
        <w:t>。</w:t>
      </w:r>
    </w:p>
    <w:p w14:paraId="59F9BBE8">
      <w:pPr>
        <w:pStyle w:val="2"/>
        <w:rPr>
          <w:rFonts w:hint="eastAsia"/>
          <w:b w:val="0"/>
          <w:bCs w:val="0"/>
          <w:highlight w:val="none"/>
        </w:rPr>
      </w:pPr>
    </w:p>
    <w:p w14:paraId="4821CF7D">
      <w:pPr>
        <w:keepNext/>
        <w:bidi w:val="0"/>
        <w:jc w:val="center"/>
        <w:rPr>
          <w:rFonts w:hint="eastAsia" w:ascii="楷体_GB2312" w:hAnsi="楷体_GB2312" w:eastAsia="楷体_GB2312" w:cs="楷体_GB2312"/>
          <w:b w:val="0"/>
          <w:bCs w:val="0"/>
          <w:color w:val="auto"/>
          <w:highlight w:val="none"/>
          <w:u w:val="none"/>
          <w:lang w:val="en-US" w:eastAsia="zh-CN"/>
        </w:rPr>
      </w:pPr>
      <w:r>
        <w:rPr>
          <w:rFonts w:hint="eastAsia" w:ascii="楷体_GB2312" w:hAnsi="楷体_GB2312" w:eastAsia="楷体_GB2312" w:cs="楷体_GB2312"/>
          <w:b w:val="0"/>
          <w:bCs w:val="0"/>
          <w:color w:val="auto"/>
          <w:highlight w:val="none"/>
          <w:u w:val="none"/>
          <w:lang w:val="en-US" w:eastAsia="zh-CN"/>
        </w:rPr>
        <w:t>表1  “十五五”时期美丽顺义建设指标体系</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6"/>
        <w:gridCol w:w="647"/>
        <w:gridCol w:w="993"/>
        <w:gridCol w:w="2586"/>
        <w:gridCol w:w="1515"/>
        <w:gridCol w:w="1120"/>
        <w:gridCol w:w="1499"/>
      </w:tblGrid>
      <w:tr w14:paraId="593B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blHeader/>
        </w:trPr>
        <w:tc>
          <w:tcPr>
            <w:tcW w:w="384" w:type="pct"/>
            <w:tcBorders>
              <w:bottom w:val="single" w:color="auto" w:sz="4" w:space="0"/>
            </w:tcBorders>
            <w:shd w:val="clear" w:color="auto" w:fill="auto"/>
            <w:vAlign w:val="center"/>
          </w:tcPr>
          <w:p w14:paraId="0014FCA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序号</w:t>
            </w:r>
          </w:p>
        </w:tc>
        <w:tc>
          <w:tcPr>
            <w:tcW w:w="905" w:type="pct"/>
            <w:gridSpan w:val="2"/>
            <w:tcBorders>
              <w:bottom w:val="single" w:color="auto" w:sz="4" w:space="0"/>
            </w:tcBorders>
            <w:shd w:val="clear" w:color="auto" w:fill="auto"/>
            <w:vAlign w:val="center"/>
          </w:tcPr>
          <w:p w14:paraId="5885DB8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指标类别</w:t>
            </w:r>
          </w:p>
        </w:tc>
        <w:tc>
          <w:tcPr>
            <w:tcW w:w="1427" w:type="pct"/>
            <w:shd w:val="clear" w:color="auto" w:fill="auto"/>
            <w:vAlign w:val="center"/>
          </w:tcPr>
          <w:p w14:paraId="3B9DE1B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指标名称</w:t>
            </w:r>
          </w:p>
        </w:tc>
        <w:tc>
          <w:tcPr>
            <w:tcW w:w="836" w:type="pct"/>
            <w:shd w:val="clear" w:color="auto" w:fill="auto"/>
            <w:vAlign w:val="center"/>
          </w:tcPr>
          <w:p w14:paraId="18015B7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2030</w:t>
            </w:r>
            <w:r>
              <w:rPr>
                <w:rStyle w:val="36"/>
                <w:rFonts w:hint="eastAsia" w:ascii="仿宋_GB2312" w:hAnsi="仿宋_GB2312" w:eastAsia="仿宋_GB2312" w:cs="仿宋_GB2312"/>
                <w:b w:val="0"/>
                <w:bCs w:val="0"/>
                <w:color w:val="auto"/>
                <w:sz w:val="21"/>
                <w:szCs w:val="21"/>
                <w:highlight w:val="none"/>
                <w:u w:val="none"/>
                <w:lang w:val="en-US" w:eastAsia="zh-CN" w:bidi="ar"/>
              </w:rPr>
              <w:t>年目标</w:t>
            </w:r>
          </w:p>
        </w:tc>
        <w:tc>
          <w:tcPr>
            <w:tcW w:w="618" w:type="pct"/>
            <w:shd w:val="clear" w:color="auto" w:fill="auto"/>
            <w:vAlign w:val="center"/>
          </w:tcPr>
          <w:p w14:paraId="4F17F8F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指标属性</w:t>
            </w:r>
          </w:p>
        </w:tc>
        <w:tc>
          <w:tcPr>
            <w:tcW w:w="827" w:type="pct"/>
            <w:shd w:val="clear" w:color="auto" w:fill="auto"/>
            <w:vAlign w:val="center"/>
          </w:tcPr>
          <w:p w14:paraId="6E712780">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责任单位</w:t>
            </w:r>
          </w:p>
        </w:tc>
      </w:tr>
      <w:tr w14:paraId="0D38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2EC9B12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eastAsia" w:ascii="仿宋_GB2312" w:hAnsi="仿宋_GB2312" w:eastAsia="仿宋_GB2312" w:cs="仿宋_GB2312"/>
                <w:b w:val="0"/>
                <w:bCs w:val="0"/>
                <w:i w:val="0"/>
                <w:iCs w:val="0"/>
                <w:strike w:val="0"/>
                <w:color w:val="auto"/>
                <w:sz w:val="21"/>
                <w:szCs w:val="21"/>
                <w:highlight w:val="none"/>
                <w:u w:val="none"/>
                <w:lang w:val="en-US" w:eastAsia="zh-CN"/>
              </w:rPr>
            </w:pPr>
            <w:r>
              <w:rPr>
                <w:rFonts w:hint="eastAsia" w:cs="仿宋_GB2312"/>
                <w:b w:val="0"/>
                <w:bCs w:val="0"/>
                <w:i w:val="0"/>
                <w:iCs w:val="0"/>
                <w:strike w:val="0"/>
                <w:color w:val="auto"/>
                <w:sz w:val="21"/>
                <w:szCs w:val="21"/>
                <w:highlight w:val="none"/>
                <w:u w:val="none"/>
                <w:lang w:val="en-US" w:eastAsia="zh-CN"/>
              </w:rPr>
              <w:t>1</w:t>
            </w:r>
          </w:p>
        </w:tc>
        <w:tc>
          <w:tcPr>
            <w:tcW w:w="90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C53E36">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strike w:val="0"/>
                <w:color w:val="auto"/>
                <w:sz w:val="21"/>
                <w:szCs w:val="21"/>
                <w:highlight w:val="none"/>
                <w:u w:val="none"/>
              </w:rPr>
            </w:pPr>
            <w:r>
              <w:rPr>
                <w:rFonts w:hint="eastAsia" w:ascii="仿宋_GB2312" w:hAnsi="仿宋_GB2312" w:eastAsia="仿宋_GB2312" w:cs="仿宋_GB2312"/>
                <w:b w:val="0"/>
                <w:bCs w:val="0"/>
                <w:i w:val="0"/>
                <w:iCs w:val="0"/>
                <w:strike w:val="0"/>
                <w:color w:val="auto"/>
                <w:kern w:val="0"/>
                <w:sz w:val="21"/>
                <w:szCs w:val="21"/>
                <w:highlight w:val="none"/>
                <w:u w:val="none"/>
                <w:lang w:val="en-US" w:eastAsia="zh-CN" w:bidi="ar"/>
              </w:rPr>
              <w:t>绿色低碳发展</w:t>
            </w:r>
          </w:p>
        </w:tc>
        <w:tc>
          <w:tcPr>
            <w:tcW w:w="1427" w:type="pct"/>
            <w:tcBorders>
              <w:left w:val="single" w:color="auto" w:sz="4" w:space="0"/>
            </w:tcBorders>
            <w:shd w:val="clear" w:color="auto" w:fill="auto"/>
            <w:vAlign w:val="center"/>
          </w:tcPr>
          <w:p w14:paraId="33B97E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strike/>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单位地区生产总值二氧化碳排放</w:t>
            </w:r>
            <w:r>
              <w:rPr>
                <w:rFonts w:hint="eastAsia" w:cs="仿宋_GB2312"/>
                <w:b w:val="0"/>
                <w:bCs w:val="0"/>
                <w:i w:val="0"/>
                <w:iCs w:val="0"/>
                <w:color w:val="auto"/>
                <w:kern w:val="0"/>
                <w:sz w:val="21"/>
                <w:szCs w:val="21"/>
                <w:highlight w:val="none"/>
                <w:u w:val="none"/>
                <w:lang w:val="en-US" w:eastAsia="zh-CN" w:bidi="ar"/>
              </w:rPr>
              <w:t>降低</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r>
              <w:rPr>
                <w:rStyle w:val="37"/>
                <w:rFonts w:hint="eastAsia" w:ascii="仿宋_GB2312" w:hAnsi="仿宋_GB2312" w:eastAsia="仿宋_GB2312" w:cs="仿宋_GB2312"/>
                <w:b w:val="0"/>
                <w:bCs w:val="0"/>
                <w:color w:val="auto"/>
                <w:sz w:val="21"/>
                <w:szCs w:val="21"/>
                <w:highlight w:val="none"/>
                <w:u w:val="none"/>
                <w:lang w:val="en-US" w:eastAsia="zh-CN" w:bidi="ar"/>
              </w:rPr>
              <w:t>%</w:t>
            </w:r>
            <w:r>
              <w:rPr>
                <w:rStyle w:val="38"/>
                <w:rFonts w:hint="eastAsia" w:ascii="仿宋_GB2312" w:hAnsi="仿宋_GB2312" w:eastAsia="仿宋_GB2312" w:cs="仿宋_GB2312"/>
                <w:b w:val="0"/>
                <w:bCs w:val="0"/>
                <w:color w:val="auto"/>
                <w:sz w:val="21"/>
                <w:szCs w:val="21"/>
                <w:highlight w:val="none"/>
                <w:u w:val="none"/>
                <w:lang w:val="en-US" w:eastAsia="zh-CN" w:bidi="ar"/>
              </w:rPr>
              <w:t>）</w:t>
            </w:r>
          </w:p>
        </w:tc>
        <w:tc>
          <w:tcPr>
            <w:tcW w:w="836" w:type="pct"/>
            <w:shd w:val="clear" w:color="auto" w:fill="auto"/>
            <w:vAlign w:val="center"/>
          </w:tcPr>
          <w:p w14:paraId="7CE3AF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06F315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strike/>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7B8C36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strike/>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约束性</w:t>
            </w:r>
          </w:p>
        </w:tc>
        <w:tc>
          <w:tcPr>
            <w:tcW w:w="827" w:type="pct"/>
            <w:shd w:val="clear" w:color="auto" w:fill="auto"/>
            <w:vAlign w:val="center"/>
          </w:tcPr>
          <w:p w14:paraId="47D130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区发展改革委</w:t>
            </w:r>
          </w:p>
        </w:tc>
      </w:tr>
      <w:tr w14:paraId="33B8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65AA25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cs="仿宋_GB2312"/>
                <w:b w:val="0"/>
                <w:bCs w:val="0"/>
                <w:i w:val="0"/>
                <w:iCs w:val="0"/>
                <w:color w:val="auto"/>
                <w:sz w:val="21"/>
                <w:szCs w:val="21"/>
                <w:highlight w:val="none"/>
                <w:u w:val="none"/>
                <w:lang w:val="en-US" w:eastAsia="zh-CN"/>
              </w:rPr>
              <w:t>2</w:t>
            </w:r>
          </w:p>
        </w:tc>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6B756">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1427" w:type="pct"/>
            <w:tcBorders>
              <w:left w:val="single" w:color="auto" w:sz="4" w:space="0"/>
            </w:tcBorders>
            <w:shd w:val="clear" w:color="auto" w:fill="auto"/>
            <w:vAlign w:val="center"/>
          </w:tcPr>
          <w:p w14:paraId="64592D2B">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非化石能源</w:t>
            </w:r>
            <w:r>
              <w:rPr>
                <w:rFonts w:hint="eastAsia" w:cs="仿宋_GB2312"/>
                <w:b w:val="0"/>
                <w:bCs w:val="0"/>
                <w:i w:val="0"/>
                <w:iCs w:val="0"/>
                <w:color w:val="auto"/>
                <w:kern w:val="0"/>
                <w:sz w:val="21"/>
                <w:szCs w:val="21"/>
                <w:highlight w:val="none"/>
                <w:u w:val="none"/>
                <w:lang w:val="en-US" w:eastAsia="zh-CN" w:bidi="ar"/>
              </w:rPr>
              <w:t>占能源消费总量比重</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r>
              <w:rPr>
                <w:rFonts w:hint="eastAsia" w:cs="仿宋_GB2312"/>
                <w:b w:val="0"/>
                <w:bCs w:val="0"/>
                <w:i w:val="0"/>
                <w:iCs w:val="0"/>
                <w:color w:val="auto"/>
                <w:kern w:val="0"/>
                <w:sz w:val="21"/>
                <w:szCs w:val="21"/>
                <w:highlight w:val="none"/>
                <w:u w:val="none"/>
                <w:lang w:val="en-US" w:eastAsia="zh-CN" w:bidi="ar"/>
              </w:rPr>
              <w:t>%</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36" w:type="pct"/>
            <w:shd w:val="clear" w:color="auto" w:fill="auto"/>
            <w:vAlign w:val="center"/>
          </w:tcPr>
          <w:p w14:paraId="1A63FFE3">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10362004">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027985C0">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约束性</w:t>
            </w:r>
          </w:p>
        </w:tc>
        <w:tc>
          <w:tcPr>
            <w:tcW w:w="827" w:type="pct"/>
            <w:shd w:val="clear" w:color="auto" w:fill="auto"/>
            <w:vAlign w:val="center"/>
          </w:tcPr>
          <w:p w14:paraId="23029777">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区发展改革委</w:t>
            </w:r>
          </w:p>
        </w:tc>
      </w:tr>
      <w:tr w14:paraId="7647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074DAD8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eastAsia" w:ascii="仿宋_GB2312" w:hAnsi="仿宋_GB2312" w:eastAsia="仿宋_GB2312" w:cs="仿宋_GB2312"/>
                <w:b w:val="0"/>
                <w:bCs w:val="0"/>
                <w:i w:val="0"/>
                <w:iCs w:val="0"/>
                <w:color w:val="auto"/>
                <w:sz w:val="21"/>
                <w:szCs w:val="21"/>
                <w:highlight w:val="none"/>
                <w:u w:val="none"/>
                <w:lang w:val="en-US" w:eastAsia="zh-CN"/>
              </w:rPr>
            </w:pPr>
            <w:r>
              <w:rPr>
                <w:rFonts w:hint="eastAsia" w:cs="仿宋_GB2312"/>
                <w:b w:val="0"/>
                <w:bCs w:val="0"/>
                <w:i w:val="0"/>
                <w:iCs w:val="0"/>
                <w:color w:val="auto"/>
                <w:sz w:val="21"/>
                <w:szCs w:val="21"/>
                <w:highlight w:val="none"/>
                <w:u w:val="none"/>
                <w:lang w:val="en-US" w:eastAsia="zh-CN"/>
              </w:rPr>
              <w:t>3</w:t>
            </w:r>
          </w:p>
        </w:tc>
        <w:tc>
          <w:tcPr>
            <w:tcW w:w="90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A6491C">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1427" w:type="pct"/>
            <w:tcBorders>
              <w:left w:val="single" w:color="auto" w:sz="4" w:space="0"/>
            </w:tcBorders>
            <w:shd w:val="clear" w:color="auto" w:fill="auto"/>
            <w:vAlign w:val="center"/>
          </w:tcPr>
          <w:p w14:paraId="6B9DFF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“无废城市”指数</w:t>
            </w:r>
          </w:p>
        </w:tc>
        <w:tc>
          <w:tcPr>
            <w:tcW w:w="836" w:type="pct"/>
            <w:shd w:val="clear" w:color="auto" w:fill="auto"/>
            <w:vAlign w:val="center"/>
          </w:tcPr>
          <w:p w14:paraId="0EE286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17EC8C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293DC1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预期性</w:t>
            </w:r>
          </w:p>
        </w:tc>
        <w:tc>
          <w:tcPr>
            <w:tcW w:w="827" w:type="pct"/>
            <w:shd w:val="clear" w:color="auto" w:fill="auto"/>
            <w:vAlign w:val="center"/>
          </w:tcPr>
          <w:p w14:paraId="7CDC68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区生态环境局</w:t>
            </w:r>
          </w:p>
        </w:tc>
      </w:tr>
      <w:tr w14:paraId="2505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1D84B01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eastAsia" w:ascii="仿宋_GB2312" w:hAnsi="仿宋_GB2312" w:eastAsia="仿宋_GB2312" w:cs="仿宋_GB2312"/>
                <w:b w:val="0"/>
                <w:bCs w:val="0"/>
                <w:i w:val="0"/>
                <w:iCs w:val="0"/>
                <w:color w:val="auto"/>
                <w:sz w:val="21"/>
                <w:szCs w:val="21"/>
                <w:highlight w:val="none"/>
                <w:u w:val="none"/>
                <w:lang w:val="en-US" w:eastAsia="zh-CN"/>
              </w:rPr>
            </w:pPr>
            <w:r>
              <w:rPr>
                <w:rFonts w:hint="eastAsia" w:cs="仿宋_GB2312"/>
                <w:b w:val="0"/>
                <w:bCs w:val="0"/>
                <w:i w:val="0"/>
                <w:iCs w:val="0"/>
                <w:color w:val="auto"/>
                <w:sz w:val="21"/>
                <w:szCs w:val="21"/>
                <w:highlight w:val="none"/>
                <w:u w:val="none"/>
                <w:lang w:val="en-US" w:eastAsia="zh-CN"/>
              </w:rPr>
              <w:t>4</w:t>
            </w:r>
          </w:p>
        </w:tc>
        <w:tc>
          <w:tcPr>
            <w:tcW w:w="357" w:type="pct"/>
            <w:vMerge w:val="restart"/>
            <w:shd w:val="clear" w:color="auto" w:fill="auto"/>
            <w:vAlign w:val="center"/>
          </w:tcPr>
          <w:p w14:paraId="6397F4D5">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生态环境质量全面改善</w:t>
            </w:r>
          </w:p>
        </w:tc>
        <w:tc>
          <w:tcPr>
            <w:tcW w:w="548" w:type="pct"/>
            <w:vMerge w:val="restart"/>
            <w:shd w:val="clear" w:color="auto" w:fill="auto"/>
            <w:vAlign w:val="center"/>
          </w:tcPr>
          <w:p w14:paraId="4390DE3C">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大气环境质量</w:t>
            </w:r>
          </w:p>
        </w:tc>
        <w:tc>
          <w:tcPr>
            <w:tcW w:w="1427" w:type="pct"/>
            <w:shd w:val="clear" w:color="auto" w:fill="auto"/>
            <w:vAlign w:val="center"/>
          </w:tcPr>
          <w:p w14:paraId="76F0BE9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空气质量优良天数</w:t>
            </w:r>
            <w:r>
              <w:rPr>
                <w:rFonts w:hint="eastAsia" w:cs="仿宋_GB2312"/>
                <w:b w:val="0"/>
                <w:bCs w:val="0"/>
                <w:i w:val="0"/>
                <w:iCs w:val="0"/>
                <w:color w:val="auto"/>
                <w:kern w:val="0"/>
                <w:sz w:val="21"/>
                <w:szCs w:val="21"/>
                <w:highlight w:val="none"/>
                <w:u w:val="none"/>
                <w:lang w:val="en-US" w:eastAsia="zh-CN" w:bidi="ar"/>
              </w:rPr>
              <w:t>比率</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r>
              <w:rPr>
                <w:rStyle w:val="37"/>
                <w:rFonts w:hint="eastAsia" w:ascii="仿宋_GB2312" w:hAnsi="仿宋_GB2312" w:eastAsia="仿宋_GB2312" w:cs="仿宋_GB2312"/>
                <w:b w:val="0"/>
                <w:bCs w:val="0"/>
                <w:color w:val="auto"/>
                <w:sz w:val="21"/>
                <w:szCs w:val="21"/>
                <w:highlight w:val="none"/>
                <w:u w:val="none"/>
                <w:lang w:val="en-US" w:eastAsia="zh-CN" w:bidi="ar"/>
              </w:rPr>
              <w:t>%</w:t>
            </w:r>
            <w:r>
              <w:rPr>
                <w:rStyle w:val="38"/>
                <w:rFonts w:hint="eastAsia" w:ascii="仿宋_GB2312" w:hAnsi="仿宋_GB2312" w:eastAsia="仿宋_GB2312" w:cs="仿宋_GB2312"/>
                <w:b w:val="0"/>
                <w:bCs w:val="0"/>
                <w:color w:val="auto"/>
                <w:sz w:val="21"/>
                <w:szCs w:val="21"/>
                <w:highlight w:val="none"/>
                <w:u w:val="none"/>
                <w:lang w:val="en-US" w:eastAsia="zh-CN" w:bidi="ar"/>
              </w:rPr>
              <w:t>）</w:t>
            </w:r>
          </w:p>
        </w:tc>
        <w:tc>
          <w:tcPr>
            <w:tcW w:w="836" w:type="pct"/>
            <w:shd w:val="clear" w:color="auto" w:fill="auto"/>
            <w:vAlign w:val="center"/>
          </w:tcPr>
          <w:p w14:paraId="3E3876FF">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稳中向好</w:t>
            </w:r>
          </w:p>
        </w:tc>
        <w:tc>
          <w:tcPr>
            <w:tcW w:w="618" w:type="pct"/>
            <w:shd w:val="clear" w:color="auto" w:fill="auto"/>
            <w:vAlign w:val="center"/>
          </w:tcPr>
          <w:p w14:paraId="298F6D4A">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cs="仿宋_GB2312"/>
                <w:b w:val="0"/>
                <w:bCs w:val="0"/>
                <w:i w:val="0"/>
                <w:iCs w:val="0"/>
                <w:color w:val="auto"/>
                <w:kern w:val="0"/>
                <w:sz w:val="21"/>
                <w:szCs w:val="21"/>
                <w:highlight w:val="none"/>
                <w:u w:val="none"/>
                <w:lang w:val="en-US" w:eastAsia="zh-CN" w:bidi="ar"/>
              </w:rPr>
              <w:t>约束性</w:t>
            </w:r>
          </w:p>
        </w:tc>
        <w:tc>
          <w:tcPr>
            <w:tcW w:w="827" w:type="pct"/>
            <w:vMerge w:val="restart"/>
            <w:shd w:val="clear" w:color="auto" w:fill="auto"/>
            <w:vAlign w:val="center"/>
          </w:tcPr>
          <w:p w14:paraId="06C70566">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区生态环境局</w:t>
            </w:r>
          </w:p>
        </w:tc>
      </w:tr>
      <w:tr w14:paraId="66AD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2A61978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eastAsia" w:ascii="仿宋_GB2312" w:hAnsi="仿宋_GB2312" w:eastAsia="仿宋_GB2312" w:cs="仿宋_GB2312"/>
                <w:b w:val="0"/>
                <w:bCs w:val="0"/>
                <w:i w:val="0"/>
                <w:iCs w:val="0"/>
                <w:color w:val="auto"/>
                <w:sz w:val="21"/>
                <w:szCs w:val="21"/>
                <w:highlight w:val="none"/>
                <w:u w:val="none"/>
                <w:lang w:val="en-US" w:eastAsia="zh-CN"/>
              </w:rPr>
            </w:pPr>
            <w:r>
              <w:rPr>
                <w:rFonts w:hint="eastAsia" w:cs="仿宋_GB2312"/>
                <w:b w:val="0"/>
                <w:bCs w:val="0"/>
                <w:i w:val="0"/>
                <w:iCs w:val="0"/>
                <w:color w:val="auto"/>
                <w:sz w:val="21"/>
                <w:szCs w:val="21"/>
                <w:highlight w:val="none"/>
                <w:u w:val="none"/>
                <w:lang w:val="en-US" w:eastAsia="zh-CN"/>
              </w:rPr>
              <w:t>5</w:t>
            </w:r>
          </w:p>
        </w:tc>
        <w:tc>
          <w:tcPr>
            <w:tcW w:w="357" w:type="pct"/>
            <w:vMerge w:val="continue"/>
            <w:shd w:val="clear" w:color="auto" w:fill="auto"/>
            <w:vAlign w:val="center"/>
          </w:tcPr>
          <w:p w14:paraId="002F49F1">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548" w:type="pct"/>
            <w:vMerge w:val="continue"/>
            <w:shd w:val="clear" w:color="auto" w:fill="auto"/>
            <w:vAlign w:val="center"/>
          </w:tcPr>
          <w:p w14:paraId="645887DF">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1427" w:type="pct"/>
            <w:shd w:val="clear" w:color="auto" w:fill="auto"/>
            <w:vAlign w:val="center"/>
          </w:tcPr>
          <w:p w14:paraId="4D9D64D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细颗粒物（</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PM</w:t>
            </w:r>
            <w:r>
              <w:rPr>
                <w:rFonts w:hint="eastAsia" w:ascii="仿宋_GB2312" w:hAnsi="仿宋_GB2312" w:eastAsia="仿宋_GB2312" w:cs="仿宋_GB2312"/>
                <w:b w:val="0"/>
                <w:bCs w:val="0"/>
                <w:i w:val="0"/>
                <w:iCs w:val="0"/>
                <w:color w:val="auto"/>
                <w:kern w:val="0"/>
                <w:sz w:val="21"/>
                <w:szCs w:val="21"/>
                <w:highlight w:val="none"/>
                <w:u w:val="none"/>
                <w:vertAlign w:val="subscript"/>
                <w:lang w:val="en-US" w:eastAsia="zh-CN" w:bidi="ar"/>
              </w:rPr>
              <w:t>2.5</w:t>
            </w:r>
            <w:r>
              <w:rPr>
                <w:rFonts w:hint="eastAsia" w:cs="仿宋_GB2312"/>
                <w:b w:val="0"/>
                <w:bCs w:val="0"/>
                <w:i w:val="0"/>
                <w:iCs w:val="0"/>
                <w:color w:val="auto"/>
                <w:kern w:val="0"/>
                <w:sz w:val="21"/>
                <w:szCs w:val="21"/>
                <w:highlight w:val="none"/>
                <w:u w:val="none"/>
                <w:lang w:val="en-US" w:eastAsia="zh-CN" w:bidi="ar"/>
              </w:rPr>
              <w:t>）</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年均浓度</w:t>
            </w:r>
          </w:p>
          <w:p w14:paraId="678E948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（微克</w:t>
            </w:r>
            <w:r>
              <w:rPr>
                <w:rStyle w:val="37"/>
                <w:rFonts w:hint="eastAsia" w:ascii="仿宋_GB2312" w:hAnsi="仿宋_GB2312" w:eastAsia="仿宋_GB2312" w:cs="仿宋_GB2312"/>
                <w:b w:val="0"/>
                <w:bCs w:val="0"/>
                <w:color w:val="auto"/>
                <w:sz w:val="21"/>
                <w:szCs w:val="21"/>
                <w:highlight w:val="none"/>
                <w:u w:val="none"/>
                <w:lang w:val="en-US" w:eastAsia="zh-CN" w:bidi="ar"/>
              </w:rPr>
              <w:t>/</w:t>
            </w:r>
            <w:r>
              <w:rPr>
                <w:rStyle w:val="38"/>
                <w:rFonts w:hint="eastAsia" w:ascii="仿宋_GB2312" w:hAnsi="仿宋_GB2312" w:eastAsia="仿宋_GB2312" w:cs="仿宋_GB2312"/>
                <w:b w:val="0"/>
                <w:bCs w:val="0"/>
                <w:color w:val="auto"/>
                <w:sz w:val="21"/>
                <w:szCs w:val="21"/>
                <w:highlight w:val="none"/>
                <w:u w:val="none"/>
                <w:lang w:val="en-US" w:eastAsia="zh-CN" w:bidi="ar"/>
              </w:rPr>
              <w:t>立方米）</w:t>
            </w:r>
          </w:p>
        </w:tc>
        <w:tc>
          <w:tcPr>
            <w:tcW w:w="836" w:type="pct"/>
            <w:shd w:val="clear" w:color="auto" w:fill="auto"/>
            <w:vAlign w:val="center"/>
          </w:tcPr>
          <w:p w14:paraId="30B27E8A">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273FB66A">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2EE15575">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约束性</w:t>
            </w:r>
          </w:p>
        </w:tc>
        <w:tc>
          <w:tcPr>
            <w:tcW w:w="827" w:type="pct"/>
            <w:vMerge w:val="continue"/>
            <w:shd w:val="clear" w:color="auto" w:fill="auto"/>
            <w:vAlign w:val="center"/>
          </w:tcPr>
          <w:p w14:paraId="08DAC094">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r>
      <w:tr w14:paraId="73F9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0479886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eastAsia" w:ascii="仿宋_GB2312" w:hAnsi="仿宋_GB2312" w:eastAsia="仿宋_GB2312" w:cs="仿宋_GB2312"/>
                <w:b w:val="0"/>
                <w:bCs w:val="0"/>
                <w:i w:val="0"/>
                <w:iCs w:val="0"/>
                <w:color w:val="auto"/>
                <w:sz w:val="21"/>
                <w:szCs w:val="21"/>
                <w:highlight w:val="none"/>
                <w:u w:val="none"/>
                <w:lang w:eastAsia="zh-CN"/>
              </w:rPr>
            </w:pPr>
            <w:r>
              <w:rPr>
                <w:rFonts w:hint="eastAsia" w:cs="仿宋_GB2312"/>
                <w:b w:val="0"/>
                <w:bCs w:val="0"/>
                <w:i w:val="0"/>
                <w:iCs w:val="0"/>
                <w:color w:val="auto"/>
                <w:sz w:val="21"/>
                <w:szCs w:val="21"/>
                <w:highlight w:val="none"/>
                <w:u w:val="none"/>
                <w:lang w:val="en-US" w:eastAsia="zh-CN"/>
              </w:rPr>
              <w:t>6</w:t>
            </w:r>
          </w:p>
        </w:tc>
        <w:tc>
          <w:tcPr>
            <w:tcW w:w="357" w:type="pct"/>
            <w:vMerge w:val="continue"/>
            <w:shd w:val="clear" w:color="auto" w:fill="auto"/>
            <w:vAlign w:val="center"/>
          </w:tcPr>
          <w:p w14:paraId="255E6A16">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548" w:type="pct"/>
            <w:vMerge w:val="continue"/>
            <w:shd w:val="clear" w:color="auto" w:fill="auto"/>
            <w:vAlign w:val="center"/>
          </w:tcPr>
          <w:p w14:paraId="7ADD0506">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1427" w:type="pct"/>
            <w:shd w:val="clear" w:color="auto" w:fill="auto"/>
            <w:vAlign w:val="center"/>
          </w:tcPr>
          <w:p w14:paraId="6461B66F">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cs="仿宋_GB2312"/>
                <w:b w:val="0"/>
                <w:bCs w:val="0"/>
                <w:i w:val="0"/>
                <w:iCs w:val="0"/>
                <w:color w:val="auto"/>
                <w:kern w:val="0"/>
                <w:sz w:val="21"/>
                <w:szCs w:val="21"/>
                <w:highlight w:val="none"/>
                <w:u w:val="none"/>
                <w:lang w:val="en-US" w:eastAsia="zh-CN" w:bidi="ar"/>
              </w:rPr>
              <w:t>重污染天数（天）</w:t>
            </w:r>
          </w:p>
        </w:tc>
        <w:tc>
          <w:tcPr>
            <w:tcW w:w="836" w:type="pct"/>
            <w:shd w:val="clear" w:color="auto" w:fill="auto"/>
            <w:vAlign w:val="center"/>
          </w:tcPr>
          <w:p w14:paraId="31DCB7B5">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71310CB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44A83AFA">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cs="仿宋_GB2312"/>
                <w:b w:val="0"/>
                <w:bCs w:val="0"/>
                <w:i w:val="0"/>
                <w:iCs w:val="0"/>
                <w:color w:val="auto"/>
                <w:kern w:val="0"/>
                <w:sz w:val="21"/>
                <w:szCs w:val="21"/>
                <w:highlight w:val="none"/>
                <w:u w:val="none"/>
                <w:lang w:val="en-US" w:eastAsia="zh-CN" w:bidi="ar"/>
              </w:rPr>
              <w:t>约束性</w:t>
            </w:r>
          </w:p>
        </w:tc>
        <w:tc>
          <w:tcPr>
            <w:tcW w:w="827" w:type="pct"/>
            <w:vMerge w:val="continue"/>
            <w:shd w:val="clear" w:color="auto" w:fill="auto"/>
            <w:vAlign w:val="center"/>
          </w:tcPr>
          <w:p w14:paraId="0C23EC1B">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r>
      <w:tr w14:paraId="6BD1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trPr>
        <w:tc>
          <w:tcPr>
            <w:tcW w:w="384" w:type="pct"/>
            <w:shd w:val="clear" w:color="auto" w:fill="auto"/>
            <w:vAlign w:val="center"/>
          </w:tcPr>
          <w:p w14:paraId="585DD22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eastAsia" w:ascii="仿宋_GB2312" w:hAnsi="仿宋_GB2312" w:eastAsia="仿宋_GB2312" w:cs="仿宋_GB2312"/>
                <w:b w:val="0"/>
                <w:bCs w:val="0"/>
                <w:i w:val="0"/>
                <w:iCs w:val="0"/>
                <w:color w:val="auto"/>
                <w:sz w:val="21"/>
                <w:szCs w:val="21"/>
                <w:highlight w:val="none"/>
                <w:u w:val="none"/>
                <w:lang w:eastAsia="zh-CN"/>
              </w:rPr>
            </w:pPr>
            <w:r>
              <w:rPr>
                <w:rFonts w:hint="eastAsia" w:cs="仿宋_GB2312"/>
                <w:b w:val="0"/>
                <w:bCs w:val="0"/>
                <w:i w:val="0"/>
                <w:iCs w:val="0"/>
                <w:color w:val="auto"/>
                <w:sz w:val="21"/>
                <w:szCs w:val="21"/>
                <w:highlight w:val="none"/>
                <w:u w:val="none"/>
                <w:lang w:val="en-US" w:eastAsia="zh-CN"/>
              </w:rPr>
              <w:t>7</w:t>
            </w:r>
          </w:p>
        </w:tc>
        <w:tc>
          <w:tcPr>
            <w:tcW w:w="357" w:type="pct"/>
            <w:vMerge w:val="continue"/>
            <w:shd w:val="clear" w:color="auto" w:fill="auto"/>
            <w:vAlign w:val="center"/>
          </w:tcPr>
          <w:p w14:paraId="191378BD">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548" w:type="pct"/>
            <w:vMerge w:val="restart"/>
            <w:shd w:val="clear" w:color="auto" w:fill="auto"/>
            <w:vAlign w:val="center"/>
          </w:tcPr>
          <w:p w14:paraId="79A3AAE4">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lang w:val="en-US" w:eastAsia="zh-CN"/>
              </w:rPr>
            </w:pPr>
            <w:r>
              <w:rPr>
                <w:rFonts w:hint="eastAsia" w:ascii="仿宋_GB2312" w:hAnsi="仿宋_GB2312" w:eastAsia="仿宋_GB2312" w:cs="仿宋_GB2312"/>
                <w:b w:val="0"/>
                <w:bCs w:val="0"/>
                <w:i w:val="0"/>
                <w:iCs w:val="0"/>
                <w:color w:val="auto"/>
                <w:sz w:val="21"/>
                <w:szCs w:val="21"/>
                <w:highlight w:val="none"/>
                <w:u w:val="none"/>
                <w:lang w:val="en-US" w:eastAsia="zh-CN"/>
              </w:rPr>
              <w:t>水生态环境质量</w:t>
            </w:r>
          </w:p>
        </w:tc>
        <w:tc>
          <w:tcPr>
            <w:tcW w:w="1427" w:type="pct"/>
            <w:shd w:val="clear" w:color="auto" w:fill="auto"/>
            <w:vAlign w:val="center"/>
          </w:tcPr>
          <w:p w14:paraId="7208477A">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cs="仿宋_GB2312"/>
                <w:b w:val="0"/>
                <w:bCs w:val="0"/>
                <w:i w:val="0"/>
                <w:iCs w:val="0"/>
                <w:color w:val="auto"/>
                <w:kern w:val="0"/>
                <w:sz w:val="21"/>
                <w:szCs w:val="21"/>
                <w:highlight w:val="none"/>
                <w:u w:val="none"/>
                <w:lang w:val="en-US" w:eastAsia="zh-CN" w:bidi="ar"/>
              </w:rPr>
              <w:t>地表水</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优良水体比例（</w:t>
            </w:r>
            <w:r>
              <w:rPr>
                <w:rStyle w:val="37"/>
                <w:rFonts w:hint="eastAsia" w:ascii="仿宋_GB2312" w:hAnsi="仿宋_GB2312" w:eastAsia="仿宋_GB2312" w:cs="仿宋_GB2312"/>
                <w:b w:val="0"/>
                <w:bCs w:val="0"/>
                <w:color w:val="auto"/>
                <w:sz w:val="21"/>
                <w:szCs w:val="21"/>
                <w:highlight w:val="none"/>
                <w:u w:val="none"/>
                <w:lang w:val="en-US" w:eastAsia="zh-CN" w:bidi="ar"/>
              </w:rPr>
              <w:t>%</w:t>
            </w:r>
            <w:r>
              <w:rPr>
                <w:rStyle w:val="38"/>
                <w:rFonts w:hint="eastAsia" w:ascii="仿宋_GB2312" w:hAnsi="仿宋_GB2312" w:eastAsia="仿宋_GB2312" w:cs="仿宋_GB2312"/>
                <w:b w:val="0"/>
                <w:bCs w:val="0"/>
                <w:color w:val="auto"/>
                <w:sz w:val="21"/>
                <w:szCs w:val="21"/>
                <w:highlight w:val="none"/>
                <w:u w:val="none"/>
                <w:lang w:val="en-US" w:eastAsia="zh-CN" w:bidi="ar"/>
              </w:rPr>
              <w:t>）</w:t>
            </w:r>
          </w:p>
        </w:tc>
        <w:tc>
          <w:tcPr>
            <w:tcW w:w="836" w:type="pct"/>
            <w:shd w:val="clear" w:color="auto" w:fill="auto"/>
            <w:vAlign w:val="center"/>
          </w:tcPr>
          <w:p w14:paraId="2C54E8DB">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481B7EA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067B013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约束性</w:t>
            </w:r>
          </w:p>
        </w:tc>
        <w:tc>
          <w:tcPr>
            <w:tcW w:w="827" w:type="pct"/>
            <w:vMerge w:val="restart"/>
            <w:shd w:val="clear" w:color="auto" w:fill="auto"/>
            <w:vAlign w:val="center"/>
          </w:tcPr>
          <w:p w14:paraId="7616600B">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区生态环境局</w:t>
            </w:r>
          </w:p>
        </w:tc>
      </w:tr>
      <w:tr w14:paraId="6783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4136157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eastAsia" w:ascii="仿宋_GB2312" w:hAnsi="仿宋_GB2312" w:eastAsia="仿宋_GB2312" w:cs="仿宋_GB2312"/>
                <w:b w:val="0"/>
                <w:bCs w:val="0"/>
                <w:i w:val="0"/>
                <w:iCs w:val="0"/>
                <w:color w:val="auto"/>
                <w:sz w:val="21"/>
                <w:szCs w:val="21"/>
                <w:highlight w:val="none"/>
                <w:u w:val="none"/>
                <w:lang w:val="en-US" w:eastAsia="zh-CN"/>
              </w:rPr>
            </w:pPr>
            <w:r>
              <w:rPr>
                <w:rFonts w:hint="eastAsia" w:cs="仿宋_GB2312"/>
                <w:b w:val="0"/>
                <w:bCs w:val="0"/>
                <w:i w:val="0"/>
                <w:iCs w:val="0"/>
                <w:color w:val="auto"/>
                <w:sz w:val="21"/>
                <w:szCs w:val="21"/>
                <w:highlight w:val="none"/>
                <w:u w:val="none"/>
                <w:lang w:val="en-US" w:eastAsia="zh-CN"/>
              </w:rPr>
              <w:t>8</w:t>
            </w:r>
          </w:p>
        </w:tc>
        <w:tc>
          <w:tcPr>
            <w:tcW w:w="357" w:type="pct"/>
            <w:vMerge w:val="continue"/>
            <w:shd w:val="clear" w:color="auto" w:fill="auto"/>
            <w:vAlign w:val="center"/>
          </w:tcPr>
          <w:p w14:paraId="3CF6CD23">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548" w:type="pct"/>
            <w:vMerge w:val="continue"/>
            <w:shd w:val="clear" w:color="auto" w:fill="auto"/>
            <w:vAlign w:val="center"/>
          </w:tcPr>
          <w:p w14:paraId="0FF830B8">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lang w:val="en-US" w:eastAsia="zh-CN"/>
              </w:rPr>
            </w:pPr>
          </w:p>
        </w:tc>
        <w:tc>
          <w:tcPr>
            <w:tcW w:w="1427" w:type="pct"/>
            <w:shd w:val="clear" w:color="auto" w:fill="auto"/>
            <w:vAlign w:val="center"/>
          </w:tcPr>
          <w:p w14:paraId="47FF542E">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地下水</w:t>
            </w:r>
            <w:r>
              <w:rPr>
                <w:rFonts w:hint="eastAsia" w:cs="仿宋_GB2312"/>
                <w:b w:val="0"/>
                <w:bCs w:val="0"/>
                <w:i w:val="0"/>
                <w:iCs w:val="0"/>
                <w:color w:val="auto"/>
                <w:kern w:val="0"/>
                <w:sz w:val="21"/>
                <w:szCs w:val="21"/>
                <w:highlight w:val="none"/>
                <w:u w:val="none"/>
                <w:lang w:val="en-US" w:eastAsia="zh-CN" w:bidi="ar"/>
              </w:rPr>
              <w:t>优良水体</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比例（%）</w:t>
            </w:r>
          </w:p>
        </w:tc>
        <w:tc>
          <w:tcPr>
            <w:tcW w:w="836" w:type="pct"/>
            <w:shd w:val="clear" w:color="auto" w:fill="auto"/>
            <w:vAlign w:val="center"/>
          </w:tcPr>
          <w:p w14:paraId="213304E2">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0F987F38">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4CF8317E">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预期性</w:t>
            </w:r>
          </w:p>
        </w:tc>
        <w:tc>
          <w:tcPr>
            <w:tcW w:w="827" w:type="pct"/>
            <w:vMerge w:val="continue"/>
            <w:shd w:val="clear" w:color="auto" w:fill="auto"/>
            <w:vAlign w:val="center"/>
          </w:tcPr>
          <w:p w14:paraId="6F07D9FF">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r>
      <w:tr w14:paraId="3B9F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7721EED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9</w:t>
            </w:r>
          </w:p>
        </w:tc>
        <w:tc>
          <w:tcPr>
            <w:tcW w:w="357" w:type="pct"/>
            <w:vMerge w:val="continue"/>
            <w:shd w:val="clear" w:color="auto" w:fill="auto"/>
            <w:vAlign w:val="center"/>
          </w:tcPr>
          <w:p w14:paraId="4F7C9602">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548" w:type="pct"/>
            <w:vMerge w:val="continue"/>
            <w:shd w:val="clear" w:color="auto" w:fill="auto"/>
            <w:vAlign w:val="center"/>
          </w:tcPr>
          <w:p w14:paraId="266AE854">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lang w:val="en-US" w:eastAsia="zh-CN"/>
              </w:rPr>
            </w:pPr>
          </w:p>
        </w:tc>
        <w:tc>
          <w:tcPr>
            <w:tcW w:w="1427" w:type="pct"/>
            <w:shd w:val="clear" w:color="auto" w:fill="auto"/>
            <w:vAlign w:val="center"/>
          </w:tcPr>
          <w:p w14:paraId="305AAC50">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总氮平均浓度下降比例</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w:t>
            </w:r>
          </w:p>
        </w:tc>
        <w:tc>
          <w:tcPr>
            <w:tcW w:w="836" w:type="pct"/>
            <w:shd w:val="clear" w:color="auto" w:fill="auto"/>
            <w:vAlign w:val="center"/>
          </w:tcPr>
          <w:p w14:paraId="4AA4DE77">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64045C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21E869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预期性</w:t>
            </w:r>
          </w:p>
        </w:tc>
        <w:tc>
          <w:tcPr>
            <w:tcW w:w="827" w:type="pct"/>
            <w:vMerge w:val="continue"/>
            <w:shd w:val="clear" w:color="auto" w:fill="auto"/>
            <w:vAlign w:val="center"/>
          </w:tcPr>
          <w:p w14:paraId="4BA9FA80">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r>
      <w:tr w14:paraId="668B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0CF7E21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10</w:t>
            </w:r>
          </w:p>
        </w:tc>
        <w:tc>
          <w:tcPr>
            <w:tcW w:w="357" w:type="pct"/>
            <w:vMerge w:val="continue"/>
            <w:shd w:val="clear" w:color="auto" w:fill="auto"/>
            <w:vAlign w:val="center"/>
          </w:tcPr>
          <w:p w14:paraId="47DFE9EF">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c>
          <w:tcPr>
            <w:tcW w:w="548" w:type="pct"/>
            <w:vMerge w:val="restart"/>
            <w:shd w:val="clear" w:color="auto" w:fill="auto"/>
            <w:vAlign w:val="center"/>
          </w:tcPr>
          <w:p w14:paraId="4C23FB06">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土壤环境质量</w:t>
            </w:r>
          </w:p>
        </w:tc>
        <w:tc>
          <w:tcPr>
            <w:tcW w:w="1427" w:type="pct"/>
            <w:shd w:val="clear" w:color="auto" w:fill="auto"/>
            <w:vAlign w:val="center"/>
          </w:tcPr>
          <w:p w14:paraId="7B610390">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受污染耕地安全利用率（</w:t>
            </w:r>
            <w:r>
              <w:rPr>
                <w:rStyle w:val="37"/>
                <w:rFonts w:hint="eastAsia" w:ascii="仿宋_GB2312" w:hAnsi="仿宋_GB2312" w:eastAsia="仿宋_GB2312" w:cs="仿宋_GB2312"/>
                <w:b w:val="0"/>
                <w:bCs w:val="0"/>
                <w:color w:val="auto"/>
                <w:sz w:val="21"/>
                <w:szCs w:val="21"/>
                <w:highlight w:val="none"/>
                <w:u w:val="none"/>
                <w:lang w:val="en-US" w:eastAsia="zh-CN" w:bidi="ar"/>
              </w:rPr>
              <w:t>%</w:t>
            </w:r>
            <w:r>
              <w:rPr>
                <w:rStyle w:val="38"/>
                <w:rFonts w:hint="eastAsia" w:ascii="仿宋_GB2312" w:hAnsi="仿宋_GB2312" w:eastAsia="仿宋_GB2312" w:cs="仿宋_GB2312"/>
                <w:b w:val="0"/>
                <w:bCs w:val="0"/>
                <w:color w:val="auto"/>
                <w:sz w:val="21"/>
                <w:szCs w:val="21"/>
                <w:highlight w:val="none"/>
                <w:u w:val="none"/>
                <w:lang w:val="en-US" w:eastAsia="zh-CN" w:bidi="ar"/>
              </w:rPr>
              <w:t>）</w:t>
            </w:r>
          </w:p>
        </w:tc>
        <w:tc>
          <w:tcPr>
            <w:tcW w:w="836" w:type="pct"/>
            <w:shd w:val="clear" w:color="auto" w:fill="auto"/>
            <w:vAlign w:val="center"/>
          </w:tcPr>
          <w:p w14:paraId="4F31FCE8">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lang w:val="en-US"/>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100</w:t>
            </w:r>
          </w:p>
        </w:tc>
        <w:tc>
          <w:tcPr>
            <w:tcW w:w="618" w:type="pct"/>
            <w:shd w:val="clear" w:color="auto" w:fill="auto"/>
            <w:vAlign w:val="center"/>
          </w:tcPr>
          <w:p w14:paraId="12729EA8">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约束性</w:t>
            </w:r>
          </w:p>
        </w:tc>
        <w:tc>
          <w:tcPr>
            <w:tcW w:w="827" w:type="pct"/>
            <w:shd w:val="clear" w:color="auto" w:fill="auto"/>
            <w:vAlign w:val="center"/>
          </w:tcPr>
          <w:p w14:paraId="36631B3D">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区农业农村局</w:t>
            </w:r>
          </w:p>
        </w:tc>
      </w:tr>
      <w:tr w14:paraId="2439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757EE70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11</w:t>
            </w:r>
          </w:p>
        </w:tc>
        <w:tc>
          <w:tcPr>
            <w:tcW w:w="357" w:type="pct"/>
            <w:vMerge w:val="continue"/>
            <w:shd w:val="clear" w:color="auto" w:fill="auto"/>
            <w:vAlign w:val="center"/>
          </w:tcPr>
          <w:p w14:paraId="22BBA9EF">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548" w:type="pct"/>
            <w:vMerge w:val="continue"/>
            <w:shd w:val="clear" w:color="auto" w:fill="auto"/>
            <w:vAlign w:val="center"/>
          </w:tcPr>
          <w:p w14:paraId="38601907">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1427" w:type="pct"/>
            <w:shd w:val="clear" w:color="auto" w:fill="auto"/>
            <w:vAlign w:val="center"/>
          </w:tcPr>
          <w:p w14:paraId="2B1A7558">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建设用地安全利用</w:t>
            </w:r>
          </w:p>
        </w:tc>
        <w:tc>
          <w:tcPr>
            <w:tcW w:w="836" w:type="pct"/>
            <w:shd w:val="clear" w:color="auto" w:fill="auto"/>
            <w:vAlign w:val="center"/>
          </w:tcPr>
          <w:p w14:paraId="14F2C297">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有效保障</w:t>
            </w:r>
          </w:p>
        </w:tc>
        <w:tc>
          <w:tcPr>
            <w:tcW w:w="618" w:type="pct"/>
            <w:shd w:val="clear" w:color="auto" w:fill="auto"/>
            <w:vAlign w:val="center"/>
          </w:tcPr>
          <w:p w14:paraId="40163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预期性</w:t>
            </w:r>
          </w:p>
        </w:tc>
        <w:tc>
          <w:tcPr>
            <w:tcW w:w="827" w:type="pct"/>
            <w:shd w:val="clear" w:color="auto" w:fill="auto"/>
            <w:vAlign w:val="center"/>
          </w:tcPr>
          <w:p w14:paraId="2C209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区生态环境局</w:t>
            </w:r>
          </w:p>
        </w:tc>
      </w:tr>
      <w:tr w14:paraId="7751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6D056FF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12</w:t>
            </w:r>
          </w:p>
        </w:tc>
        <w:tc>
          <w:tcPr>
            <w:tcW w:w="357" w:type="pct"/>
            <w:vMerge w:val="continue"/>
            <w:shd w:val="clear" w:color="auto" w:fill="auto"/>
            <w:vAlign w:val="center"/>
          </w:tcPr>
          <w:p w14:paraId="178B2879">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548" w:type="pct"/>
            <w:shd w:val="clear" w:color="auto" w:fill="auto"/>
            <w:vAlign w:val="center"/>
          </w:tcPr>
          <w:p w14:paraId="77A86DBF">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lang w:val="en-US" w:eastAsia="zh-CN"/>
              </w:rPr>
            </w:pPr>
            <w:r>
              <w:rPr>
                <w:rFonts w:hint="eastAsia" w:ascii="仿宋_GB2312" w:hAnsi="仿宋_GB2312" w:eastAsia="仿宋_GB2312" w:cs="仿宋_GB2312"/>
                <w:b w:val="0"/>
                <w:bCs w:val="0"/>
                <w:i w:val="0"/>
                <w:iCs w:val="0"/>
                <w:color w:val="auto"/>
                <w:sz w:val="21"/>
                <w:szCs w:val="21"/>
                <w:highlight w:val="none"/>
                <w:u w:val="none"/>
                <w:lang w:val="en-US" w:eastAsia="zh-CN"/>
              </w:rPr>
              <w:t>声环境质量</w:t>
            </w:r>
          </w:p>
        </w:tc>
        <w:tc>
          <w:tcPr>
            <w:tcW w:w="1427" w:type="pct"/>
            <w:shd w:val="clear" w:color="auto" w:fill="auto"/>
            <w:vAlign w:val="center"/>
          </w:tcPr>
          <w:p w14:paraId="3E95C7A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功能区声环境夜间达标率（%）</w:t>
            </w:r>
          </w:p>
        </w:tc>
        <w:tc>
          <w:tcPr>
            <w:tcW w:w="836" w:type="pct"/>
            <w:shd w:val="clear" w:color="auto" w:fill="auto"/>
            <w:vAlign w:val="center"/>
          </w:tcPr>
          <w:p w14:paraId="4C09CEC5">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达到北京市</w:t>
            </w:r>
          </w:p>
          <w:p w14:paraId="2B2A49B7">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default"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4E863028">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预期性</w:t>
            </w:r>
          </w:p>
        </w:tc>
        <w:tc>
          <w:tcPr>
            <w:tcW w:w="827" w:type="pct"/>
            <w:shd w:val="clear" w:color="auto" w:fill="auto"/>
            <w:vAlign w:val="center"/>
          </w:tcPr>
          <w:p w14:paraId="76102B91">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区生态环境局</w:t>
            </w:r>
          </w:p>
        </w:tc>
      </w:tr>
      <w:tr w14:paraId="3C32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591B01A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13</w:t>
            </w:r>
          </w:p>
        </w:tc>
        <w:tc>
          <w:tcPr>
            <w:tcW w:w="357" w:type="pct"/>
            <w:vMerge w:val="continue"/>
            <w:shd w:val="clear" w:color="auto" w:fill="auto"/>
            <w:vAlign w:val="center"/>
          </w:tcPr>
          <w:p w14:paraId="6C1E812B">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c>
          <w:tcPr>
            <w:tcW w:w="548" w:type="pct"/>
            <w:vMerge w:val="restart"/>
            <w:shd w:val="clear" w:color="auto" w:fill="auto"/>
            <w:vAlign w:val="center"/>
          </w:tcPr>
          <w:p w14:paraId="12A14603">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农村生态环境质量</w:t>
            </w:r>
          </w:p>
        </w:tc>
        <w:tc>
          <w:tcPr>
            <w:tcW w:w="1427" w:type="pct"/>
            <w:shd w:val="clear" w:color="auto" w:fill="auto"/>
            <w:vAlign w:val="center"/>
          </w:tcPr>
          <w:p w14:paraId="2622EB5D">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农村生活污水处理率（</w:t>
            </w:r>
            <w:r>
              <w:rPr>
                <w:rStyle w:val="37"/>
                <w:rFonts w:hint="eastAsia" w:ascii="仿宋_GB2312" w:hAnsi="仿宋_GB2312" w:eastAsia="仿宋_GB2312" w:cs="仿宋_GB2312"/>
                <w:b w:val="0"/>
                <w:bCs w:val="0"/>
                <w:color w:val="auto"/>
                <w:sz w:val="21"/>
                <w:szCs w:val="21"/>
                <w:highlight w:val="none"/>
                <w:u w:val="none"/>
                <w:lang w:val="en-US" w:eastAsia="zh-CN" w:bidi="ar"/>
              </w:rPr>
              <w:t>%</w:t>
            </w:r>
            <w:r>
              <w:rPr>
                <w:rStyle w:val="38"/>
                <w:rFonts w:hint="eastAsia" w:ascii="仿宋_GB2312" w:hAnsi="仿宋_GB2312" w:eastAsia="仿宋_GB2312" w:cs="仿宋_GB2312"/>
                <w:b w:val="0"/>
                <w:bCs w:val="0"/>
                <w:color w:val="auto"/>
                <w:sz w:val="21"/>
                <w:szCs w:val="21"/>
                <w:highlight w:val="none"/>
                <w:u w:val="none"/>
                <w:lang w:val="en-US" w:eastAsia="zh-CN" w:bidi="ar"/>
              </w:rPr>
              <w:t>）</w:t>
            </w:r>
          </w:p>
        </w:tc>
        <w:tc>
          <w:tcPr>
            <w:tcW w:w="836" w:type="pct"/>
            <w:shd w:val="clear" w:color="auto" w:fill="auto"/>
            <w:vAlign w:val="center"/>
          </w:tcPr>
          <w:p w14:paraId="384EB697">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5EBB5C4D">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175DAE87">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预期性</w:t>
            </w:r>
          </w:p>
        </w:tc>
        <w:tc>
          <w:tcPr>
            <w:tcW w:w="827" w:type="pct"/>
            <w:shd w:val="clear" w:color="auto" w:fill="auto"/>
            <w:vAlign w:val="center"/>
          </w:tcPr>
          <w:p w14:paraId="67F95BFC">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区水务局</w:t>
            </w:r>
          </w:p>
        </w:tc>
      </w:tr>
      <w:tr w14:paraId="1DB5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 w:hRule="atLeast"/>
        </w:trPr>
        <w:tc>
          <w:tcPr>
            <w:tcW w:w="384" w:type="pct"/>
            <w:shd w:val="clear" w:color="auto" w:fill="auto"/>
            <w:vAlign w:val="center"/>
          </w:tcPr>
          <w:p w14:paraId="353FB6F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14</w:t>
            </w:r>
          </w:p>
        </w:tc>
        <w:tc>
          <w:tcPr>
            <w:tcW w:w="357" w:type="pct"/>
            <w:vMerge w:val="continue"/>
            <w:shd w:val="clear" w:color="auto" w:fill="auto"/>
            <w:vAlign w:val="center"/>
          </w:tcPr>
          <w:p w14:paraId="7F849F81">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548" w:type="pct"/>
            <w:vMerge w:val="continue"/>
            <w:shd w:val="clear" w:color="auto" w:fill="auto"/>
            <w:vAlign w:val="center"/>
          </w:tcPr>
          <w:p w14:paraId="2B6B50C8">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1427" w:type="pct"/>
            <w:shd w:val="clear" w:color="auto" w:fill="auto"/>
            <w:vAlign w:val="center"/>
          </w:tcPr>
          <w:p w14:paraId="28E7435F">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农村黑臭水体</w:t>
            </w:r>
          </w:p>
        </w:tc>
        <w:tc>
          <w:tcPr>
            <w:tcW w:w="836" w:type="pct"/>
            <w:shd w:val="clear" w:color="auto" w:fill="auto"/>
            <w:vAlign w:val="center"/>
          </w:tcPr>
          <w:p w14:paraId="7CFE45DB">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lang w:val="en-US"/>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基本消除，此后</w:t>
            </w:r>
            <w:r>
              <w:rPr>
                <w:rFonts w:hint="eastAsia" w:cs="仿宋_GB2312"/>
                <w:b w:val="0"/>
                <w:bCs w:val="0"/>
                <w:i w:val="0"/>
                <w:iCs w:val="0"/>
                <w:color w:val="auto"/>
                <w:kern w:val="0"/>
                <w:sz w:val="21"/>
                <w:szCs w:val="21"/>
                <w:highlight w:val="none"/>
                <w:u w:val="none"/>
                <w:lang w:val="en-US" w:eastAsia="zh-CN" w:bidi="ar"/>
              </w:rPr>
              <w:t>保持</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动态清零</w:t>
            </w:r>
          </w:p>
        </w:tc>
        <w:tc>
          <w:tcPr>
            <w:tcW w:w="618" w:type="pct"/>
            <w:shd w:val="clear" w:color="auto" w:fill="auto"/>
            <w:vAlign w:val="center"/>
          </w:tcPr>
          <w:p w14:paraId="1DA667FE">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特色性</w:t>
            </w:r>
          </w:p>
        </w:tc>
        <w:tc>
          <w:tcPr>
            <w:tcW w:w="827" w:type="pct"/>
            <w:shd w:val="clear" w:color="auto" w:fill="auto"/>
            <w:vAlign w:val="center"/>
          </w:tcPr>
          <w:p w14:paraId="3F10FC81">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default"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区生态环境局</w:t>
            </w:r>
          </w:p>
        </w:tc>
      </w:tr>
      <w:tr w14:paraId="6C0D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5025A3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15</w:t>
            </w:r>
          </w:p>
        </w:tc>
        <w:tc>
          <w:tcPr>
            <w:tcW w:w="905" w:type="pct"/>
            <w:gridSpan w:val="2"/>
            <w:vMerge w:val="restart"/>
            <w:shd w:val="clear" w:color="auto" w:fill="auto"/>
            <w:vAlign w:val="center"/>
          </w:tcPr>
          <w:p w14:paraId="7E0A8A0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生态保护</w:t>
            </w:r>
          </w:p>
        </w:tc>
        <w:tc>
          <w:tcPr>
            <w:tcW w:w="1427" w:type="pct"/>
            <w:shd w:val="clear" w:color="auto" w:fill="auto"/>
            <w:vAlign w:val="center"/>
          </w:tcPr>
          <w:p w14:paraId="59C56992">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生态环境质量指数（</w:t>
            </w:r>
            <w:r>
              <w:rPr>
                <w:rStyle w:val="37"/>
                <w:rFonts w:hint="eastAsia" w:ascii="仿宋_GB2312" w:hAnsi="仿宋_GB2312" w:eastAsia="仿宋_GB2312" w:cs="仿宋_GB2312"/>
                <w:b w:val="0"/>
                <w:bCs w:val="0"/>
                <w:color w:val="auto"/>
                <w:sz w:val="21"/>
                <w:szCs w:val="21"/>
                <w:highlight w:val="none"/>
                <w:u w:val="none"/>
                <w:lang w:val="en-US" w:eastAsia="zh-CN" w:bidi="ar"/>
              </w:rPr>
              <w:t>EI</w:t>
            </w:r>
            <w:r>
              <w:rPr>
                <w:rStyle w:val="38"/>
                <w:rFonts w:hint="eastAsia" w:ascii="仿宋_GB2312" w:hAnsi="仿宋_GB2312" w:eastAsia="仿宋_GB2312" w:cs="仿宋_GB2312"/>
                <w:b w:val="0"/>
                <w:bCs w:val="0"/>
                <w:color w:val="auto"/>
                <w:sz w:val="21"/>
                <w:szCs w:val="21"/>
                <w:highlight w:val="none"/>
                <w:u w:val="none"/>
                <w:lang w:val="en-US" w:eastAsia="zh-CN" w:bidi="ar"/>
              </w:rPr>
              <w:t>）</w:t>
            </w:r>
          </w:p>
        </w:tc>
        <w:tc>
          <w:tcPr>
            <w:tcW w:w="836" w:type="pct"/>
            <w:shd w:val="clear" w:color="auto" w:fill="auto"/>
            <w:vAlign w:val="center"/>
          </w:tcPr>
          <w:p w14:paraId="64E19FB7">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4957A8D7">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2EF038F1">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预期性</w:t>
            </w:r>
          </w:p>
        </w:tc>
        <w:tc>
          <w:tcPr>
            <w:tcW w:w="827" w:type="pct"/>
            <w:shd w:val="clear" w:color="auto" w:fill="auto"/>
            <w:vAlign w:val="center"/>
          </w:tcPr>
          <w:p w14:paraId="407153CB">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区生态环境局</w:t>
            </w:r>
          </w:p>
        </w:tc>
      </w:tr>
      <w:tr w14:paraId="5436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6CC381F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16</w:t>
            </w:r>
          </w:p>
        </w:tc>
        <w:tc>
          <w:tcPr>
            <w:tcW w:w="905" w:type="pct"/>
            <w:gridSpan w:val="2"/>
            <w:vMerge w:val="continue"/>
            <w:shd w:val="clear" w:color="auto" w:fill="auto"/>
            <w:vAlign w:val="center"/>
          </w:tcPr>
          <w:p w14:paraId="34A40978">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c>
          <w:tcPr>
            <w:tcW w:w="1427" w:type="pct"/>
            <w:shd w:val="clear" w:color="auto" w:fill="auto"/>
            <w:vAlign w:val="center"/>
          </w:tcPr>
          <w:p w14:paraId="134D232A">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建成区绿视率（%）</w:t>
            </w:r>
          </w:p>
        </w:tc>
        <w:tc>
          <w:tcPr>
            <w:tcW w:w="836" w:type="pct"/>
            <w:shd w:val="clear" w:color="auto" w:fill="auto"/>
            <w:vAlign w:val="center"/>
          </w:tcPr>
          <w:p w14:paraId="6A9834A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3F78DDB6">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2CB1BEF6">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预期性</w:t>
            </w:r>
          </w:p>
        </w:tc>
        <w:tc>
          <w:tcPr>
            <w:tcW w:w="827" w:type="pct"/>
            <w:shd w:val="clear" w:color="auto" w:fill="auto"/>
            <w:vAlign w:val="center"/>
          </w:tcPr>
          <w:p w14:paraId="7D02379E">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区生态环境局</w:t>
            </w:r>
          </w:p>
          <w:p w14:paraId="1130DF90">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区园林绿化局</w:t>
            </w:r>
          </w:p>
        </w:tc>
      </w:tr>
      <w:tr w14:paraId="788B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5EE0875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17</w:t>
            </w:r>
          </w:p>
        </w:tc>
        <w:tc>
          <w:tcPr>
            <w:tcW w:w="905" w:type="pct"/>
            <w:gridSpan w:val="2"/>
            <w:vMerge w:val="continue"/>
            <w:shd w:val="clear" w:color="auto" w:fill="auto"/>
            <w:vAlign w:val="center"/>
          </w:tcPr>
          <w:p w14:paraId="63F22C73">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c>
          <w:tcPr>
            <w:tcW w:w="1427" w:type="pct"/>
            <w:shd w:val="clear" w:color="auto" w:fill="auto"/>
            <w:vAlign w:val="center"/>
          </w:tcPr>
          <w:p w14:paraId="605555A0">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湿地保护率（%）</w:t>
            </w:r>
          </w:p>
        </w:tc>
        <w:tc>
          <w:tcPr>
            <w:tcW w:w="836" w:type="pct"/>
            <w:shd w:val="clear" w:color="auto" w:fill="auto"/>
            <w:vAlign w:val="center"/>
          </w:tcPr>
          <w:p w14:paraId="79B4077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40</w:t>
            </w:r>
          </w:p>
        </w:tc>
        <w:tc>
          <w:tcPr>
            <w:tcW w:w="618" w:type="pct"/>
            <w:shd w:val="clear" w:color="auto" w:fill="auto"/>
            <w:vAlign w:val="center"/>
          </w:tcPr>
          <w:p w14:paraId="044B27C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特色性</w:t>
            </w:r>
          </w:p>
        </w:tc>
        <w:tc>
          <w:tcPr>
            <w:tcW w:w="827" w:type="pct"/>
            <w:shd w:val="clear" w:color="auto" w:fill="auto"/>
            <w:vAlign w:val="center"/>
          </w:tcPr>
          <w:p w14:paraId="136BE493">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区园林绿化局</w:t>
            </w:r>
          </w:p>
        </w:tc>
      </w:tr>
      <w:tr w14:paraId="595A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7481B37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18</w:t>
            </w:r>
          </w:p>
        </w:tc>
        <w:tc>
          <w:tcPr>
            <w:tcW w:w="357" w:type="pct"/>
            <w:vMerge w:val="restart"/>
            <w:shd w:val="clear" w:color="auto" w:fill="auto"/>
            <w:vAlign w:val="center"/>
          </w:tcPr>
          <w:p w14:paraId="448E351B">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污染物减排</w:t>
            </w:r>
          </w:p>
        </w:tc>
        <w:tc>
          <w:tcPr>
            <w:tcW w:w="548" w:type="pct"/>
            <w:vMerge w:val="restart"/>
            <w:shd w:val="clear" w:color="auto" w:fill="auto"/>
            <w:vAlign w:val="center"/>
          </w:tcPr>
          <w:p w14:paraId="2B9AFD1E">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大气污染物减排</w:t>
            </w:r>
          </w:p>
        </w:tc>
        <w:tc>
          <w:tcPr>
            <w:tcW w:w="1427" w:type="pct"/>
            <w:shd w:val="clear" w:color="auto" w:fill="auto"/>
            <w:vAlign w:val="center"/>
          </w:tcPr>
          <w:p w14:paraId="3642A79E">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氮氧化物累计减排量（吨）</w:t>
            </w:r>
          </w:p>
        </w:tc>
        <w:tc>
          <w:tcPr>
            <w:tcW w:w="836" w:type="pct"/>
            <w:shd w:val="clear" w:color="auto" w:fill="auto"/>
            <w:vAlign w:val="center"/>
          </w:tcPr>
          <w:p w14:paraId="6B25A855">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1AA083C5">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500A494E">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约束性</w:t>
            </w:r>
          </w:p>
        </w:tc>
        <w:tc>
          <w:tcPr>
            <w:tcW w:w="827" w:type="pct"/>
            <w:vMerge w:val="restart"/>
            <w:shd w:val="clear" w:color="auto" w:fill="auto"/>
            <w:vAlign w:val="center"/>
          </w:tcPr>
          <w:p w14:paraId="575F075A">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区生态环境局</w:t>
            </w:r>
          </w:p>
        </w:tc>
      </w:tr>
      <w:tr w14:paraId="7645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2650F67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19</w:t>
            </w:r>
          </w:p>
        </w:tc>
        <w:tc>
          <w:tcPr>
            <w:tcW w:w="357" w:type="pct"/>
            <w:vMerge w:val="continue"/>
            <w:shd w:val="clear" w:color="auto" w:fill="auto"/>
            <w:vAlign w:val="center"/>
          </w:tcPr>
          <w:p w14:paraId="1901DF0C">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548" w:type="pct"/>
            <w:vMerge w:val="continue"/>
            <w:shd w:val="clear" w:color="auto" w:fill="auto"/>
            <w:vAlign w:val="center"/>
          </w:tcPr>
          <w:p w14:paraId="7CC7549D">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1427" w:type="pct"/>
            <w:shd w:val="clear" w:color="auto" w:fill="auto"/>
            <w:vAlign w:val="center"/>
          </w:tcPr>
          <w:p w14:paraId="08831820">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挥发性有机物累计减排量（吨）</w:t>
            </w:r>
          </w:p>
        </w:tc>
        <w:tc>
          <w:tcPr>
            <w:tcW w:w="836" w:type="pct"/>
            <w:shd w:val="clear" w:color="auto" w:fill="auto"/>
            <w:vAlign w:val="center"/>
          </w:tcPr>
          <w:p w14:paraId="5999E73E">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2A208740">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23C8CAD6">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约束性</w:t>
            </w:r>
          </w:p>
        </w:tc>
        <w:tc>
          <w:tcPr>
            <w:tcW w:w="827" w:type="pct"/>
            <w:vMerge w:val="continue"/>
            <w:shd w:val="clear" w:color="auto" w:fill="auto"/>
            <w:vAlign w:val="center"/>
          </w:tcPr>
          <w:p w14:paraId="144413B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r>
      <w:tr w14:paraId="6C54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384" w:type="pct"/>
            <w:shd w:val="clear" w:color="auto" w:fill="auto"/>
            <w:vAlign w:val="center"/>
          </w:tcPr>
          <w:p w14:paraId="16F6250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20</w:t>
            </w:r>
          </w:p>
        </w:tc>
        <w:tc>
          <w:tcPr>
            <w:tcW w:w="357" w:type="pct"/>
            <w:vMerge w:val="continue"/>
            <w:shd w:val="clear" w:color="auto" w:fill="auto"/>
            <w:vAlign w:val="center"/>
          </w:tcPr>
          <w:p w14:paraId="25E1E803">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c>
          <w:tcPr>
            <w:tcW w:w="548" w:type="pct"/>
            <w:vMerge w:val="restart"/>
            <w:shd w:val="clear" w:color="auto" w:fill="auto"/>
            <w:vAlign w:val="center"/>
          </w:tcPr>
          <w:p w14:paraId="66E27EAB">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水污染物排放</w:t>
            </w:r>
          </w:p>
        </w:tc>
        <w:tc>
          <w:tcPr>
            <w:tcW w:w="1427" w:type="pct"/>
            <w:shd w:val="clear" w:color="auto" w:fill="auto"/>
            <w:vAlign w:val="center"/>
          </w:tcPr>
          <w:p w14:paraId="4C4684CA">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化学需氧量累计减排</w:t>
            </w:r>
            <w:r>
              <w:rPr>
                <w:rFonts w:hint="eastAsia" w:cs="仿宋_GB2312"/>
                <w:b w:val="0"/>
                <w:bCs w:val="0"/>
                <w:i w:val="0"/>
                <w:iCs w:val="0"/>
                <w:color w:val="auto"/>
                <w:kern w:val="0"/>
                <w:sz w:val="21"/>
                <w:szCs w:val="21"/>
                <w:highlight w:val="none"/>
                <w:u w:val="none"/>
                <w:lang w:val="en-US" w:eastAsia="zh-CN" w:bidi="ar"/>
              </w:rPr>
              <w:t>量</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（吨）</w:t>
            </w:r>
          </w:p>
        </w:tc>
        <w:tc>
          <w:tcPr>
            <w:tcW w:w="836" w:type="pct"/>
            <w:shd w:val="clear" w:color="auto" w:fill="auto"/>
            <w:vAlign w:val="center"/>
          </w:tcPr>
          <w:p w14:paraId="7FCEAE0D">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0DB1AD83">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292CD5D9">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约束性</w:t>
            </w:r>
          </w:p>
        </w:tc>
        <w:tc>
          <w:tcPr>
            <w:tcW w:w="827" w:type="pct"/>
            <w:vMerge w:val="continue"/>
            <w:shd w:val="clear" w:color="auto" w:fill="auto"/>
            <w:vAlign w:val="center"/>
          </w:tcPr>
          <w:p w14:paraId="48A97507">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r>
      <w:tr w14:paraId="58BA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4C8C8D8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21</w:t>
            </w:r>
          </w:p>
        </w:tc>
        <w:tc>
          <w:tcPr>
            <w:tcW w:w="357" w:type="pct"/>
            <w:vMerge w:val="continue"/>
            <w:shd w:val="clear" w:color="auto" w:fill="auto"/>
            <w:vAlign w:val="center"/>
          </w:tcPr>
          <w:p w14:paraId="4488AE11">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548" w:type="pct"/>
            <w:vMerge w:val="continue"/>
            <w:shd w:val="clear" w:color="auto" w:fill="auto"/>
            <w:vAlign w:val="center"/>
          </w:tcPr>
          <w:p w14:paraId="07EFF4D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1427" w:type="pct"/>
            <w:shd w:val="clear" w:color="auto" w:fill="auto"/>
            <w:vAlign w:val="center"/>
          </w:tcPr>
          <w:p w14:paraId="529A312F">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总磷累计减排</w:t>
            </w:r>
            <w:r>
              <w:rPr>
                <w:rFonts w:hint="eastAsia" w:cs="仿宋_GB2312"/>
                <w:b w:val="0"/>
                <w:bCs w:val="0"/>
                <w:i w:val="0"/>
                <w:iCs w:val="0"/>
                <w:color w:val="auto"/>
                <w:kern w:val="0"/>
                <w:sz w:val="21"/>
                <w:szCs w:val="21"/>
                <w:highlight w:val="none"/>
                <w:u w:val="none"/>
                <w:lang w:val="en-US" w:eastAsia="zh-CN" w:bidi="ar"/>
              </w:rPr>
              <w:t>量</w:t>
            </w: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（吨）</w:t>
            </w:r>
          </w:p>
        </w:tc>
        <w:tc>
          <w:tcPr>
            <w:tcW w:w="836" w:type="pct"/>
            <w:shd w:val="clear" w:color="auto" w:fill="auto"/>
            <w:vAlign w:val="center"/>
          </w:tcPr>
          <w:p w14:paraId="45F438BE">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00C65C2E">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74561B27">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约束性</w:t>
            </w:r>
          </w:p>
        </w:tc>
        <w:tc>
          <w:tcPr>
            <w:tcW w:w="827" w:type="pct"/>
            <w:vMerge w:val="continue"/>
            <w:shd w:val="clear" w:color="auto" w:fill="auto"/>
            <w:vAlign w:val="center"/>
          </w:tcPr>
          <w:p w14:paraId="4722C8A4">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r>
      <w:tr w14:paraId="1964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7A68F7E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cs="仿宋_GB2312"/>
                <w:b w:val="0"/>
                <w:bCs w:val="0"/>
                <w:i w:val="0"/>
                <w:iCs w:val="0"/>
                <w:color w:val="auto"/>
                <w:sz w:val="21"/>
                <w:szCs w:val="21"/>
                <w:highlight w:val="none"/>
                <w:u w:val="none"/>
                <w:lang w:val="en-US" w:eastAsia="zh-CN"/>
              </w:rPr>
              <w:t>22</w:t>
            </w:r>
          </w:p>
        </w:tc>
        <w:tc>
          <w:tcPr>
            <w:tcW w:w="905" w:type="pct"/>
            <w:gridSpan w:val="2"/>
            <w:vMerge w:val="restart"/>
            <w:shd w:val="clear" w:color="auto" w:fill="auto"/>
            <w:vAlign w:val="center"/>
          </w:tcPr>
          <w:p w14:paraId="5E96A78C">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cs="仿宋_GB2312"/>
                <w:b w:val="0"/>
                <w:bCs w:val="0"/>
                <w:i w:val="0"/>
                <w:iCs w:val="0"/>
                <w:color w:val="auto"/>
                <w:sz w:val="21"/>
                <w:szCs w:val="21"/>
                <w:highlight w:val="none"/>
                <w:u w:val="none"/>
                <w:lang w:val="en-US" w:eastAsia="zh-CN"/>
              </w:rPr>
            </w:pPr>
            <w:r>
              <w:rPr>
                <w:rFonts w:hint="eastAsia" w:cs="仿宋_GB2312"/>
                <w:b w:val="0"/>
                <w:bCs w:val="0"/>
                <w:i w:val="0"/>
                <w:iCs w:val="0"/>
                <w:color w:val="auto"/>
                <w:sz w:val="21"/>
                <w:szCs w:val="21"/>
                <w:highlight w:val="none"/>
                <w:u w:val="none"/>
                <w:lang w:val="en-US" w:eastAsia="zh-CN"/>
              </w:rPr>
              <w:t>“美丽系列”</w:t>
            </w:r>
          </w:p>
          <w:p w14:paraId="2062C2DA">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lang w:val="en-US" w:eastAsia="zh-CN"/>
              </w:rPr>
            </w:pPr>
            <w:r>
              <w:rPr>
                <w:rFonts w:hint="eastAsia" w:cs="仿宋_GB2312"/>
                <w:b w:val="0"/>
                <w:bCs w:val="0"/>
                <w:i w:val="0"/>
                <w:iCs w:val="0"/>
                <w:color w:val="auto"/>
                <w:sz w:val="21"/>
                <w:szCs w:val="21"/>
                <w:highlight w:val="none"/>
                <w:u w:val="none"/>
                <w:lang w:val="en-US" w:eastAsia="zh-CN"/>
              </w:rPr>
              <w:t>建设</w:t>
            </w:r>
          </w:p>
        </w:tc>
        <w:tc>
          <w:tcPr>
            <w:tcW w:w="1427" w:type="pct"/>
            <w:shd w:val="clear" w:color="auto" w:fill="auto"/>
            <w:vAlign w:val="center"/>
          </w:tcPr>
          <w:p w14:paraId="362DF8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美丽城市建设</w:t>
            </w:r>
          </w:p>
        </w:tc>
        <w:tc>
          <w:tcPr>
            <w:tcW w:w="836" w:type="pct"/>
            <w:shd w:val="clear" w:color="auto" w:fill="auto"/>
            <w:vAlign w:val="center"/>
          </w:tcPr>
          <w:p w14:paraId="47ECFFE7">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1291BF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3AE2F6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预期性</w:t>
            </w:r>
          </w:p>
        </w:tc>
        <w:tc>
          <w:tcPr>
            <w:tcW w:w="827" w:type="pct"/>
            <w:vMerge w:val="continue"/>
            <w:shd w:val="clear" w:color="auto" w:fill="auto"/>
            <w:vAlign w:val="center"/>
          </w:tcPr>
          <w:p w14:paraId="05FF78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r>
      <w:tr w14:paraId="75C5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214766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default" w:ascii="仿宋_GB2312" w:hAnsi="仿宋_GB2312" w:eastAsia="仿宋_GB2312" w:cs="仿宋_GB2312"/>
                <w:b w:val="0"/>
                <w:bCs w:val="0"/>
                <w:i w:val="0"/>
                <w:iCs w:val="0"/>
                <w:color w:val="auto"/>
                <w:sz w:val="21"/>
                <w:szCs w:val="21"/>
                <w:highlight w:val="none"/>
                <w:u w:val="none"/>
                <w:lang w:val="en-US" w:eastAsia="zh-CN"/>
              </w:rPr>
            </w:pPr>
            <w:r>
              <w:rPr>
                <w:rFonts w:hint="eastAsia" w:cs="仿宋_GB2312"/>
                <w:b w:val="0"/>
                <w:bCs w:val="0"/>
                <w:i w:val="0"/>
                <w:iCs w:val="0"/>
                <w:color w:val="auto"/>
                <w:sz w:val="21"/>
                <w:szCs w:val="21"/>
                <w:highlight w:val="none"/>
                <w:u w:val="none"/>
                <w:lang w:val="en-US" w:eastAsia="zh-CN"/>
              </w:rPr>
              <w:t>23</w:t>
            </w:r>
          </w:p>
        </w:tc>
        <w:tc>
          <w:tcPr>
            <w:tcW w:w="905" w:type="pct"/>
            <w:gridSpan w:val="2"/>
            <w:vMerge w:val="continue"/>
            <w:shd w:val="clear" w:color="auto" w:fill="auto"/>
            <w:vAlign w:val="center"/>
          </w:tcPr>
          <w:p w14:paraId="2E045DFB">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1427" w:type="pct"/>
            <w:shd w:val="clear" w:color="auto" w:fill="auto"/>
            <w:vAlign w:val="center"/>
          </w:tcPr>
          <w:p w14:paraId="293BAB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整区推进美丽乡村建设</w:t>
            </w:r>
          </w:p>
        </w:tc>
        <w:tc>
          <w:tcPr>
            <w:tcW w:w="836" w:type="pct"/>
            <w:shd w:val="clear" w:color="auto" w:fill="auto"/>
            <w:vAlign w:val="center"/>
          </w:tcPr>
          <w:p w14:paraId="36B247BF">
            <w:pPr>
              <w:keepNext w:val="0"/>
              <w:keepLines w:val="0"/>
              <w:pageBreakBefore w:val="0"/>
              <w:widowControl/>
              <w:suppressLineNumbers w:val="0"/>
              <w:kinsoku/>
              <w:wordWrap/>
              <w:overflowPunct/>
              <w:topLinePunct w:val="0"/>
              <w:autoSpaceDE/>
              <w:autoSpaceDN/>
              <w:bidi w:val="0"/>
              <w:adjustRightInd/>
              <w:snapToGrid/>
              <w:spacing w:line="240" w:lineRule="exact"/>
              <w:ind w:left="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达到北京市</w:t>
            </w:r>
          </w:p>
          <w:p w14:paraId="003D1E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要求</w:t>
            </w:r>
          </w:p>
        </w:tc>
        <w:tc>
          <w:tcPr>
            <w:tcW w:w="618" w:type="pct"/>
            <w:shd w:val="clear" w:color="auto" w:fill="auto"/>
            <w:vAlign w:val="center"/>
          </w:tcPr>
          <w:p w14:paraId="203C99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预期性</w:t>
            </w:r>
          </w:p>
        </w:tc>
        <w:tc>
          <w:tcPr>
            <w:tcW w:w="827" w:type="pct"/>
            <w:vMerge w:val="continue"/>
            <w:shd w:val="clear" w:color="auto" w:fill="auto"/>
            <w:vAlign w:val="center"/>
          </w:tcPr>
          <w:p w14:paraId="04BE6E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r>
      <w:tr w14:paraId="4487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384" w:type="pct"/>
            <w:shd w:val="clear" w:color="auto" w:fill="auto"/>
            <w:vAlign w:val="center"/>
          </w:tcPr>
          <w:p w14:paraId="60B8823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center"/>
              <w:textAlignment w:val="center"/>
              <w:rPr>
                <w:rFonts w:hint="default" w:cs="仿宋_GB2312"/>
                <w:b w:val="0"/>
                <w:bCs w:val="0"/>
                <w:i w:val="0"/>
                <w:iCs w:val="0"/>
                <w:color w:val="auto"/>
                <w:sz w:val="21"/>
                <w:szCs w:val="21"/>
                <w:highlight w:val="none"/>
                <w:u w:val="none"/>
                <w:lang w:val="en-US" w:eastAsia="zh-CN"/>
              </w:rPr>
            </w:pPr>
            <w:r>
              <w:rPr>
                <w:rFonts w:hint="eastAsia" w:cs="仿宋_GB2312"/>
                <w:b w:val="0"/>
                <w:bCs w:val="0"/>
                <w:i w:val="0"/>
                <w:iCs w:val="0"/>
                <w:color w:val="auto"/>
                <w:sz w:val="21"/>
                <w:szCs w:val="21"/>
                <w:highlight w:val="none"/>
                <w:u w:val="none"/>
                <w:lang w:val="en-US" w:eastAsia="zh-CN"/>
              </w:rPr>
              <w:t>24</w:t>
            </w:r>
          </w:p>
        </w:tc>
        <w:tc>
          <w:tcPr>
            <w:tcW w:w="905" w:type="pct"/>
            <w:gridSpan w:val="2"/>
            <w:vMerge w:val="continue"/>
            <w:shd w:val="clear" w:color="auto" w:fill="auto"/>
            <w:vAlign w:val="center"/>
          </w:tcPr>
          <w:p w14:paraId="74B36613">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rPr>
                <w:rFonts w:hint="eastAsia" w:ascii="仿宋_GB2312" w:hAnsi="仿宋_GB2312" w:eastAsia="仿宋_GB2312" w:cs="仿宋_GB2312"/>
                <w:b w:val="0"/>
                <w:bCs w:val="0"/>
                <w:i w:val="0"/>
                <w:iCs w:val="0"/>
                <w:color w:val="auto"/>
                <w:sz w:val="21"/>
                <w:szCs w:val="21"/>
                <w:highlight w:val="none"/>
                <w:u w:val="none"/>
              </w:rPr>
            </w:pPr>
          </w:p>
        </w:tc>
        <w:tc>
          <w:tcPr>
            <w:tcW w:w="1427" w:type="pct"/>
            <w:shd w:val="clear" w:color="auto" w:fill="auto"/>
            <w:vAlign w:val="center"/>
          </w:tcPr>
          <w:p w14:paraId="3E65F5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美丽河湖建成率</w:t>
            </w:r>
          </w:p>
        </w:tc>
        <w:tc>
          <w:tcPr>
            <w:tcW w:w="836" w:type="pct"/>
            <w:shd w:val="clear" w:color="auto" w:fill="auto"/>
            <w:vAlign w:val="center"/>
          </w:tcPr>
          <w:p w14:paraId="0595F4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cs="仿宋_GB2312"/>
                <w:b w:val="0"/>
                <w:bCs w:val="0"/>
                <w:i w:val="0"/>
                <w:iCs w:val="0"/>
                <w:color w:val="auto"/>
                <w:kern w:val="0"/>
                <w:sz w:val="21"/>
                <w:szCs w:val="21"/>
                <w:highlight w:val="none"/>
                <w:u w:val="none"/>
                <w:lang w:val="en-US" w:eastAsia="zh-CN" w:bidi="ar"/>
              </w:rPr>
              <w:t>70%</w:t>
            </w:r>
          </w:p>
        </w:tc>
        <w:tc>
          <w:tcPr>
            <w:tcW w:w="618" w:type="pct"/>
            <w:shd w:val="clear" w:color="auto" w:fill="auto"/>
            <w:vAlign w:val="center"/>
          </w:tcPr>
          <w:p w14:paraId="614BE0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预期性</w:t>
            </w:r>
          </w:p>
        </w:tc>
        <w:tc>
          <w:tcPr>
            <w:tcW w:w="827" w:type="pct"/>
            <w:vMerge w:val="continue"/>
            <w:shd w:val="clear" w:color="auto" w:fill="auto"/>
            <w:vAlign w:val="center"/>
          </w:tcPr>
          <w:p w14:paraId="38480B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p>
        </w:tc>
      </w:tr>
    </w:tbl>
    <w:p w14:paraId="426A16D3">
      <w:pPr>
        <w:pStyle w:val="18"/>
        <w:rPr>
          <w:rFonts w:hint="default"/>
          <w:b w:val="0"/>
          <w:bCs w:val="0"/>
          <w:color w:val="auto"/>
          <w:highlight w:val="none"/>
          <w:u w:val="none"/>
          <w:lang w:val="en-US" w:eastAsia="zh-CN"/>
        </w:rPr>
      </w:pPr>
    </w:p>
    <w:p w14:paraId="5F362BBD">
      <w:pPr>
        <w:widowControl/>
        <w:spacing w:line="240" w:lineRule="auto"/>
        <w:ind w:firstLine="0" w:firstLineChars="0"/>
        <w:rPr>
          <w:rFonts w:ascii="Times New Roman" w:hAnsi="Times New Roman" w:cs="Times New Roman"/>
          <w:b w:val="0"/>
          <w:bCs w:val="0"/>
          <w:color w:val="auto"/>
          <w:highlight w:val="none"/>
          <w:u w:val="none"/>
        </w:rPr>
      </w:pPr>
      <w:r>
        <w:rPr>
          <w:rFonts w:ascii="Times New Roman" w:hAnsi="Times New Roman" w:cs="Times New Roman"/>
          <w:b w:val="0"/>
          <w:bCs w:val="0"/>
          <w:color w:val="auto"/>
          <w:highlight w:val="none"/>
          <w:u w:val="none"/>
        </w:rPr>
        <w:br w:type="page"/>
      </w:r>
    </w:p>
    <w:p w14:paraId="07B98126">
      <w:pPr>
        <w:pStyle w:val="3"/>
        <w:keepNext w:val="0"/>
        <w:keepLines w:val="0"/>
        <w:pageBreakBefore w:val="0"/>
        <w:numPr>
          <w:ilvl w:val="0"/>
          <w:numId w:val="1"/>
        </w:numPr>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u w:val="none"/>
        </w:rPr>
      </w:pPr>
      <w:bookmarkStart w:id="86" w:name="_Toc23411"/>
      <w:bookmarkStart w:id="87" w:name="_Toc11970"/>
      <w:bookmarkStart w:id="88" w:name="_Toc25116"/>
      <w:bookmarkStart w:id="89" w:name="_Toc9840"/>
      <w:bookmarkStart w:id="90" w:name="_Toc18480"/>
      <w:bookmarkStart w:id="91" w:name="_Toc16866"/>
      <w:bookmarkStart w:id="92" w:name="_Toc127"/>
      <w:bookmarkStart w:id="93" w:name="_Toc2995"/>
      <w:bookmarkStart w:id="94" w:name="_Toc28310"/>
      <w:bookmarkStart w:id="95" w:name="_Toc12809"/>
      <w:r>
        <w:rPr>
          <w:rFonts w:hint="eastAsia" w:ascii="黑体" w:hAnsi="黑体" w:eastAsia="黑体" w:cs="黑体"/>
          <w:b w:val="0"/>
          <w:bCs w:val="0"/>
          <w:color w:val="auto"/>
          <w:highlight w:val="none"/>
          <w:u w:val="none"/>
          <w:lang w:val="en-US" w:eastAsia="zh-CN"/>
        </w:rPr>
        <w:t>加快推进</w:t>
      </w:r>
      <w:r>
        <w:rPr>
          <w:rFonts w:hint="eastAsia" w:ascii="黑体" w:hAnsi="黑体" w:eastAsia="黑体" w:cs="黑体"/>
          <w:b w:val="0"/>
          <w:bCs w:val="0"/>
          <w:color w:val="auto"/>
          <w:highlight w:val="none"/>
          <w:u w:val="none"/>
        </w:rPr>
        <w:t>绿色低碳高质量发展</w:t>
      </w:r>
      <w:bookmarkEnd w:id="86"/>
      <w:bookmarkEnd w:id="87"/>
      <w:bookmarkEnd w:id="88"/>
      <w:bookmarkEnd w:id="89"/>
      <w:bookmarkEnd w:id="90"/>
      <w:bookmarkEnd w:id="91"/>
      <w:bookmarkEnd w:id="92"/>
      <w:bookmarkEnd w:id="93"/>
      <w:bookmarkEnd w:id="94"/>
      <w:bookmarkEnd w:id="95"/>
      <w:r>
        <w:rPr>
          <w:rFonts w:hint="eastAsia" w:ascii="黑体" w:hAnsi="黑体" w:eastAsia="黑体" w:cs="黑体"/>
          <w:b w:val="0"/>
          <w:bCs w:val="0"/>
          <w:color w:val="auto"/>
          <w:highlight w:val="none"/>
          <w:u w:val="none"/>
        </w:rPr>
        <w:tab/>
      </w:r>
    </w:p>
    <w:p w14:paraId="153F7BA3">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b w:val="0"/>
          <w:bCs w:val="0"/>
          <w:color w:val="auto"/>
          <w:u w:val="none"/>
        </w:rPr>
      </w:pPr>
      <w:bookmarkStart w:id="96" w:name="_Toc22304"/>
      <w:bookmarkStart w:id="97" w:name="_Toc13141"/>
      <w:bookmarkStart w:id="98" w:name="_Toc24331"/>
      <w:bookmarkStart w:id="99" w:name="_Toc27617"/>
      <w:bookmarkStart w:id="100" w:name="_Toc8452"/>
      <w:bookmarkStart w:id="101" w:name="_Toc32226"/>
      <w:bookmarkStart w:id="102" w:name="_Toc9493"/>
      <w:bookmarkStart w:id="103" w:name="_Toc16609"/>
      <w:bookmarkStart w:id="104" w:name="_Toc23306"/>
      <w:bookmarkStart w:id="105" w:name="_Toc10190"/>
      <w:r>
        <w:rPr>
          <w:rFonts w:hint="eastAsia"/>
          <w:b w:val="0"/>
          <w:bCs w:val="0"/>
          <w:color w:val="auto"/>
          <w:u w:val="none"/>
        </w:rPr>
        <w:t>（一）</w:t>
      </w:r>
      <w:r>
        <w:rPr>
          <w:b w:val="0"/>
          <w:bCs w:val="0"/>
          <w:color w:val="auto"/>
          <w:u w:val="none"/>
        </w:rPr>
        <w:t>积极稳妥推进碳达峰碳中和</w:t>
      </w:r>
      <w:bookmarkEnd w:id="96"/>
      <w:bookmarkEnd w:id="97"/>
      <w:bookmarkEnd w:id="98"/>
      <w:bookmarkEnd w:id="99"/>
      <w:bookmarkEnd w:id="100"/>
      <w:bookmarkEnd w:id="101"/>
      <w:bookmarkEnd w:id="102"/>
      <w:bookmarkEnd w:id="103"/>
      <w:bookmarkEnd w:id="104"/>
      <w:bookmarkEnd w:id="105"/>
      <w:r>
        <w:rPr>
          <w:b w:val="0"/>
          <w:bCs w:val="0"/>
          <w:color w:val="auto"/>
          <w:u w:val="none"/>
        </w:rPr>
        <w:tab/>
      </w:r>
    </w:p>
    <w:p w14:paraId="36FA3948">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以制度创新为引领</w:t>
      </w:r>
      <w:r>
        <w:rPr>
          <w:rFonts w:hint="eastAsia" w:asci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以技术突破为驱动，完善碳排放双控机制，夯实重点行业碳管理基础，打造低碳技术应用示范高地。</w:t>
      </w:r>
    </w:p>
    <w:p w14:paraId="418FE143">
      <w:pPr>
        <w:pStyle w:val="5"/>
        <w:keepNext w:val="0"/>
        <w:keepLines w:val="0"/>
        <w:pageBreakBefore w:val="0"/>
        <w:numPr>
          <w:ilvl w:val="0"/>
          <w:numId w:val="2"/>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u w:val="none"/>
          <w:shd w:val="clear" w:color="auto" w:fill="auto"/>
          <w:lang w:val="en-US" w:eastAsia="zh-CN"/>
        </w:rPr>
      </w:pPr>
      <w:r>
        <w:rPr>
          <w:rFonts w:hint="eastAsia" w:ascii="仿宋_GB2312" w:hAnsi="仿宋_GB2312" w:eastAsia="仿宋_GB2312" w:cs="仿宋_GB2312"/>
          <w:b w:val="0"/>
          <w:bCs w:val="0"/>
          <w:color w:val="auto"/>
          <w:u w:val="none"/>
          <w:shd w:val="clear" w:color="auto" w:fill="auto"/>
          <w:lang w:val="en-US" w:eastAsia="zh-CN"/>
        </w:rPr>
        <w:t>完善碳排放双控制度体系</w:t>
      </w:r>
    </w:p>
    <w:p w14:paraId="3A5939A7">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u w:val="none"/>
          <w:lang w:eastAsia="zh-CN"/>
        </w:rPr>
      </w:pPr>
      <w:r>
        <w:rPr>
          <w:rFonts w:hint="eastAsia" w:ascii="仿宋_GB2312" w:hAnsi="仿宋_GB2312" w:eastAsia="仿宋_GB2312" w:cs="仿宋_GB2312"/>
          <w:b w:val="0"/>
          <w:bCs w:val="0"/>
          <w:color w:val="auto"/>
          <w:kern w:val="2"/>
          <w:sz w:val="32"/>
          <w:szCs w:val="32"/>
          <w:highlight w:val="none"/>
          <w:u w:val="none"/>
          <w:lang w:val="en-US" w:eastAsia="zh-CN"/>
        </w:rPr>
        <w:t>深入</w:t>
      </w:r>
      <w:r>
        <w:rPr>
          <w:rFonts w:hint="eastAsia" w:ascii="仿宋_GB2312" w:hAnsi="仿宋_GB2312" w:eastAsia="仿宋_GB2312" w:cs="仿宋_GB2312"/>
          <w:b w:val="0"/>
          <w:bCs w:val="0"/>
          <w:color w:val="auto"/>
          <w:kern w:val="2"/>
          <w:sz w:val="32"/>
          <w:szCs w:val="32"/>
          <w:highlight w:val="none"/>
          <w:u w:val="none"/>
        </w:rPr>
        <w:t>落实</w:t>
      </w:r>
      <w:r>
        <w:rPr>
          <w:rFonts w:hint="eastAsia" w:ascii="仿宋_GB2312" w:hAnsi="仿宋_GB2312" w:eastAsia="仿宋_GB2312" w:cs="仿宋_GB2312"/>
          <w:b w:val="0"/>
          <w:bCs w:val="0"/>
          <w:color w:val="auto"/>
          <w:kern w:val="2"/>
          <w:sz w:val="32"/>
          <w:szCs w:val="32"/>
          <w:highlight w:val="none"/>
          <w:u w:val="none"/>
          <w:lang w:eastAsia="zh-CN"/>
        </w:rPr>
        <w:t>《</w:t>
      </w:r>
      <w:r>
        <w:rPr>
          <w:rFonts w:hint="eastAsia" w:ascii="仿宋_GB2312" w:hAnsi="仿宋_GB2312" w:eastAsia="仿宋_GB2312" w:cs="仿宋_GB2312"/>
          <w:b w:val="0"/>
          <w:bCs w:val="0"/>
          <w:color w:val="auto"/>
          <w:kern w:val="2"/>
          <w:sz w:val="32"/>
          <w:szCs w:val="32"/>
          <w:highlight w:val="none"/>
          <w:u w:val="none"/>
        </w:rPr>
        <w:t>北京市顺义区碳减排行动方案</w:t>
      </w:r>
      <w:r>
        <w:rPr>
          <w:rFonts w:hint="eastAsia" w:ascii="仿宋_GB2312" w:hAnsi="仿宋_GB2312" w:eastAsia="仿宋_GB2312" w:cs="仿宋_GB2312"/>
          <w:b w:val="0"/>
          <w:bCs w:val="0"/>
          <w:color w:val="auto"/>
          <w:kern w:val="2"/>
          <w:sz w:val="32"/>
          <w:szCs w:val="32"/>
          <w:highlight w:val="none"/>
          <w:u w:val="none"/>
          <w:lang w:eastAsia="zh-CN"/>
        </w:rPr>
        <w:t>》</w:t>
      </w:r>
      <w:r>
        <w:rPr>
          <w:rFonts w:hint="eastAsia" w:ascii="仿宋_GB2312" w:hAnsi="仿宋_GB2312" w:eastAsia="仿宋_GB2312" w:cs="仿宋_GB2312"/>
          <w:b w:val="0"/>
          <w:bCs w:val="0"/>
          <w:color w:val="auto"/>
          <w:kern w:val="2"/>
          <w:sz w:val="32"/>
          <w:szCs w:val="32"/>
          <w:highlight w:val="none"/>
          <w:u w:val="none"/>
        </w:rPr>
        <w:t>《</w:t>
      </w:r>
      <w:r>
        <w:rPr>
          <w:rFonts w:hint="eastAsia" w:ascii="仿宋_GB2312" w:hAnsi="仿宋_GB2312" w:eastAsia="仿宋_GB2312" w:cs="仿宋_GB2312"/>
          <w:b w:val="0"/>
          <w:bCs w:val="0"/>
          <w:color w:val="auto"/>
          <w:kern w:val="2"/>
          <w:sz w:val="32"/>
          <w:szCs w:val="32"/>
          <w:highlight w:val="none"/>
          <w:u w:val="none"/>
          <w:lang w:val="en-US" w:eastAsia="zh-CN"/>
        </w:rPr>
        <w:t>顺义</w:t>
      </w:r>
      <w:r>
        <w:rPr>
          <w:rFonts w:hint="eastAsia" w:ascii="仿宋_GB2312" w:hAnsi="仿宋_GB2312" w:eastAsia="仿宋_GB2312" w:cs="仿宋_GB2312"/>
          <w:b w:val="0"/>
          <w:bCs w:val="0"/>
          <w:color w:val="auto"/>
          <w:kern w:val="2"/>
          <w:sz w:val="32"/>
          <w:szCs w:val="32"/>
          <w:highlight w:val="none"/>
          <w:u w:val="none"/>
        </w:rPr>
        <w:t>区碳达峰实施方案》</w:t>
      </w:r>
      <w:r>
        <w:rPr>
          <w:rFonts w:hint="eastAsia" w:ascii="仿宋_GB2312" w:hAnsi="仿宋_GB2312" w:eastAsia="仿宋_GB2312" w:cs="仿宋_GB2312"/>
          <w:b w:val="0"/>
          <w:bCs w:val="0"/>
          <w:color w:val="auto"/>
          <w:kern w:val="2"/>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推动能耗双控向碳排放总量和强度双控转变。配合市级部门</w:t>
      </w:r>
      <w:r>
        <w:rPr>
          <w:rFonts w:hint="eastAsia" w:ascii="仿宋_GB2312" w:hAnsi="仿宋_GB2312" w:eastAsia="仿宋_GB2312" w:cs="仿宋_GB2312"/>
          <w:b w:val="0"/>
          <w:bCs w:val="0"/>
          <w:color w:val="auto"/>
          <w:sz w:val="32"/>
          <w:szCs w:val="32"/>
          <w:highlight w:val="none"/>
          <w:u w:val="none"/>
        </w:rPr>
        <w:t>完善碳排放统计核算体系，稳步</w:t>
      </w:r>
      <w:r>
        <w:rPr>
          <w:rFonts w:hint="eastAsia" w:ascii="仿宋_GB2312" w:hAnsi="仿宋_GB2312" w:eastAsia="仿宋_GB2312" w:cs="仿宋_GB2312"/>
          <w:b w:val="0"/>
          <w:bCs w:val="0"/>
          <w:color w:val="auto"/>
          <w:sz w:val="32"/>
          <w:szCs w:val="32"/>
          <w:highlight w:val="none"/>
          <w:u w:val="none"/>
          <w:lang w:val="en-US" w:eastAsia="zh-CN"/>
        </w:rPr>
        <w:t>落实</w:t>
      </w:r>
      <w:r>
        <w:rPr>
          <w:rFonts w:hint="eastAsia" w:ascii="仿宋_GB2312" w:hAnsi="仿宋_GB2312" w:eastAsia="仿宋_GB2312" w:cs="仿宋_GB2312"/>
          <w:b w:val="0"/>
          <w:bCs w:val="0"/>
          <w:color w:val="auto"/>
          <w:sz w:val="32"/>
          <w:szCs w:val="32"/>
          <w:highlight w:val="none"/>
          <w:u w:val="none"/>
        </w:rPr>
        <w:t>碳考核、碳管控、碳评价、碳足迹等政策制度</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kern w:val="2"/>
          <w:sz w:val="32"/>
          <w:szCs w:val="32"/>
          <w:highlight w:val="none"/>
          <w:u w:val="none"/>
        </w:rPr>
        <w:t>到2030年，</w:t>
      </w:r>
      <w:r>
        <w:rPr>
          <w:rFonts w:hint="eastAsia" w:ascii="仿宋_GB2312" w:hAnsi="仿宋_GB2312" w:eastAsia="仿宋_GB2312" w:cs="仿宋_GB2312"/>
          <w:b w:val="0"/>
          <w:bCs w:val="0"/>
          <w:color w:val="auto"/>
          <w:kern w:val="2"/>
          <w:sz w:val="32"/>
          <w:szCs w:val="32"/>
          <w:highlight w:val="none"/>
          <w:u w:val="none"/>
          <w:lang w:val="en-US" w:eastAsia="zh-CN"/>
        </w:rPr>
        <w:t>单位地区生产总值二氧化碳排放降低</w:t>
      </w:r>
      <w:r>
        <w:rPr>
          <w:rFonts w:hint="eastAsia" w:ascii="仿宋_GB2312" w:hAnsi="仿宋_GB2312" w:eastAsia="仿宋_GB2312" w:cs="仿宋_GB2312"/>
          <w:b w:val="0"/>
          <w:bCs w:val="0"/>
          <w:color w:val="auto"/>
          <w:kern w:val="2"/>
          <w:sz w:val="32"/>
          <w:szCs w:val="32"/>
          <w:highlight w:val="none"/>
          <w:u w:val="none"/>
          <w:lang w:eastAsia="zh-CN"/>
        </w:rPr>
        <w:t>达到北京市要求。</w:t>
      </w:r>
    </w:p>
    <w:p w14:paraId="36F84AFA">
      <w:pPr>
        <w:pStyle w:val="5"/>
        <w:keepNext w:val="0"/>
        <w:keepLines w:val="0"/>
        <w:pageBreakBefore w:val="0"/>
        <w:numPr>
          <w:ilvl w:val="0"/>
          <w:numId w:val="2"/>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u w:val="none"/>
          <w:shd w:val="clear" w:color="auto" w:fill="auto"/>
          <w:lang w:val="en-US" w:eastAsia="zh-CN"/>
        </w:rPr>
      </w:pPr>
      <w:r>
        <w:rPr>
          <w:rFonts w:hint="eastAsia" w:ascii="仿宋_GB2312" w:hAnsi="仿宋_GB2312" w:eastAsia="仿宋_GB2312" w:cs="仿宋_GB2312"/>
          <w:b w:val="0"/>
          <w:bCs w:val="0"/>
          <w:color w:val="auto"/>
          <w:u w:val="none"/>
          <w:shd w:val="clear" w:color="auto" w:fill="auto"/>
          <w:lang w:val="en-US" w:eastAsia="zh-CN"/>
        </w:rPr>
        <w:t>加强重点行业企业碳排放管理</w:t>
      </w:r>
    </w:p>
    <w:p w14:paraId="7E13EB75">
      <w:pPr>
        <w:keepNext w:val="0"/>
        <w:keepLines w:val="0"/>
        <w:pageBreakBefore w:val="0"/>
        <w:kinsoku/>
        <w:wordWrap/>
        <w:overflowPunct/>
        <w:topLinePunct w:val="0"/>
        <w:autoSpaceDE/>
        <w:autoSpaceDN/>
        <w:bidi w:val="0"/>
        <w:adjustRightInd/>
        <w:snapToGrid/>
        <w:textAlignment w:val="auto"/>
        <w:rPr>
          <w:rFonts w:hint="eastAsia"/>
          <w:b w:val="0"/>
          <w:bCs w:val="0"/>
          <w:color w:val="auto"/>
          <w:highlight w:val="none"/>
          <w:u w:val="none"/>
          <w:lang w:eastAsia="zh-CN"/>
        </w:rPr>
      </w:pPr>
      <w:r>
        <w:rPr>
          <w:rFonts w:hint="eastAsia"/>
          <w:b w:val="0"/>
          <w:bCs w:val="0"/>
          <w:highlight w:val="none"/>
          <w:u w:val="none"/>
        </w:rPr>
        <w:t>贯彻落实《北京市碳排放权交易管理办法》</w:t>
      </w:r>
      <w:r>
        <w:rPr>
          <w:rFonts w:hint="eastAsia"/>
          <w:b w:val="0"/>
          <w:bCs w:val="0"/>
          <w:color w:val="auto"/>
          <w:highlight w:val="none"/>
          <w:u w:val="none"/>
          <w:lang w:eastAsia="zh-CN"/>
        </w:rPr>
        <w:t>，积极融入全国及北京市碳市场体系。强化</w:t>
      </w:r>
      <w:r>
        <w:rPr>
          <w:rFonts w:hint="eastAsia"/>
          <w:b w:val="0"/>
          <w:bCs w:val="0"/>
          <w:color w:val="auto"/>
          <w:highlight w:val="none"/>
          <w:u w:val="none"/>
          <w:lang w:val="en-US" w:eastAsia="zh-CN"/>
        </w:rPr>
        <w:t>全过程监督</w:t>
      </w:r>
      <w:r>
        <w:rPr>
          <w:rFonts w:hint="eastAsia"/>
          <w:b w:val="0"/>
          <w:bCs w:val="0"/>
          <w:color w:val="auto"/>
          <w:highlight w:val="none"/>
          <w:u w:val="none"/>
          <w:lang w:eastAsia="zh-CN"/>
        </w:rPr>
        <w:t>管理，</w:t>
      </w:r>
      <w:r>
        <w:rPr>
          <w:rFonts w:hint="eastAsia"/>
          <w:b w:val="0"/>
          <w:bCs w:val="0"/>
          <w:color w:val="auto"/>
          <w:highlight w:val="none"/>
          <w:u w:val="none"/>
          <w:lang w:val="en-US" w:eastAsia="zh-CN"/>
        </w:rPr>
        <w:t>督促重点碳排放单位</w:t>
      </w:r>
      <w:r>
        <w:rPr>
          <w:rFonts w:hint="eastAsia"/>
          <w:b w:val="0"/>
          <w:bCs w:val="0"/>
          <w:color w:val="auto"/>
          <w:highlight w:val="none"/>
          <w:u w:val="none"/>
          <w:lang w:eastAsia="zh-CN"/>
        </w:rPr>
        <w:t>按时完成碳排放报告</w:t>
      </w:r>
      <w:r>
        <w:rPr>
          <w:rFonts w:hint="eastAsia"/>
          <w:b w:val="0"/>
          <w:bCs w:val="0"/>
          <w:color w:val="auto"/>
          <w:highlight w:val="none"/>
          <w:u w:val="none"/>
          <w:lang w:val="en-US" w:eastAsia="zh-CN"/>
        </w:rPr>
        <w:t>报送</w:t>
      </w:r>
      <w:r>
        <w:rPr>
          <w:rFonts w:hint="eastAsia"/>
          <w:b w:val="0"/>
          <w:bCs w:val="0"/>
          <w:color w:val="auto"/>
          <w:highlight w:val="none"/>
          <w:u w:val="none"/>
          <w:lang w:eastAsia="zh-CN"/>
        </w:rPr>
        <w:t>、第三方核查及履约清缴等任务，</w:t>
      </w:r>
      <w:r>
        <w:rPr>
          <w:rFonts w:hint="eastAsia"/>
          <w:b w:val="0"/>
          <w:bCs w:val="0"/>
          <w:highlight w:val="none"/>
          <w:u w:val="none"/>
        </w:rPr>
        <w:t>严格落实碳排放总量和强度双控要求</w:t>
      </w:r>
      <w:r>
        <w:rPr>
          <w:rFonts w:hint="eastAsia"/>
          <w:b w:val="0"/>
          <w:bCs w:val="0"/>
          <w:color w:val="auto"/>
          <w:highlight w:val="none"/>
          <w:u w:val="none"/>
          <w:lang w:eastAsia="zh-CN"/>
        </w:rPr>
        <w:t>。</w:t>
      </w:r>
      <w:r>
        <w:rPr>
          <w:rFonts w:hint="eastAsia"/>
          <w:b w:val="0"/>
          <w:bCs w:val="0"/>
          <w:highlight w:val="none"/>
          <w:u w:val="none"/>
        </w:rPr>
        <w:t>探索碳排放预警管控机制</w:t>
      </w:r>
      <w:r>
        <w:rPr>
          <w:rFonts w:hint="eastAsia"/>
          <w:b w:val="0"/>
          <w:bCs w:val="0"/>
          <w:highlight w:val="none"/>
          <w:u w:val="none"/>
          <w:lang w:eastAsia="zh-CN"/>
        </w:rPr>
        <w:t>，</w:t>
      </w:r>
      <w:r>
        <w:rPr>
          <w:rFonts w:hint="eastAsia"/>
          <w:b w:val="0"/>
          <w:bCs w:val="0"/>
          <w:highlight w:val="none"/>
          <w:u w:val="none"/>
          <w:lang w:val="en-US" w:eastAsia="zh-CN"/>
        </w:rPr>
        <w:t>提升碳排放精细化管控水平</w:t>
      </w:r>
      <w:r>
        <w:rPr>
          <w:rFonts w:hint="eastAsia"/>
          <w:b w:val="0"/>
          <w:bCs w:val="0"/>
          <w:color w:val="auto"/>
          <w:highlight w:val="none"/>
          <w:u w:val="none"/>
          <w:lang w:eastAsia="zh-CN"/>
        </w:rPr>
        <w:t>。</w:t>
      </w:r>
      <w:r>
        <w:rPr>
          <w:rFonts w:hint="eastAsia"/>
          <w:b w:val="0"/>
          <w:bCs w:val="0"/>
          <w:color w:val="auto"/>
          <w:highlight w:val="none"/>
          <w:u w:val="none"/>
          <w:lang w:val="en-US" w:eastAsia="zh-CN"/>
        </w:rPr>
        <w:t>研究</w:t>
      </w:r>
      <w:r>
        <w:rPr>
          <w:rFonts w:hint="eastAsia"/>
          <w:b w:val="0"/>
          <w:bCs w:val="0"/>
          <w:color w:val="auto"/>
          <w:highlight w:val="none"/>
          <w:u w:val="none"/>
          <w:lang w:eastAsia="zh-CN"/>
        </w:rPr>
        <w:t>将碳排放评价纳入固定资产投资项目节能审查，</w:t>
      </w:r>
      <w:r>
        <w:rPr>
          <w:rFonts w:hint="eastAsia"/>
          <w:b w:val="0"/>
          <w:bCs w:val="0"/>
          <w:highlight w:val="none"/>
          <w:u w:val="none"/>
        </w:rPr>
        <w:t>推动应当编制环境影响报告书的建设项目在环评中开展碳排放评价</w:t>
      </w:r>
      <w:r>
        <w:rPr>
          <w:rFonts w:hint="eastAsia"/>
          <w:b w:val="0"/>
          <w:bCs w:val="0"/>
          <w:color w:val="auto"/>
          <w:highlight w:val="none"/>
          <w:u w:val="none"/>
          <w:lang w:eastAsia="zh-CN"/>
        </w:rPr>
        <w:t>。</w:t>
      </w:r>
    </w:p>
    <w:p w14:paraId="79C349E0">
      <w:pPr>
        <w:pStyle w:val="5"/>
        <w:keepNext w:val="0"/>
        <w:keepLines w:val="0"/>
        <w:pageBreakBefore w:val="0"/>
        <w:numPr>
          <w:ilvl w:val="0"/>
          <w:numId w:val="2"/>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u w:val="none"/>
          <w:shd w:val="clear" w:color="auto" w:fill="auto"/>
          <w:lang w:val="en-US" w:eastAsia="zh-CN"/>
        </w:rPr>
      </w:pPr>
      <w:r>
        <w:rPr>
          <w:rFonts w:hint="eastAsia"/>
          <w:b w:val="0"/>
          <w:bCs w:val="0"/>
          <w:u w:val="none"/>
          <w:shd w:val="clear" w:color="auto" w:fill="auto"/>
          <w:lang w:val="en-US" w:eastAsia="zh-CN"/>
        </w:rPr>
        <w:t>加强非二氧化碳温室气体</w:t>
      </w:r>
      <w:r>
        <w:rPr>
          <w:rFonts w:hint="eastAsia"/>
          <w:b w:val="0"/>
          <w:bCs w:val="0"/>
          <w:u w:val="none"/>
          <w:shd w:val="clear" w:color="auto" w:fill="auto"/>
        </w:rPr>
        <w:t>排放控制</w:t>
      </w:r>
    </w:p>
    <w:p w14:paraId="1F2B824D">
      <w:pPr>
        <w:keepNext w:val="0"/>
        <w:keepLines w:val="0"/>
        <w:pageBreakBefore w:val="0"/>
        <w:kinsoku/>
        <w:wordWrap/>
        <w:overflowPunct/>
        <w:topLinePunct w:val="0"/>
        <w:autoSpaceDE/>
        <w:autoSpaceDN/>
        <w:bidi w:val="0"/>
        <w:adjustRightInd/>
        <w:snapToGrid/>
        <w:textAlignment w:val="auto"/>
        <w:rPr>
          <w:rFonts w:hint="eastAsia"/>
          <w:b w:val="0"/>
          <w:bCs w:val="0"/>
          <w:highlight w:val="none"/>
          <w:u w:val="none"/>
          <w:lang w:val="en-US" w:eastAsia="zh-CN"/>
        </w:rPr>
      </w:pPr>
      <w:r>
        <w:rPr>
          <w:rFonts w:hint="eastAsia"/>
          <w:b w:val="0"/>
          <w:bCs w:val="0"/>
          <w:highlight w:val="none"/>
          <w:u w:val="none"/>
        </w:rPr>
        <w:t>推动非二氧化碳温室气体排放调查，研究建立符合顺义区产业特征的统计核算方法，有序推进含氟气体替代回收与减排技术应用</w:t>
      </w:r>
      <w:r>
        <w:rPr>
          <w:rFonts w:hint="eastAsia"/>
          <w:b w:val="0"/>
          <w:bCs w:val="0"/>
          <w:highlight w:val="none"/>
          <w:u w:val="none"/>
          <w:lang w:eastAsia="zh-CN"/>
        </w:rPr>
        <w:t>。</w:t>
      </w:r>
      <w:r>
        <w:rPr>
          <w:rFonts w:hint="eastAsia"/>
          <w:b w:val="0"/>
          <w:bCs w:val="0"/>
          <w:highlight w:val="none"/>
          <w:u w:val="none"/>
          <w:lang w:val="en-US" w:eastAsia="zh-CN"/>
        </w:rPr>
        <w:t>加强甲烷排放控制和综合利用，聚焦</w:t>
      </w:r>
      <w:r>
        <w:rPr>
          <w:rFonts w:hint="default"/>
          <w:b w:val="0"/>
          <w:bCs w:val="0"/>
          <w:highlight w:val="none"/>
          <w:u w:val="none"/>
        </w:rPr>
        <w:t>固体废弃物处置、污水处理、能源活动、农业活动四大领域</w:t>
      </w:r>
      <w:r>
        <w:rPr>
          <w:rFonts w:hint="eastAsia"/>
          <w:b w:val="0"/>
          <w:bCs w:val="0"/>
          <w:highlight w:val="none"/>
          <w:u w:val="none"/>
          <w:lang w:eastAsia="zh-CN"/>
        </w:rPr>
        <w:t>，</w:t>
      </w:r>
      <w:r>
        <w:rPr>
          <w:rFonts w:hint="eastAsia"/>
          <w:b w:val="0"/>
          <w:bCs w:val="0"/>
          <w:highlight w:val="none"/>
          <w:u w:val="none"/>
          <w:lang w:val="en-US" w:eastAsia="zh-CN"/>
        </w:rPr>
        <w:t>强化源头管控与资源化利用</w:t>
      </w:r>
      <w:r>
        <w:rPr>
          <w:rFonts w:hint="eastAsia"/>
          <w:b w:val="0"/>
          <w:bCs w:val="0"/>
          <w:highlight w:val="none"/>
          <w:u w:val="none"/>
          <w:lang w:eastAsia="zh-CN"/>
        </w:rPr>
        <w:t>。</w:t>
      </w:r>
      <w:r>
        <w:rPr>
          <w:rFonts w:hint="default"/>
          <w:b w:val="0"/>
          <w:bCs w:val="0"/>
          <w:highlight w:val="none"/>
          <w:u w:val="none"/>
        </w:rPr>
        <w:t>推进填埋气收集利用设施升级改造，探索沼气提纯制氢等示范项目</w:t>
      </w:r>
      <w:r>
        <w:rPr>
          <w:rFonts w:hint="eastAsia"/>
          <w:b w:val="0"/>
          <w:bCs w:val="0"/>
          <w:highlight w:val="none"/>
          <w:u w:val="none"/>
          <w:lang w:eastAsia="zh-CN"/>
        </w:rPr>
        <w:t>；</w:t>
      </w:r>
      <w:r>
        <w:rPr>
          <w:rFonts w:hint="eastAsia"/>
          <w:b w:val="0"/>
          <w:bCs w:val="0"/>
          <w:highlight w:val="none"/>
          <w:u w:val="none"/>
          <w:lang w:val="en-US" w:eastAsia="zh-CN"/>
        </w:rPr>
        <w:t>推进污泥资源化利用，</w:t>
      </w:r>
      <w:r>
        <w:rPr>
          <w:rFonts w:hint="default"/>
          <w:b w:val="0"/>
          <w:bCs w:val="0"/>
          <w:highlight w:val="none"/>
          <w:u w:val="none"/>
        </w:rPr>
        <w:t>鼓励采用厌氧消化工艺提升污泥沼气回收利用水平</w:t>
      </w:r>
      <w:r>
        <w:rPr>
          <w:rFonts w:hint="eastAsia"/>
          <w:b w:val="0"/>
          <w:bCs w:val="0"/>
          <w:highlight w:val="none"/>
          <w:u w:val="none"/>
          <w:lang w:eastAsia="zh-CN"/>
        </w:rPr>
        <w:t>，</w:t>
      </w:r>
      <w:r>
        <w:rPr>
          <w:rFonts w:hint="eastAsia"/>
          <w:b w:val="0"/>
          <w:bCs w:val="0"/>
          <w:highlight w:val="none"/>
          <w:u w:val="none"/>
          <w:lang w:val="en-US" w:eastAsia="zh-CN"/>
        </w:rPr>
        <w:t>加强污泥处理中心运行管理，鼓励有条件单位实施</w:t>
      </w:r>
      <w:r>
        <w:rPr>
          <w:rFonts w:hint="default"/>
          <w:b w:val="0"/>
          <w:bCs w:val="0"/>
          <w:highlight w:val="none"/>
          <w:u w:val="none"/>
        </w:rPr>
        <w:t>沼气热电联产</w:t>
      </w:r>
      <w:r>
        <w:rPr>
          <w:rFonts w:hint="eastAsia"/>
          <w:b w:val="0"/>
          <w:bCs w:val="0"/>
          <w:highlight w:val="none"/>
          <w:u w:val="none"/>
          <w:lang w:eastAsia="zh-CN"/>
        </w:rPr>
        <w:t>；</w:t>
      </w:r>
      <w:r>
        <w:rPr>
          <w:rFonts w:hint="eastAsia"/>
          <w:b w:val="0"/>
          <w:bCs w:val="0"/>
          <w:highlight w:val="none"/>
          <w:u w:val="none"/>
          <w:lang w:val="en-US" w:eastAsia="zh-CN"/>
        </w:rPr>
        <w:t>完善</w:t>
      </w:r>
      <w:r>
        <w:rPr>
          <w:rFonts w:hint="default"/>
          <w:b w:val="0"/>
          <w:bCs w:val="0"/>
          <w:highlight w:val="none"/>
          <w:u w:val="none"/>
        </w:rPr>
        <w:t>油气管道泄漏定期检测工作机制，</w:t>
      </w:r>
      <w:r>
        <w:rPr>
          <w:rFonts w:hint="eastAsia"/>
          <w:b w:val="0"/>
          <w:bCs w:val="0"/>
          <w:highlight w:val="none"/>
          <w:u w:val="none"/>
          <w:lang w:val="en-US" w:eastAsia="zh-CN"/>
        </w:rPr>
        <w:t>持续推进油气管道</w:t>
      </w:r>
      <w:r>
        <w:rPr>
          <w:rFonts w:hint="default"/>
          <w:b w:val="0"/>
          <w:bCs w:val="0"/>
          <w:highlight w:val="none"/>
          <w:u w:val="none"/>
        </w:rPr>
        <w:t>泄漏检测与修复</w:t>
      </w:r>
      <w:r>
        <w:rPr>
          <w:rFonts w:hint="eastAsia"/>
          <w:b w:val="0"/>
          <w:bCs w:val="0"/>
          <w:highlight w:val="none"/>
          <w:u w:val="none"/>
          <w:lang w:eastAsia="zh-CN"/>
        </w:rPr>
        <w:t>；</w:t>
      </w:r>
      <w:r>
        <w:rPr>
          <w:rFonts w:hint="default"/>
          <w:b w:val="0"/>
          <w:bCs w:val="0"/>
          <w:highlight w:val="none"/>
          <w:u w:val="none"/>
        </w:rPr>
        <w:t>推广低排放饲养方式，改进畜禽粪污处理设施，鼓励规模化养殖场采取粪肥还田、制取沼气等方式提高资源化利用水平。</w:t>
      </w:r>
    </w:p>
    <w:p w14:paraId="1238100A">
      <w:pPr>
        <w:pStyle w:val="5"/>
        <w:keepNext w:val="0"/>
        <w:keepLines w:val="0"/>
        <w:pageBreakBefore w:val="0"/>
        <w:numPr>
          <w:ilvl w:val="0"/>
          <w:numId w:val="2"/>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u w:val="none"/>
          <w:shd w:val="clear" w:color="auto" w:fill="auto"/>
          <w:lang w:val="en-US" w:eastAsia="zh-CN"/>
        </w:rPr>
      </w:pPr>
      <w:r>
        <w:rPr>
          <w:rFonts w:hint="eastAsia" w:ascii="仿宋_GB2312" w:hAnsi="仿宋_GB2312" w:eastAsia="仿宋_GB2312" w:cs="仿宋_GB2312"/>
          <w:b w:val="0"/>
          <w:bCs w:val="0"/>
          <w:color w:val="auto"/>
          <w:u w:val="none"/>
          <w:shd w:val="clear" w:color="auto" w:fill="auto"/>
          <w:lang w:val="en-US" w:eastAsia="zh-CN"/>
        </w:rPr>
        <w:t>强化低碳技术创新应用示范</w:t>
      </w:r>
    </w:p>
    <w:p w14:paraId="7B8FCDF0">
      <w:pPr>
        <w:pStyle w:val="1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b w:val="0"/>
          <w:bCs w:val="0"/>
          <w:color w:val="auto"/>
          <w:kern w:val="2"/>
          <w:sz w:val="32"/>
          <w:szCs w:val="32"/>
          <w:highlight w:val="none"/>
          <w:u w:val="none"/>
          <w:shd w:val="clear" w:color="auto" w:fill="auto"/>
          <w:lang w:val="en-US" w:eastAsia="zh-CN"/>
        </w:rPr>
      </w:pPr>
      <w:r>
        <w:rPr>
          <w:rFonts w:hint="eastAsia" w:ascii="仿宋_GB2312" w:hAnsi="仿宋_GB2312" w:eastAsia="仿宋_GB2312" w:cs="仿宋_GB2312"/>
          <w:b w:val="0"/>
          <w:bCs w:val="0"/>
          <w:color w:val="auto"/>
          <w:kern w:val="2"/>
          <w:sz w:val="32"/>
          <w:szCs w:val="32"/>
          <w:highlight w:val="none"/>
          <w:u w:val="none"/>
          <w:shd w:val="clear" w:color="auto" w:fill="auto"/>
        </w:rPr>
        <w:t>围绕新能源利用、智慧能源互联网、新能源智能汽车、智慧交通系统、氢能、储能、建筑零碳技术、碳捕集封存与利用</w:t>
      </w:r>
      <w:r>
        <w:rPr>
          <w:rFonts w:hint="eastAsia" w:ascii="仿宋_GB2312" w:eastAsia="仿宋_GB2312" w:cs="仿宋_GB2312"/>
          <w:b w:val="0"/>
          <w:bCs w:val="0"/>
          <w:color w:val="auto"/>
          <w:kern w:val="2"/>
          <w:sz w:val="32"/>
          <w:szCs w:val="32"/>
          <w:highlight w:val="none"/>
          <w:u w:val="none"/>
          <w:shd w:val="clear" w:color="auto" w:fill="auto"/>
          <w:lang w:eastAsia="zh-CN"/>
        </w:rPr>
        <w:t>等</w:t>
      </w:r>
      <w:r>
        <w:rPr>
          <w:rFonts w:hint="eastAsia" w:ascii="仿宋_GB2312" w:hAnsi="仿宋_GB2312" w:eastAsia="仿宋_GB2312" w:cs="仿宋_GB2312"/>
          <w:b w:val="0"/>
          <w:bCs w:val="0"/>
          <w:color w:val="auto"/>
          <w:kern w:val="2"/>
          <w:sz w:val="32"/>
          <w:szCs w:val="32"/>
          <w:highlight w:val="none"/>
          <w:u w:val="none"/>
          <w:shd w:val="clear" w:color="auto" w:fill="auto"/>
        </w:rPr>
        <w:t>重点领域开展技术研发</w:t>
      </w:r>
      <w:r>
        <w:rPr>
          <w:rFonts w:hint="eastAsia" w:ascii="仿宋_GB2312" w:hAnsi="仿宋_GB2312" w:eastAsia="仿宋_GB2312" w:cs="仿宋_GB2312"/>
          <w:b w:val="0"/>
          <w:bCs w:val="0"/>
          <w:color w:val="auto"/>
          <w:kern w:val="2"/>
          <w:sz w:val="32"/>
          <w:szCs w:val="32"/>
          <w:highlight w:val="none"/>
          <w:u w:val="none"/>
          <w:shd w:val="clear" w:color="auto" w:fill="auto"/>
          <w:lang w:eastAsia="zh-CN"/>
        </w:rPr>
        <w:t>，</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rPr>
        <w:t>支持企业承担重大科技项目，搭建应用场景，加强先进绿色低碳技术转化应用。</w:t>
      </w:r>
      <w:r>
        <w:rPr>
          <w:rFonts w:hint="eastAsia" w:ascii="仿宋_GB2312" w:eastAsia="仿宋_GB2312" w:cs="仿宋_GB2312"/>
          <w:b w:val="0"/>
          <w:bCs w:val="0"/>
          <w:color w:val="auto"/>
          <w:kern w:val="2"/>
          <w:sz w:val="32"/>
          <w:szCs w:val="32"/>
          <w:highlight w:val="none"/>
          <w:u w:val="none"/>
          <w:shd w:val="clear" w:color="auto" w:fill="auto"/>
          <w:lang w:val="en-US" w:eastAsia="zh-CN"/>
        </w:rPr>
        <w:t>巩固提升森林碳汇能力。</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rPr>
        <w:t>鼓励</w:t>
      </w:r>
      <w:r>
        <w:rPr>
          <w:rFonts w:hint="eastAsia" w:ascii="仿宋_GB2312" w:hAnsi="仿宋_GB2312" w:eastAsia="仿宋_GB2312" w:cs="仿宋_GB2312"/>
          <w:b w:val="0"/>
          <w:bCs w:val="0"/>
          <w:color w:val="auto"/>
          <w:kern w:val="2"/>
          <w:sz w:val="32"/>
          <w:szCs w:val="32"/>
          <w:highlight w:val="none"/>
          <w:u w:val="none"/>
          <w:shd w:val="clear" w:color="auto" w:fill="auto"/>
        </w:rPr>
        <w:t>多领域、多层级低碳试点示范</w:t>
      </w:r>
      <w:r>
        <w:rPr>
          <w:rFonts w:hint="eastAsia" w:ascii="仿宋_GB2312" w:eastAsia="仿宋_GB2312" w:cs="仿宋_GB2312"/>
          <w:b w:val="0"/>
          <w:bCs w:val="0"/>
          <w:color w:val="auto"/>
          <w:kern w:val="2"/>
          <w:sz w:val="32"/>
          <w:szCs w:val="32"/>
          <w:highlight w:val="none"/>
          <w:u w:val="none"/>
          <w:shd w:val="clear" w:color="auto" w:fill="auto"/>
          <w:lang w:eastAsia="zh-CN"/>
        </w:rPr>
        <w:t>，</w:t>
      </w:r>
      <w:r>
        <w:rPr>
          <w:rFonts w:hint="eastAsia" w:ascii="仿宋_GB2312" w:eastAsia="仿宋_GB2312" w:cs="仿宋_GB2312"/>
          <w:b w:val="0"/>
          <w:bCs w:val="0"/>
          <w:color w:val="auto"/>
          <w:kern w:val="2"/>
          <w:sz w:val="32"/>
          <w:szCs w:val="32"/>
          <w:highlight w:val="none"/>
          <w:u w:val="none"/>
          <w:shd w:val="clear" w:color="auto" w:fill="auto"/>
          <w:lang w:val="en-US" w:eastAsia="zh-CN"/>
        </w:rPr>
        <w:t>打造应用示范高地</w:t>
      </w:r>
      <w:r>
        <w:rPr>
          <w:rFonts w:hint="eastAsia" w:ascii="Times New Roman" w:hAnsi="Times New Roman" w:eastAsia="仿宋_GB2312"/>
          <w:b w:val="0"/>
          <w:bCs w:val="0"/>
          <w:color w:val="auto"/>
          <w:kern w:val="2"/>
          <w:sz w:val="32"/>
          <w:szCs w:val="32"/>
          <w:highlight w:val="none"/>
          <w:u w:val="none"/>
          <w:shd w:val="clear" w:color="auto" w:fill="auto"/>
          <w:lang w:eastAsia="zh-CN"/>
        </w:rPr>
        <w:t>。</w:t>
      </w:r>
    </w:p>
    <w:p w14:paraId="71A96A10">
      <w:pPr>
        <w:pStyle w:val="4"/>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b w:val="0"/>
          <w:bCs w:val="0"/>
          <w:color w:val="auto"/>
          <w:u w:val="none"/>
        </w:rPr>
      </w:pPr>
      <w:bookmarkStart w:id="106" w:name="_Toc29284"/>
      <w:bookmarkStart w:id="107" w:name="_Toc20304"/>
      <w:bookmarkStart w:id="108" w:name="_Toc22880"/>
      <w:bookmarkStart w:id="109" w:name="_Toc12504"/>
      <w:bookmarkStart w:id="110" w:name="_Toc4664"/>
      <w:bookmarkStart w:id="111" w:name="_Toc7526"/>
      <w:bookmarkStart w:id="112" w:name="_Toc4742"/>
      <w:bookmarkStart w:id="113" w:name="_Toc10218"/>
      <w:bookmarkStart w:id="114" w:name="_Toc28397"/>
      <w:bookmarkStart w:id="115" w:name="_Toc22440"/>
      <w:r>
        <w:rPr>
          <w:rFonts w:hint="eastAsia"/>
          <w:b w:val="0"/>
          <w:bCs w:val="0"/>
          <w:color w:val="auto"/>
          <w:u w:val="none"/>
        </w:rPr>
        <w:t>（</w:t>
      </w:r>
      <w:r>
        <w:rPr>
          <w:rFonts w:hint="eastAsia"/>
          <w:b w:val="0"/>
          <w:bCs w:val="0"/>
          <w:color w:val="auto"/>
          <w:u w:val="none"/>
          <w:lang w:val="en-US" w:eastAsia="zh-CN"/>
        </w:rPr>
        <w:t>二</w:t>
      </w:r>
      <w:r>
        <w:rPr>
          <w:rFonts w:hint="eastAsia"/>
          <w:b w:val="0"/>
          <w:bCs w:val="0"/>
          <w:color w:val="auto"/>
          <w:u w:val="none"/>
        </w:rPr>
        <w:t>）</w:t>
      </w:r>
      <w:r>
        <w:rPr>
          <w:b w:val="0"/>
          <w:bCs w:val="0"/>
          <w:color w:val="auto"/>
          <w:u w:val="none"/>
        </w:rPr>
        <w:t>推动重点领域绿色低碳</w:t>
      </w:r>
      <w:r>
        <w:rPr>
          <w:rFonts w:hint="eastAsia"/>
          <w:b w:val="0"/>
          <w:bCs w:val="0"/>
          <w:color w:val="auto"/>
          <w:u w:val="none"/>
          <w:lang w:val="en-US" w:eastAsia="zh-CN"/>
        </w:rPr>
        <w:t>转型</w:t>
      </w:r>
      <w:bookmarkEnd w:id="106"/>
      <w:bookmarkEnd w:id="107"/>
      <w:bookmarkEnd w:id="108"/>
      <w:bookmarkEnd w:id="109"/>
      <w:bookmarkEnd w:id="110"/>
      <w:bookmarkEnd w:id="111"/>
      <w:bookmarkEnd w:id="112"/>
      <w:bookmarkEnd w:id="113"/>
      <w:bookmarkEnd w:id="114"/>
      <w:bookmarkEnd w:id="115"/>
    </w:p>
    <w:p w14:paraId="5A9E7BDA">
      <w:pPr>
        <w:keepNext w:val="0"/>
        <w:keepLines w:val="0"/>
        <w:pageBreakBefore w:val="0"/>
        <w:kinsoku/>
        <w:wordWrap/>
        <w:overflowPunct/>
        <w:topLinePunct w:val="0"/>
        <w:autoSpaceDE/>
        <w:autoSpaceDN/>
        <w:bidi w:val="0"/>
        <w:adjustRightInd/>
        <w:snapToGrid/>
        <w:ind w:firstLine="640" w:firstLineChars="200"/>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推动能源、产业、交通、城乡建设四大重点领域结构变革，加快形成绿色低碳发展新格局。</w:t>
      </w:r>
    </w:p>
    <w:p w14:paraId="3C24F1F5">
      <w:pPr>
        <w:pStyle w:val="5"/>
        <w:keepNext w:val="0"/>
        <w:keepLines w:val="0"/>
        <w:pageBreakBefore w:val="0"/>
        <w:numPr>
          <w:ilvl w:val="0"/>
          <w:numId w:val="3"/>
        </w:numPr>
        <w:kinsoku/>
        <w:wordWrap/>
        <w:overflowPunct/>
        <w:topLinePunct w:val="0"/>
        <w:autoSpaceDE/>
        <w:autoSpaceDN/>
        <w:bidi w:val="0"/>
        <w:adjustRightInd/>
        <w:snapToGrid/>
        <w:textAlignment w:val="auto"/>
        <w:rPr>
          <w:rFonts w:hint="eastAsia" w:ascii="Times New Roman" w:hAnsi="Times New Roman" w:eastAsia="仿宋_GB2312" w:cs="Times New Roman"/>
          <w:b w:val="0"/>
          <w:bCs w:val="0"/>
          <w:color w:val="auto"/>
          <w:u w:val="none"/>
          <w:shd w:val="clear" w:color="auto" w:fill="auto"/>
          <w:lang w:val="en-US" w:eastAsia="zh-CN"/>
        </w:rPr>
      </w:pPr>
      <w:r>
        <w:rPr>
          <w:rFonts w:hint="eastAsia" w:ascii="Times New Roman" w:hAnsi="Times New Roman" w:eastAsia="仿宋_GB2312" w:cs="Times New Roman"/>
          <w:b w:val="0"/>
          <w:bCs w:val="0"/>
          <w:color w:val="auto"/>
          <w:u w:val="none"/>
          <w:shd w:val="clear" w:color="auto" w:fill="auto"/>
          <w:lang w:val="en-US" w:eastAsia="zh-CN"/>
        </w:rPr>
        <w:t>推动</w:t>
      </w:r>
      <w:r>
        <w:rPr>
          <w:rFonts w:hint="eastAsia" w:ascii="Times New Roman" w:hAnsi="Times New Roman" w:eastAsia="仿宋_GB2312" w:cs="Times New Roman"/>
          <w:b w:val="0"/>
          <w:bCs w:val="0"/>
          <w:color w:val="auto"/>
          <w:u w:val="none"/>
          <w:shd w:val="clear" w:color="auto" w:fill="auto"/>
        </w:rPr>
        <w:t>能源</w:t>
      </w:r>
      <w:r>
        <w:rPr>
          <w:rFonts w:hint="eastAsia" w:ascii="Times New Roman" w:hAnsi="Times New Roman" w:eastAsia="仿宋_GB2312" w:cs="Times New Roman"/>
          <w:b w:val="0"/>
          <w:bCs w:val="0"/>
          <w:color w:val="auto"/>
          <w:u w:val="none"/>
          <w:shd w:val="clear" w:color="auto" w:fill="auto"/>
          <w:lang w:val="en-US" w:eastAsia="zh-CN"/>
        </w:rPr>
        <w:t>绿色低碳发展</w:t>
      </w:r>
    </w:p>
    <w:p w14:paraId="3373A9D3">
      <w:pPr>
        <w:keepNext w:val="0"/>
        <w:keepLines w:val="0"/>
        <w:pageBreakBefore w:val="0"/>
        <w:kinsoku/>
        <w:wordWrap/>
        <w:overflowPunct/>
        <w:topLinePunct w:val="0"/>
        <w:autoSpaceDE/>
        <w:autoSpaceDN/>
        <w:bidi w:val="0"/>
        <w:adjustRightInd/>
        <w:snapToGrid/>
        <w:ind w:firstLine="640"/>
        <w:textAlignment w:val="auto"/>
        <w:rPr>
          <w:b w:val="0"/>
          <w:bCs w:val="0"/>
          <w:highlight w:val="none"/>
          <w:u w:val="none"/>
        </w:rPr>
      </w:pPr>
      <w:r>
        <w:rPr>
          <w:rFonts w:hint="eastAsia"/>
          <w:b w:val="0"/>
          <w:bCs w:val="0"/>
          <w:color w:val="auto"/>
          <w:highlight w:val="none"/>
          <w:u w:val="none"/>
          <w:lang w:val="en-US" w:eastAsia="zh-CN"/>
        </w:rPr>
        <w:t>大力发展可再生能源，挖潜屋顶光伏资源，全面推广分布式光伏发电设施，鼓励建设分布式光伏可再生能源发电“低碳园区”；有序实施光伏发电设备更新；推动光伏发电并网应用。</w:t>
      </w:r>
      <w:r>
        <w:rPr>
          <w:rFonts w:hint="eastAsia"/>
          <w:b w:val="0"/>
          <w:bCs w:val="0"/>
          <w:color w:val="auto"/>
          <w:highlight w:val="none"/>
          <w:u w:val="none"/>
        </w:rPr>
        <w:t>到2030年，光伏年发电量力争达到3.5亿千瓦时。</w:t>
      </w:r>
      <w:r>
        <w:rPr>
          <w:rFonts w:hint="eastAsia"/>
          <w:b w:val="0"/>
          <w:bCs w:val="0"/>
          <w:color w:val="auto"/>
          <w:highlight w:val="none"/>
          <w:u w:val="none"/>
          <w:lang w:val="en-US" w:eastAsia="zh-CN"/>
        </w:rPr>
        <w:t>大力推广可再生能源供热，积极</w:t>
      </w:r>
      <w:r>
        <w:rPr>
          <w:rFonts w:hint="eastAsia"/>
          <w:b w:val="0"/>
          <w:bCs w:val="0"/>
          <w:color w:val="auto"/>
          <w:highlight w:val="none"/>
          <w:u w:val="none"/>
        </w:rPr>
        <w:t>推动浅层地源热泵</w:t>
      </w:r>
      <w:r>
        <w:rPr>
          <w:rFonts w:hint="eastAsia"/>
          <w:b w:val="0"/>
          <w:bCs w:val="0"/>
          <w:color w:val="auto"/>
          <w:highlight w:val="none"/>
          <w:u w:val="none"/>
          <w:lang w:eastAsia="zh-CN"/>
        </w:rPr>
        <w:t>、</w:t>
      </w:r>
      <w:r>
        <w:rPr>
          <w:rFonts w:hint="eastAsia"/>
          <w:b w:val="0"/>
          <w:bCs w:val="0"/>
          <w:color w:val="auto"/>
          <w:highlight w:val="none"/>
          <w:u w:val="none"/>
          <w:lang w:val="en-US" w:eastAsia="zh-CN"/>
        </w:rPr>
        <w:t>空气能热泵在</w:t>
      </w:r>
      <w:r>
        <w:rPr>
          <w:rFonts w:hint="eastAsia"/>
          <w:b w:val="0"/>
          <w:bCs w:val="0"/>
          <w:color w:val="auto"/>
          <w:highlight w:val="none"/>
          <w:u w:val="none"/>
        </w:rPr>
        <w:t>新建区域、新建建筑</w:t>
      </w:r>
      <w:r>
        <w:rPr>
          <w:rFonts w:hint="eastAsia"/>
          <w:b w:val="0"/>
          <w:bCs w:val="0"/>
          <w:color w:val="auto"/>
          <w:highlight w:val="none"/>
          <w:u w:val="none"/>
          <w:lang w:val="en-US" w:eastAsia="zh-CN"/>
        </w:rPr>
        <w:t>等方面的</w:t>
      </w:r>
      <w:r>
        <w:rPr>
          <w:rFonts w:hint="eastAsia"/>
          <w:b w:val="0"/>
          <w:bCs w:val="0"/>
          <w:color w:val="auto"/>
          <w:highlight w:val="none"/>
          <w:u w:val="none"/>
        </w:rPr>
        <w:t>应用，充分发展再生水源热泵</w:t>
      </w:r>
      <w:r>
        <w:rPr>
          <w:rFonts w:hint="eastAsia"/>
          <w:b w:val="0"/>
          <w:bCs w:val="0"/>
          <w:color w:val="auto"/>
          <w:highlight w:val="none"/>
          <w:u w:val="none"/>
          <w:lang w:eastAsia="zh-CN"/>
        </w:rPr>
        <w:t>，</w:t>
      </w:r>
      <w:r>
        <w:rPr>
          <w:rFonts w:hint="eastAsia"/>
          <w:b w:val="0"/>
          <w:bCs w:val="0"/>
          <w:color w:val="auto"/>
          <w:highlight w:val="none"/>
          <w:u w:val="none"/>
          <w:lang w:val="en-US" w:eastAsia="zh-CN"/>
        </w:rPr>
        <w:t>支持开展“地源热泵+”的多能耦合技术应用示范。着力构建新型电力系统，优化调整电网布局，推动智能配电网改造、智能微电网及绿电直供示范，加快提升输配电网体系智能化水平；</w:t>
      </w:r>
      <w:r>
        <w:rPr>
          <w:rFonts w:hint="eastAsia"/>
          <w:b w:val="0"/>
          <w:bCs w:val="0"/>
          <w:color w:val="auto"/>
          <w:highlight w:val="none"/>
          <w:u w:val="none"/>
        </w:rPr>
        <w:t>开展“光储直柔”建筑技术集成与示范，</w:t>
      </w:r>
      <w:r>
        <w:rPr>
          <w:rFonts w:hint="eastAsia"/>
          <w:b w:val="0"/>
          <w:bCs w:val="0"/>
          <w:color w:val="auto"/>
          <w:highlight w:val="none"/>
          <w:u w:val="none"/>
          <w:lang w:val="en-US" w:eastAsia="zh-CN"/>
        </w:rPr>
        <w:t>发展</w:t>
      </w:r>
      <w:r>
        <w:rPr>
          <w:rFonts w:hint="eastAsia"/>
          <w:b w:val="0"/>
          <w:bCs w:val="0"/>
          <w:color w:val="auto"/>
          <w:highlight w:val="none"/>
          <w:u w:val="none"/>
        </w:rPr>
        <w:t>建筑柔性互动</w:t>
      </w:r>
      <w:r>
        <w:rPr>
          <w:rFonts w:hint="eastAsia"/>
          <w:b w:val="0"/>
          <w:bCs w:val="0"/>
          <w:color w:val="auto"/>
          <w:highlight w:val="none"/>
          <w:u w:val="none"/>
          <w:lang w:val="en-US" w:eastAsia="zh-CN"/>
        </w:rPr>
        <w:t>电网</w:t>
      </w:r>
      <w:r>
        <w:rPr>
          <w:rFonts w:hint="eastAsia"/>
          <w:b w:val="0"/>
          <w:bCs w:val="0"/>
          <w:color w:val="auto"/>
          <w:highlight w:val="none"/>
          <w:u w:val="none"/>
        </w:rPr>
        <w:t>模式</w:t>
      </w:r>
      <w:r>
        <w:rPr>
          <w:rFonts w:hint="eastAsia"/>
          <w:b w:val="0"/>
          <w:bCs w:val="0"/>
          <w:color w:val="auto"/>
          <w:highlight w:val="none"/>
          <w:u w:val="none"/>
          <w:lang w:val="en-US" w:eastAsia="zh-CN"/>
        </w:rPr>
        <w:t>。扩大绿电应用，</w:t>
      </w:r>
      <w:r>
        <w:rPr>
          <w:rFonts w:hint="eastAsia"/>
          <w:b w:val="0"/>
          <w:bCs w:val="0"/>
          <w:highlight w:val="none"/>
          <w:u w:val="none"/>
        </w:rPr>
        <w:t>统筹推进重点行业、产业园区</w:t>
      </w:r>
      <w:r>
        <w:rPr>
          <w:rFonts w:hint="eastAsia"/>
          <w:b w:val="0"/>
          <w:bCs w:val="0"/>
          <w:highlight w:val="none"/>
          <w:u w:val="none"/>
          <w:lang w:eastAsia="zh-CN"/>
        </w:rPr>
        <w:t>、</w:t>
      </w:r>
      <w:r>
        <w:rPr>
          <w:rFonts w:hint="eastAsia"/>
          <w:b w:val="0"/>
          <w:bCs w:val="0"/>
          <w:highlight w:val="none"/>
          <w:u w:val="none"/>
        </w:rPr>
        <w:t>公共机构绿电消费，构建多场景、多层次的绿电应用格局。</w:t>
      </w:r>
      <w:r>
        <w:rPr>
          <w:rFonts w:hint="eastAsia"/>
          <w:b w:val="0"/>
          <w:bCs w:val="0"/>
          <w:color w:val="auto"/>
          <w:highlight w:val="none"/>
          <w:u w:val="none"/>
        </w:rPr>
        <w:t>研究制定高耗电企业使用绿电刚性约束机制</w:t>
      </w:r>
      <w:r>
        <w:rPr>
          <w:rFonts w:hint="eastAsia"/>
          <w:b w:val="0"/>
          <w:bCs w:val="0"/>
          <w:color w:val="auto"/>
          <w:highlight w:val="none"/>
          <w:u w:val="none"/>
          <w:lang w:eastAsia="zh-CN"/>
        </w:rPr>
        <w:t>，</w:t>
      </w:r>
      <w:r>
        <w:rPr>
          <w:rFonts w:hint="eastAsia"/>
          <w:b w:val="0"/>
          <w:bCs w:val="0"/>
          <w:color w:val="auto"/>
          <w:highlight w:val="none"/>
          <w:u w:val="none"/>
        </w:rPr>
        <w:t>推动重点高耗电企业参与大用户绿电交易</w:t>
      </w:r>
      <w:r>
        <w:rPr>
          <w:rFonts w:hint="eastAsia"/>
          <w:b w:val="0"/>
          <w:bCs w:val="0"/>
          <w:color w:val="auto"/>
          <w:highlight w:val="none"/>
          <w:u w:val="none"/>
          <w:lang w:eastAsia="zh-CN"/>
        </w:rPr>
        <w:t>，</w:t>
      </w:r>
      <w:r>
        <w:rPr>
          <w:rFonts w:hint="eastAsia"/>
          <w:b w:val="0"/>
          <w:bCs w:val="0"/>
          <w:color w:val="auto"/>
          <w:highlight w:val="none"/>
          <w:u w:val="none"/>
        </w:rPr>
        <w:t>强化绿电消费责任</w:t>
      </w:r>
      <w:r>
        <w:rPr>
          <w:rFonts w:hint="eastAsia"/>
          <w:b w:val="0"/>
          <w:bCs w:val="0"/>
          <w:color w:val="auto"/>
          <w:highlight w:val="none"/>
          <w:u w:val="none"/>
          <w:lang w:eastAsia="zh-CN"/>
        </w:rPr>
        <w:t>；</w:t>
      </w:r>
      <w:r>
        <w:rPr>
          <w:rFonts w:hint="eastAsia"/>
          <w:b w:val="0"/>
          <w:bCs w:val="0"/>
          <w:highlight w:val="none"/>
          <w:u w:val="none"/>
        </w:rPr>
        <w:t>以临空经济区等重点产业园区为载体，提升园区绿电消费比例</w:t>
      </w:r>
      <w:r>
        <w:rPr>
          <w:rFonts w:hint="eastAsia"/>
          <w:b w:val="0"/>
          <w:bCs w:val="0"/>
          <w:highlight w:val="none"/>
          <w:u w:val="none"/>
          <w:lang w:eastAsia="zh-CN"/>
        </w:rPr>
        <w:t>；</w:t>
      </w:r>
      <w:r>
        <w:rPr>
          <w:rFonts w:hint="eastAsia"/>
          <w:b w:val="0"/>
          <w:bCs w:val="0"/>
          <w:color w:val="auto"/>
          <w:highlight w:val="none"/>
          <w:u w:val="none"/>
          <w:lang w:val="en-US" w:eastAsia="zh-CN"/>
        </w:rPr>
        <w:t>以区行政中心、区政务中心为示范，稳步提升全区公共机构绿电消费比例。到2030年，非化石能源占能源消费总量比重达到北京市要求。</w:t>
      </w:r>
    </w:p>
    <w:p w14:paraId="62DED239">
      <w:pPr>
        <w:pStyle w:val="5"/>
        <w:keepNext w:val="0"/>
        <w:keepLines w:val="0"/>
        <w:pageBreakBefore w:val="0"/>
        <w:numPr>
          <w:ilvl w:val="0"/>
          <w:numId w:val="3"/>
        </w:numPr>
        <w:kinsoku/>
        <w:wordWrap/>
        <w:overflowPunct/>
        <w:topLinePunct w:val="0"/>
        <w:autoSpaceDE/>
        <w:autoSpaceDN/>
        <w:bidi w:val="0"/>
        <w:adjustRightInd/>
        <w:snapToGrid/>
        <w:textAlignment w:val="auto"/>
        <w:rPr>
          <w:rFonts w:hint="eastAsia" w:ascii="Times New Roman" w:hAnsi="Times New Roman" w:eastAsia="仿宋_GB2312" w:cs="Times New Roman"/>
          <w:b w:val="0"/>
          <w:bCs w:val="0"/>
          <w:color w:val="auto"/>
          <w:u w:val="none"/>
          <w:shd w:val="clear" w:color="auto" w:fill="auto"/>
          <w:lang w:val="en-US" w:eastAsia="zh-CN"/>
        </w:rPr>
      </w:pPr>
      <w:r>
        <w:rPr>
          <w:rFonts w:hint="eastAsia" w:ascii="Times New Roman" w:hAnsi="Times New Roman" w:eastAsia="仿宋_GB2312" w:cs="Times New Roman"/>
          <w:b w:val="0"/>
          <w:bCs w:val="0"/>
          <w:color w:val="auto"/>
          <w:u w:val="none"/>
          <w:shd w:val="clear" w:color="auto" w:fill="auto"/>
          <w:lang w:val="en-US" w:eastAsia="zh-CN"/>
        </w:rPr>
        <w:t>加快</w:t>
      </w:r>
      <w:r>
        <w:rPr>
          <w:rFonts w:hint="default" w:ascii="Times New Roman" w:hAnsi="Times New Roman" w:eastAsia="仿宋_GB2312" w:cs="Times New Roman"/>
          <w:b w:val="0"/>
          <w:bCs w:val="0"/>
          <w:color w:val="auto"/>
          <w:u w:val="none"/>
          <w:shd w:val="clear" w:color="auto" w:fill="auto"/>
          <w:lang w:val="en-US"/>
        </w:rPr>
        <w:t>产业结构</w:t>
      </w:r>
      <w:r>
        <w:rPr>
          <w:rFonts w:hint="default" w:ascii="Times New Roman" w:hAnsi="Times New Roman" w:eastAsia="仿宋_GB2312" w:cs="Times New Roman"/>
          <w:b w:val="0"/>
          <w:bCs w:val="0"/>
          <w:color w:val="auto"/>
          <w:u w:val="none"/>
          <w:shd w:val="clear" w:color="auto" w:fill="auto"/>
          <w:lang w:val="en-US" w:eastAsia="zh-CN"/>
        </w:rPr>
        <w:t>深度</w:t>
      </w:r>
      <w:r>
        <w:rPr>
          <w:rFonts w:hint="eastAsia" w:ascii="Times New Roman" w:hAnsi="Times New Roman" w:eastAsia="仿宋_GB2312" w:cs="Times New Roman"/>
          <w:b w:val="0"/>
          <w:bCs w:val="0"/>
          <w:color w:val="auto"/>
          <w:u w:val="none"/>
          <w:shd w:val="clear" w:color="auto" w:fill="auto"/>
          <w:lang w:val="en-US" w:eastAsia="zh-CN"/>
        </w:rPr>
        <w:t>优化</w:t>
      </w:r>
    </w:p>
    <w:p w14:paraId="0A4A1684">
      <w:pPr>
        <w:keepNext w:val="0"/>
        <w:keepLines w:val="0"/>
        <w:pageBreakBefore w:val="0"/>
        <w:kinsoku/>
        <w:wordWrap/>
        <w:overflowPunct/>
        <w:topLinePunct w:val="0"/>
        <w:autoSpaceDE/>
        <w:autoSpaceDN/>
        <w:bidi w:val="0"/>
        <w:adjustRightInd/>
        <w:snapToGrid/>
        <w:ind w:firstLineChars="200"/>
        <w:textAlignment w:val="auto"/>
        <w:rPr>
          <w:rFonts w:hint="default" w:ascii="Times New Roman" w:hAnsi="Times New Roman" w:cs="Times New Roman"/>
          <w:b w:val="0"/>
          <w:bCs w:val="0"/>
          <w:color w:val="auto"/>
          <w:highlight w:val="none"/>
          <w:u w:val="none"/>
          <w:lang w:val="en-US" w:eastAsia="zh-CN"/>
        </w:rPr>
      </w:pPr>
      <w:r>
        <w:rPr>
          <w:rFonts w:hint="eastAsia"/>
          <w:b w:val="0"/>
          <w:bCs w:val="0"/>
          <w:color w:val="auto"/>
          <w:highlight w:val="none"/>
          <w:u w:val="none"/>
        </w:rPr>
        <w:t>集聚高精尖产业要素资源，</w:t>
      </w:r>
      <w:r>
        <w:rPr>
          <w:rFonts w:hint="default"/>
          <w:b w:val="0"/>
          <w:bCs w:val="0"/>
          <w:color w:val="auto"/>
          <w:highlight w:val="none"/>
          <w:u w:val="none"/>
        </w:rPr>
        <w:t>重点发展新能源智能汽车、第三代半导体、航空航天三大创新型产业集群，积极培育新一代信息技术、医药健康、智能装备三大</w:t>
      </w:r>
      <w:r>
        <w:rPr>
          <w:rFonts w:hint="eastAsia"/>
          <w:b w:val="0"/>
          <w:bCs w:val="0"/>
          <w:color w:val="auto"/>
          <w:highlight w:val="none"/>
          <w:u w:val="none"/>
          <w:lang w:eastAsia="zh-CN"/>
        </w:rPr>
        <w:t>战略性新兴产业</w:t>
      </w:r>
      <w:r>
        <w:rPr>
          <w:rFonts w:hint="default"/>
          <w:b w:val="0"/>
          <w:bCs w:val="0"/>
          <w:color w:val="auto"/>
          <w:highlight w:val="none"/>
          <w:u w:val="none"/>
        </w:rPr>
        <w:t>，大力发展智能制造</w:t>
      </w:r>
      <w:r>
        <w:rPr>
          <w:rFonts w:hint="eastAsia"/>
          <w:b w:val="0"/>
          <w:bCs w:val="0"/>
          <w:color w:val="auto"/>
          <w:highlight w:val="none"/>
          <w:u w:val="none"/>
          <w:lang w:eastAsia="zh-CN"/>
        </w:rPr>
        <w:t>，</w:t>
      </w:r>
      <w:r>
        <w:rPr>
          <w:rFonts w:hint="eastAsia"/>
          <w:b w:val="0"/>
          <w:bCs w:val="0"/>
          <w:color w:val="auto"/>
          <w:highlight w:val="none"/>
          <w:u w:val="none"/>
        </w:rPr>
        <w:t>推动产业智能化、现代化、国际化</w:t>
      </w:r>
      <w:r>
        <w:rPr>
          <w:rFonts w:hint="eastAsia"/>
          <w:b w:val="0"/>
          <w:bCs w:val="0"/>
          <w:color w:val="auto"/>
          <w:highlight w:val="none"/>
          <w:u w:val="none"/>
          <w:lang w:val="en-US" w:eastAsia="zh-CN"/>
        </w:rPr>
        <w:t>。</w:t>
      </w:r>
      <w:r>
        <w:rPr>
          <w:rFonts w:hint="eastAsia" w:ascii="Times New Roman" w:hAnsi="Times New Roman" w:cs="Times New Roman"/>
          <w:b w:val="0"/>
          <w:bCs w:val="0"/>
          <w:color w:val="auto"/>
          <w:highlight w:val="none"/>
          <w:u w:val="none"/>
          <w:lang w:val="en-US" w:eastAsia="zh-CN"/>
        </w:rPr>
        <w:t>完善科技成果转化体系建设，着力承接“三城”科技成果溢出。以创新驱动和产业融合发展为导向，打造高精尖产业发展新高地和制造业转型升级示范区。严格项目准入，持续推进不符合首都功能定位的一般生产制造环节调整退出，引导资源向高精尖产业聚集。加快现有产业节能降碳，提高可再生能源应用比重，推动工艺、技术、装备绿色化改造。</w:t>
      </w:r>
      <w:r>
        <w:rPr>
          <w:rFonts w:hint="eastAsia"/>
          <w:b w:val="0"/>
          <w:bCs w:val="0"/>
          <w:color w:val="auto"/>
          <w:highlight w:val="none"/>
          <w:u w:val="none"/>
        </w:rPr>
        <w:t>建设绿色工厂、绿色园区，</w:t>
      </w:r>
      <w:r>
        <w:rPr>
          <w:rFonts w:hint="eastAsia"/>
          <w:b w:val="0"/>
          <w:bCs w:val="0"/>
          <w:highlight w:val="none"/>
          <w:u w:val="none"/>
          <w:lang w:eastAsia="zh-CN"/>
        </w:rPr>
        <w:t>打造京津冀智能网联新能源汽车科技生态港顺义园零碳园区</w:t>
      </w:r>
      <w:r>
        <w:rPr>
          <w:rFonts w:hint="eastAsia" w:ascii="Times New Roman" w:hAnsi="Times New Roman" w:cs="Times New Roman"/>
          <w:b w:val="0"/>
          <w:bCs w:val="0"/>
          <w:color w:val="auto"/>
          <w:highlight w:val="none"/>
          <w:u w:val="none"/>
          <w:shd w:val="clear" w:color="auto" w:fill="auto"/>
          <w:lang w:val="en-US" w:eastAsia="zh-CN"/>
        </w:rPr>
        <w:t>。</w:t>
      </w:r>
    </w:p>
    <w:p w14:paraId="71D26E1B">
      <w:pPr>
        <w:pStyle w:val="5"/>
        <w:keepNext w:val="0"/>
        <w:keepLines w:val="0"/>
        <w:pageBreakBefore w:val="0"/>
        <w:numPr>
          <w:ilvl w:val="0"/>
          <w:numId w:val="3"/>
        </w:numPr>
        <w:kinsoku/>
        <w:wordWrap/>
        <w:overflowPunct/>
        <w:topLinePunct w:val="0"/>
        <w:autoSpaceDE/>
        <w:autoSpaceDN/>
        <w:bidi w:val="0"/>
        <w:adjustRightInd/>
        <w:snapToGrid/>
        <w:textAlignment w:val="auto"/>
        <w:rPr>
          <w:rFonts w:hint="eastAsia" w:ascii="Times New Roman" w:hAnsi="Times New Roman" w:eastAsia="仿宋_GB2312" w:cs="Times New Roman"/>
          <w:b w:val="0"/>
          <w:bCs w:val="0"/>
          <w:color w:val="auto"/>
          <w:u w:val="none"/>
          <w:shd w:val="clear" w:color="auto" w:fill="auto"/>
          <w:lang w:val="en-US" w:eastAsia="zh-CN"/>
        </w:rPr>
      </w:pPr>
      <w:r>
        <w:rPr>
          <w:rFonts w:hint="eastAsia" w:ascii="Times New Roman" w:hAnsi="Times New Roman" w:eastAsia="仿宋_GB2312" w:cs="Times New Roman"/>
          <w:b w:val="0"/>
          <w:bCs w:val="0"/>
          <w:color w:val="auto"/>
          <w:u w:val="none"/>
          <w:shd w:val="clear" w:color="auto" w:fill="auto"/>
          <w:lang w:val="en-US" w:eastAsia="zh-CN"/>
        </w:rPr>
        <w:t>建立绿色低碳交通运输体系</w:t>
      </w:r>
    </w:p>
    <w:p w14:paraId="2B2F0A6E">
      <w:pPr>
        <w:keepNext w:val="0"/>
        <w:keepLines w:val="0"/>
        <w:pageBreakBefore w:val="0"/>
        <w:kinsoku/>
        <w:wordWrap/>
        <w:overflowPunct/>
        <w:topLinePunct w:val="0"/>
        <w:autoSpaceDE/>
        <w:autoSpaceDN/>
        <w:bidi w:val="0"/>
        <w:adjustRightInd/>
        <w:snapToGrid/>
        <w:ind w:firstLine="643"/>
        <w:textAlignment w:val="auto"/>
        <w:rPr>
          <w:rFonts w:hint="eastAsia" w:ascii="Times New Roman" w:hAnsi="Times New Roman" w:cs="Times New Roman"/>
          <w:b w:val="0"/>
          <w:bCs w:val="0"/>
          <w:color w:val="auto"/>
          <w:kern w:val="2"/>
          <w:szCs w:val="32"/>
          <w:highlight w:val="none"/>
          <w:u w:val="none"/>
          <w:lang w:val="en-US" w:eastAsia="zh-CN" w:bidi="ar-SA"/>
        </w:rPr>
      </w:pPr>
      <w:r>
        <w:rPr>
          <w:rFonts w:hint="eastAsia" w:ascii="Times New Roman" w:hAnsi="Times New Roman" w:cs="Times New Roman"/>
          <w:b w:val="0"/>
          <w:bCs w:val="0"/>
          <w:color w:val="auto"/>
          <w:kern w:val="2"/>
          <w:szCs w:val="32"/>
          <w:highlight w:val="none"/>
          <w:u w:val="none"/>
          <w:lang w:val="en-US" w:eastAsia="zh-CN" w:bidi="ar-SA"/>
        </w:rPr>
        <w:t>大力推动道路机动车新能源化，坚持公共领域示范先行，全面推进新增及更</w:t>
      </w:r>
      <w:r>
        <w:rPr>
          <w:rFonts w:hint="eastAsia" w:ascii="仿宋_GB2312" w:hAnsi="仿宋_GB2312" w:cs="仿宋_GB2312"/>
          <w:b w:val="0"/>
          <w:bCs w:val="0"/>
          <w:color w:val="auto"/>
          <w:kern w:val="2"/>
          <w:szCs w:val="32"/>
          <w:highlight w:val="none"/>
          <w:u w:val="none"/>
          <w:lang w:val="en-US" w:eastAsia="zh-CN" w:bidi="ar-SA"/>
        </w:rPr>
        <w:t>新车辆电气化，积极稳妥拓展氢燃料电池汽车示范应用场景。到2030年，力争实现公交车100%新能源化，新能源汽车累计保有量占比达到40%以上</w:t>
      </w:r>
      <w:r>
        <w:rPr>
          <w:rFonts w:hint="eastAsia" w:ascii="仿宋_GB2312" w:hAnsi="仿宋_GB2312" w:cs="仿宋_GB2312"/>
          <w:b w:val="0"/>
          <w:bCs w:val="0"/>
          <w:color w:val="auto"/>
          <w:highlight w:val="none"/>
          <w:u w:val="none"/>
        </w:rPr>
        <w:t>。</w:t>
      </w:r>
      <w:r>
        <w:rPr>
          <w:rFonts w:hint="eastAsia" w:ascii="仿宋_GB2312" w:hAnsi="仿宋_GB2312" w:cs="仿宋_GB2312"/>
          <w:b w:val="0"/>
          <w:bCs w:val="0"/>
          <w:color w:val="auto"/>
          <w:highlight w:val="none"/>
          <w:u w:val="none"/>
          <w:lang w:val="en-US" w:eastAsia="zh-CN"/>
        </w:rPr>
        <w:t>深入推进</w:t>
      </w:r>
      <w:r>
        <w:rPr>
          <w:rFonts w:hint="eastAsia" w:ascii="仿宋_GB2312" w:hAnsi="仿宋_GB2312" w:cs="仿宋_GB2312"/>
          <w:b w:val="0"/>
          <w:bCs w:val="0"/>
          <w:color w:val="auto"/>
          <w:kern w:val="2"/>
          <w:szCs w:val="32"/>
          <w:highlight w:val="none"/>
          <w:u w:val="none"/>
          <w:lang w:val="en-US" w:eastAsia="zh-CN" w:bidi="ar-SA"/>
        </w:rPr>
        <w:t>非道路移动源清洁化，以搅拌站、物流园等固定作业场所为重点，优先推动场内作业机械电动化替代，配套建设专用充换电设施；充分发挥财政补贴等</w:t>
      </w:r>
      <w:r>
        <w:rPr>
          <w:rFonts w:hint="eastAsia" w:ascii="仿宋_GB2312" w:hAnsi="仿宋_GB2312" w:cs="仿宋_GB2312"/>
          <w:b w:val="0"/>
          <w:bCs w:val="0"/>
          <w:color w:val="auto"/>
          <w:highlight w:val="none"/>
          <w:u w:val="none"/>
        </w:rPr>
        <w:t>政策引导作用</w:t>
      </w:r>
      <w:r>
        <w:rPr>
          <w:rFonts w:hint="eastAsia" w:ascii="仿宋_GB2312" w:hAnsi="仿宋_GB2312" w:cs="仿宋_GB2312"/>
          <w:b w:val="0"/>
          <w:bCs w:val="0"/>
          <w:color w:val="auto"/>
          <w:kern w:val="2"/>
          <w:szCs w:val="32"/>
          <w:highlight w:val="none"/>
          <w:u w:val="none"/>
          <w:lang w:val="en-US" w:eastAsia="zh-CN" w:bidi="ar-SA"/>
        </w:rPr>
        <w:t>，逐步扩大新能源</w:t>
      </w:r>
      <w:r>
        <w:rPr>
          <w:rFonts w:hint="eastAsia" w:ascii="Times New Roman" w:hAnsi="Times New Roman" w:cs="Times New Roman"/>
          <w:b w:val="0"/>
          <w:bCs w:val="0"/>
          <w:color w:val="auto"/>
          <w:kern w:val="2"/>
          <w:szCs w:val="32"/>
          <w:highlight w:val="none"/>
          <w:u w:val="none"/>
          <w:lang w:val="en-US" w:eastAsia="zh-CN" w:bidi="ar-SA"/>
        </w:rPr>
        <w:t>机械在工程建筑等领域应用比例；</w:t>
      </w:r>
      <w:r>
        <w:rPr>
          <w:rFonts w:hint="eastAsia" w:ascii="Times New Roman" w:hAnsi="Times New Roman" w:eastAsia="仿宋_GB2312" w:cs="Times New Roman"/>
          <w:b w:val="0"/>
          <w:bCs w:val="0"/>
          <w:color w:val="auto"/>
          <w:kern w:val="2"/>
          <w:szCs w:val="32"/>
          <w:highlight w:val="none"/>
          <w:u w:val="none"/>
          <w:lang w:val="en-US" w:eastAsia="zh-CN" w:bidi="ar-SA"/>
        </w:rPr>
        <w:t>推动航空</w:t>
      </w:r>
      <w:r>
        <w:rPr>
          <w:rFonts w:hint="eastAsia" w:ascii="Times New Roman" w:hAnsi="Times New Roman" w:cs="Times New Roman"/>
          <w:b w:val="0"/>
          <w:bCs w:val="0"/>
          <w:color w:val="auto"/>
          <w:kern w:val="2"/>
          <w:szCs w:val="32"/>
          <w:highlight w:val="none"/>
          <w:u w:val="none"/>
          <w:lang w:val="en-US" w:eastAsia="zh-CN" w:bidi="ar-SA"/>
        </w:rPr>
        <w:t>领域系统化节能降耗，将节能降耗工作融入运行管理全链条，加大首都机场区域新能源车使用力度，控制航油消耗，提高燃油效率。在此基础上，促进运输结构清洁化，推广大宗货物“公转铁+新能源车”绿色运输模式，加快顺义空港物流基地大宗货物运输清洁化。加快培育智慧绿色交通新业态，聚焦智能网联汽车核心芯片、感知系统等关键技术，加强“车路云网图”协同；以高级别自动驾驶示范区为引领，完善车路协同基础设施建设，加快拓展智能货运、场站接驳等自动驾驶应用场景。系统构建绿色交通基础设施，</w:t>
      </w:r>
      <w:r>
        <w:rPr>
          <w:rFonts w:hint="eastAsia" w:ascii="Times New Roman" w:hAnsi="Times New Roman" w:cs="Times New Roman"/>
          <w:b w:val="0"/>
          <w:bCs w:val="0"/>
          <w:color w:val="auto"/>
          <w:highlight w:val="none"/>
          <w:u w:val="none"/>
        </w:rPr>
        <w:t>坚持基础设施先行，加快建成适度超前、布局均衡的充电基础设施网络，</w:t>
      </w:r>
      <w:r>
        <w:rPr>
          <w:rFonts w:hint="eastAsia" w:ascii="Times New Roman" w:hAnsi="Times New Roman" w:cs="Times New Roman"/>
          <w:b w:val="0"/>
          <w:bCs w:val="0"/>
          <w:color w:val="auto"/>
          <w:kern w:val="2"/>
          <w:szCs w:val="32"/>
          <w:highlight w:val="none"/>
          <w:u w:val="none"/>
          <w:lang w:val="en-US" w:eastAsia="zh-CN" w:bidi="ar-SA"/>
        </w:rPr>
        <w:t>积极推动</w:t>
      </w:r>
      <w:r>
        <w:rPr>
          <w:rFonts w:hint="eastAsia" w:ascii="Times New Roman" w:hAnsi="Times New Roman" w:cs="Times New Roman"/>
          <w:b w:val="0"/>
          <w:bCs w:val="0"/>
          <w:color w:val="auto"/>
          <w:highlight w:val="none"/>
          <w:u w:val="none"/>
        </w:rPr>
        <w:t>智能有序充电、光储充一体化等新模式</w:t>
      </w:r>
      <w:r>
        <w:rPr>
          <w:rFonts w:hint="eastAsia" w:ascii="Times New Roman" w:hAnsi="Times New Roman" w:cs="Times New Roman"/>
          <w:b w:val="0"/>
          <w:bCs w:val="0"/>
          <w:color w:val="auto"/>
          <w:highlight w:val="none"/>
          <w:u w:val="none"/>
          <w:lang w:val="en-US" w:eastAsia="zh-CN"/>
        </w:rPr>
        <w:t>应用</w:t>
      </w:r>
      <w:r>
        <w:rPr>
          <w:rFonts w:hint="eastAsia" w:ascii="Times New Roman" w:hAnsi="Times New Roman" w:cs="Times New Roman"/>
          <w:b w:val="0"/>
          <w:bCs w:val="0"/>
          <w:color w:val="auto"/>
          <w:highlight w:val="none"/>
          <w:u w:val="none"/>
          <w:lang w:eastAsia="zh-CN"/>
        </w:rPr>
        <w:t>；</w:t>
      </w:r>
      <w:r>
        <w:rPr>
          <w:rFonts w:hint="eastAsia" w:ascii="Times New Roman" w:hAnsi="Times New Roman" w:cs="Times New Roman"/>
          <w:b w:val="0"/>
          <w:bCs w:val="0"/>
          <w:color w:val="auto"/>
          <w:highlight w:val="none"/>
          <w:u w:val="none"/>
          <w:lang w:val="en-US" w:eastAsia="zh-CN"/>
        </w:rPr>
        <w:t>完善</w:t>
      </w:r>
      <w:r>
        <w:rPr>
          <w:rFonts w:hint="eastAsia" w:ascii="Times New Roman" w:hAnsi="Times New Roman" w:cs="Times New Roman"/>
          <w:b w:val="0"/>
          <w:bCs w:val="0"/>
          <w:color w:val="auto"/>
          <w:kern w:val="2"/>
          <w:szCs w:val="32"/>
          <w:highlight w:val="none"/>
          <w:u w:val="none"/>
          <w:lang w:val="en-US" w:eastAsia="zh-CN" w:bidi="ar-SA"/>
        </w:rPr>
        <w:t>氢能补给设施，拓展氢能创新应用场景；在公交场站等交通枢纽中全面推广绿色节能技术设备，推进运行系统节能降耗。打造绿色友好出行服务体系，创新路权管理等政策引导机制，实施差异化交通管理政策，促进清洁运输方式普及；建设慢行友好城市，打造高效衔接、快捷舒适的公共交通服务体系，提升绿色出行吸引力。</w:t>
      </w:r>
    </w:p>
    <w:p w14:paraId="5AA0F627">
      <w:pPr>
        <w:pStyle w:val="5"/>
        <w:keepNext w:val="0"/>
        <w:keepLines w:val="0"/>
        <w:pageBreakBefore w:val="0"/>
        <w:numPr>
          <w:ilvl w:val="0"/>
          <w:numId w:val="3"/>
        </w:numPr>
        <w:kinsoku/>
        <w:wordWrap/>
        <w:overflowPunct/>
        <w:topLinePunct w:val="0"/>
        <w:autoSpaceDE/>
        <w:autoSpaceDN/>
        <w:bidi w:val="0"/>
        <w:adjustRightInd/>
        <w:snapToGrid/>
        <w:textAlignment w:val="auto"/>
        <w:rPr>
          <w:rFonts w:hint="eastAsia" w:ascii="Times New Roman" w:hAnsi="Times New Roman" w:eastAsia="仿宋_GB2312" w:cs="Times New Roman"/>
          <w:b w:val="0"/>
          <w:bCs w:val="0"/>
          <w:color w:val="auto"/>
          <w:u w:val="none"/>
          <w:shd w:val="clear" w:color="auto" w:fill="auto"/>
        </w:rPr>
      </w:pPr>
      <w:r>
        <w:rPr>
          <w:rFonts w:hint="eastAsia" w:ascii="Times New Roman" w:hAnsi="Times New Roman" w:eastAsia="仿宋_GB2312" w:cs="Times New Roman"/>
          <w:b w:val="0"/>
          <w:bCs w:val="0"/>
          <w:color w:val="auto"/>
          <w:u w:val="none"/>
          <w:shd w:val="clear" w:color="auto" w:fill="auto"/>
        </w:rPr>
        <w:t>推进城乡建设</w:t>
      </w:r>
      <w:r>
        <w:rPr>
          <w:rFonts w:hint="eastAsia" w:ascii="Times New Roman" w:hAnsi="Times New Roman" w:eastAsia="仿宋_GB2312" w:cs="Times New Roman"/>
          <w:b w:val="0"/>
          <w:bCs w:val="0"/>
          <w:color w:val="auto"/>
          <w:u w:val="none"/>
          <w:shd w:val="clear" w:color="auto" w:fill="auto"/>
          <w:lang w:eastAsia="zh-CN"/>
        </w:rPr>
        <w:t>发展方式绿色低碳转型</w:t>
      </w:r>
    </w:p>
    <w:p w14:paraId="6B914500">
      <w:pPr>
        <w:keepNext w:val="0"/>
        <w:keepLines w:val="0"/>
        <w:pageBreakBefore w:val="0"/>
        <w:kinsoku/>
        <w:wordWrap/>
        <w:overflowPunct/>
        <w:topLinePunct w:val="0"/>
        <w:autoSpaceDE/>
        <w:autoSpaceDN/>
        <w:bidi w:val="0"/>
        <w:adjustRightInd/>
        <w:snapToGrid/>
        <w:ind w:firstLine="643"/>
        <w:textAlignment w:val="auto"/>
        <w:rPr>
          <w:rFonts w:hint="eastAsia" w:ascii="仿宋_GB2312" w:hAnsi="仿宋_GB2312" w:cs="仿宋_GB2312"/>
          <w:b w:val="0"/>
          <w:bCs w:val="0"/>
          <w:color w:val="auto"/>
          <w:highlight w:val="none"/>
          <w:u w:val="none"/>
        </w:rPr>
      </w:pPr>
      <w:r>
        <w:rPr>
          <w:rFonts w:hint="eastAsia" w:ascii="Times New Roman" w:hAnsi="Times New Roman" w:cs="Times New Roman"/>
          <w:b w:val="0"/>
          <w:bCs w:val="0"/>
          <w:color w:val="auto"/>
          <w:highlight w:val="none"/>
          <w:u w:val="none"/>
          <w:lang w:val="en-US" w:eastAsia="zh-CN"/>
        </w:rPr>
        <w:t>推广绿色低碳建材和绿色建造方式，加强建材循环利用，大力发展装配式、超低能耗建筑及钢结构住宅。强化节能管理与改造，推进公共建筑节能和绿色化改造，在城市更新中持续实施老旧小区节能改造，推动农村建设和用能低碳转型。</w:t>
      </w:r>
      <w:r>
        <w:rPr>
          <w:rFonts w:hint="eastAsia" w:ascii="Times New Roman" w:hAnsi="Times New Roman" w:cs="Times New Roman"/>
          <w:b w:val="0"/>
          <w:bCs w:val="0"/>
          <w:color w:val="auto"/>
          <w:highlight w:val="none"/>
          <w:u w:val="none"/>
        </w:rPr>
        <w:t>加快绿色建筑与可再生能源深度融合。推广建筑光伏一</w:t>
      </w:r>
      <w:r>
        <w:rPr>
          <w:rFonts w:hint="eastAsia" w:ascii="仿宋_GB2312" w:hAnsi="仿宋_GB2312" w:cs="仿宋_GB2312"/>
          <w:b w:val="0"/>
          <w:bCs w:val="0"/>
          <w:color w:val="auto"/>
          <w:highlight w:val="none"/>
          <w:u w:val="none"/>
        </w:rPr>
        <w:t>体化等关键技术，鼓励新建工业厂房、公共建筑优先采用一体化建设，推动既有建筑光伏化改造，提升建筑绿色电力生产和消纳能力。</w:t>
      </w:r>
      <w:r>
        <w:rPr>
          <w:rFonts w:hint="eastAsia" w:ascii="仿宋_GB2312" w:hAnsi="仿宋_GB2312" w:cs="仿宋_GB2312"/>
          <w:b w:val="0"/>
          <w:bCs w:val="0"/>
          <w:color w:val="auto"/>
          <w:highlight w:val="none"/>
          <w:u w:val="none"/>
          <w:lang w:val="en-US" w:eastAsia="zh-CN"/>
        </w:rPr>
        <w:t>到2030年，公共建筑绿色化改造面积达到北京市要求。</w:t>
      </w:r>
    </w:p>
    <w:p w14:paraId="4E8410E3">
      <w:pPr>
        <w:pStyle w:val="4"/>
        <w:keepNext w:val="0"/>
        <w:keepLines w:val="0"/>
        <w:pageBreakBefore w:val="0"/>
        <w:numPr>
          <w:ilvl w:val="0"/>
          <w:numId w:val="4"/>
        </w:numPr>
        <w:kinsoku/>
        <w:wordWrap/>
        <w:overflowPunct/>
        <w:topLinePunct w:val="0"/>
        <w:autoSpaceDE/>
        <w:autoSpaceDN/>
        <w:bidi w:val="0"/>
        <w:adjustRightInd/>
        <w:snapToGrid/>
        <w:ind w:firstLine="320" w:firstLineChars="100"/>
        <w:textAlignment w:val="auto"/>
        <w:rPr>
          <w:b w:val="0"/>
          <w:bCs w:val="0"/>
          <w:color w:val="auto"/>
          <w:u w:val="none"/>
        </w:rPr>
      </w:pPr>
      <w:bookmarkStart w:id="116" w:name="_Toc4075"/>
      <w:bookmarkStart w:id="117" w:name="_Toc15174"/>
      <w:bookmarkStart w:id="118" w:name="_Toc6076"/>
      <w:bookmarkStart w:id="119" w:name="_Toc31989"/>
      <w:bookmarkStart w:id="120" w:name="_Toc19128"/>
      <w:bookmarkStart w:id="121" w:name="_Toc31634"/>
      <w:bookmarkStart w:id="122" w:name="_Toc21431"/>
      <w:bookmarkStart w:id="123" w:name="_Toc5302"/>
      <w:bookmarkStart w:id="124" w:name="_Toc14354"/>
      <w:bookmarkStart w:id="125" w:name="_Toc551"/>
      <w:r>
        <w:rPr>
          <w:rFonts w:hint="default"/>
          <w:b w:val="0"/>
          <w:bCs w:val="0"/>
          <w:color w:val="auto"/>
          <w:u w:val="none"/>
          <w:lang w:val="en-US" w:eastAsia="zh-CN"/>
        </w:rPr>
        <w:t>推进</w:t>
      </w:r>
      <w:r>
        <w:rPr>
          <w:b w:val="0"/>
          <w:bCs w:val="0"/>
          <w:color w:val="auto"/>
          <w:u w:val="none"/>
        </w:rPr>
        <w:t>资源节约集约高效利用</w:t>
      </w:r>
      <w:bookmarkEnd w:id="116"/>
      <w:bookmarkEnd w:id="117"/>
      <w:bookmarkEnd w:id="118"/>
      <w:bookmarkEnd w:id="119"/>
      <w:bookmarkEnd w:id="120"/>
      <w:bookmarkEnd w:id="121"/>
      <w:bookmarkEnd w:id="122"/>
      <w:bookmarkEnd w:id="123"/>
      <w:bookmarkEnd w:id="124"/>
      <w:bookmarkEnd w:id="125"/>
    </w:p>
    <w:p w14:paraId="27F186C9">
      <w:pPr>
        <w:keepNext w:val="0"/>
        <w:keepLines w:val="0"/>
        <w:pageBreakBefore w:val="0"/>
        <w:kinsoku/>
        <w:wordWrap/>
        <w:overflowPunct/>
        <w:topLinePunct w:val="0"/>
        <w:autoSpaceDE/>
        <w:autoSpaceDN/>
        <w:bidi w:val="0"/>
        <w:adjustRightInd/>
        <w:snapToGrid/>
        <w:textAlignment w:val="auto"/>
        <w:rPr>
          <w:b w:val="0"/>
          <w:bCs w:val="0"/>
          <w:color w:val="auto"/>
          <w:highlight w:val="none"/>
          <w:u w:val="none"/>
        </w:rPr>
      </w:pPr>
      <w:r>
        <w:rPr>
          <w:rFonts w:hint="eastAsia"/>
          <w:b w:val="0"/>
          <w:bCs w:val="0"/>
          <w:color w:val="auto"/>
          <w:highlight w:val="none"/>
          <w:u w:val="none"/>
        </w:rPr>
        <w:t>以节能降碳增效为先导，以循环经济发展为支撑，以“无废城市”建设为载体，全面提升资源利用效率，厚植绿色发展底色。</w:t>
      </w:r>
    </w:p>
    <w:p w14:paraId="29EDB58A">
      <w:pPr>
        <w:pStyle w:val="5"/>
        <w:keepNext w:val="0"/>
        <w:keepLines w:val="0"/>
        <w:pageBreakBefore w:val="0"/>
        <w:numPr>
          <w:ilvl w:val="0"/>
          <w:numId w:val="5"/>
        </w:numPr>
        <w:kinsoku/>
        <w:wordWrap/>
        <w:overflowPunct/>
        <w:topLinePunct w:val="0"/>
        <w:autoSpaceDE/>
        <w:autoSpaceDN/>
        <w:bidi w:val="0"/>
        <w:adjustRightInd/>
        <w:snapToGrid/>
        <w:ind w:left="640" w:firstLineChars="0"/>
        <w:textAlignment w:val="auto"/>
        <w:rPr>
          <w:rFonts w:hint="eastAsia" w:ascii="仿宋_GB2312" w:hAnsi="仿宋_GB2312" w:cs="仿宋_GB2312"/>
          <w:b w:val="0"/>
          <w:bCs w:val="0"/>
          <w:color w:val="auto"/>
          <w:u w:val="none"/>
        </w:rPr>
      </w:pPr>
      <w:r>
        <w:rPr>
          <w:rFonts w:hint="eastAsia" w:ascii="仿宋_GB2312" w:hAnsi="仿宋_GB2312" w:eastAsia="仿宋_GB2312" w:cs="仿宋_GB2312"/>
          <w:b w:val="0"/>
          <w:bCs w:val="0"/>
          <w:color w:val="auto"/>
          <w:u w:val="none"/>
          <w:shd w:val="clear" w:color="auto" w:fill="auto"/>
        </w:rPr>
        <w:t>深化</w:t>
      </w:r>
      <w:r>
        <w:rPr>
          <w:rFonts w:hint="eastAsia" w:ascii="仿宋_GB2312" w:hAnsi="仿宋_GB2312" w:eastAsia="仿宋_GB2312" w:cs="仿宋_GB2312"/>
          <w:b w:val="0"/>
          <w:bCs w:val="0"/>
          <w:color w:val="auto"/>
          <w:u w:val="none"/>
          <w:shd w:val="clear" w:color="auto" w:fill="auto"/>
          <w:lang w:val="en-US" w:eastAsia="zh-CN"/>
        </w:rPr>
        <w:t>节能降碳增效</w:t>
      </w:r>
    </w:p>
    <w:p w14:paraId="271FD27C">
      <w:pPr>
        <w:keepNext w:val="0"/>
        <w:keepLines w:val="0"/>
        <w:pageBreakBefore w:val="0"/>
        <w:kinsoku/>
        <w:wordWrap/>
        <w:overflowPunct/>
        <w:topLinePunct w:val="0"/>
        <w:autoSpaceDE/>
        <w:autoSpaceDN/>
        <w:bidi w:val="0"/>
        <w:adjustRightInd/>
        <w:snapToGrid/>
        <w:ind w:firstLine="643"/>
        <w:textAlignment w:val="auto"/>
        <w:rPr>
          <w:rFonts w:hint="eastAsia" w:ascii="仿宋_GB2312" w:hAnsi="仿宋_GB2312" w:cs="仿宋_GB2312"/>
          <w:b w:val="0"/>
          <w:bCs w:val="0"/>
          <w:color w:val="auto"/>
          <w:highlight w:val="none"/>
          <w:u w:val="none"/>
          <w:lang w:eastAsia="zh-CN"/>
        </w:rPr>
      </w:pPr>
      <w:r>
        <w:rPr>
          <w:rFonts w:hint="eastAsia" w:ascii="仿宋_GB2312" w:hAnsi="仿宋_GB2312" w:cs="仿宋_GB2312"/>
          <w:b w:val="0"/>
          <w:bCs w:val="0"/>
          <w:color w:val="auto"/>
          <w:highlight w:val="none"/>
          <w:u w:val="none"/>
          <w:lang w:val="en-US" w:eastAsia="zh-CN"/>
        </w:rPr>
        <w:t>全面推进公共机构节约用能，推动公共机构在绿色低碳发展中发挥示范引领作用。</w:t>
      </w:r>
      <w:r>
        <w:rPr>
          <w:rFonts w:hint="eastAsia" w:ascii="仿宋_GB2312" w:hAnsi="仿宋_GB2312" w:cs="仿宋_GB2312"/>
          <w:b w:val="0"/>
          <w:bCs w:val="0"/>
          <w:color w:val="auto"/>
          <w:highlight w:val="none"/>
          <w:u w:val="none"/>
          <w:shd w:val="clear" w:color="auto" w:fill="auto"/>
          <w:lang w:val="en-US" w:eastAsia="zh-CN"/>
        </w:rPr>
        <w:t>持续提高数据中心行业效能水平，实行新建数据中心高标准准入，存量数据中心绿色低碳改造和智能算力转型。到2030年，</w:t>
      </w:r>
      <w:r>
        <w:rPr>
          <w:rFonts w:hint="eastAsia" w:ascii="仿宋_GB2312" w:hAnsi="仿宋_GB2312" w:cs="仿宋_GB2312"/>
          <w:b w:val="0"/>
          <w:bCs w:val="0"/>
          <w:color w:val="auto"/>
          <w:highlight w:val="none"/>
          <w:u w:val="none"/>
          <w:lang w:val="en-US" w:eastAsia="zh-CN"/>
        </w:rPr>
        <w:t>数据中心绿色低碳水平进一步提升</w:t>
      </w:r>
      <w:r>
        <w:rPr>
          <w:rFonts w:hint="eastAsia" w:ascii="仿宋_GB2312" w:hAnsi="仿宋_GB2312" w:cs="仿宋_GB2312"/>
          <w:b w:val="0"/>
          <w:bCs w:val="0"/>
          <w:color w:val="auto"/>
          <w:highlight w:val="none"/>
          <w:u w:val="none"/>
          <w:shd w:val="clear" w:color="auto" w:fill="auto"/>
          <w:lang w:val="en-US" w:eastAsia="zh-CN"/>
        </w:rPr>
        <w:t>。</w:t>
      </w:r>
      <w:r>
        <w:rPr>
          <w:rFonts w:hint="eastAsia"/>
          <w:b w:val="0"/>
          <w:bCs w:val="0"/>
          <w:color w:val="auto"/>
          <w:highlight w:val="none"/>
          <w:u w:val="none"/>
          <w:lang w:val="en-US" w:eastAsia="zh-CN"/>
        </w:rPr>
        <w:t>深入挖掘余热潜力，</w:t>
      </w:r>
      <w:r>
        <w:rPr>
          <w:rFonts w:hint="eastAsia"/>
          <w:b w:val="0"/>
          <w:bCs w:val="0"/>
          <w:color w:val="auto"/>
          <w:highlight w:val="none"/>
          <w:u w:val="none"/>
        </w:rPr>
        <w:t>积极推动垃圾焚烧、锅炉房、数据中心等各类余热资源回收利用</w:t>
      </w:r>
      <w:r>
        <w:rPr>
          <w:rFonts w:hint="eastAsia"/>
          <w:b w:val="0"/>
          <w:bCs w:val="0"/>
          <w:color w:val="auto"/>
          <w:highlight w:val="none"/>
          <w:u w:val="none"/>
          <w:lang w:eastAsia="zh-CN"/>
        </w:rPr>
        <w:t>，推进焚烧设施余热供暖项目建设。</w:t>
      </w:r>
      <w:r>
        <w:rPr>
          <w:rFonts w:hint="eastAsia" w:ascii="仿宋_GB2312" w:hAnsi="仿宋_GB2312" w:cs="仿宋_GB2312"/>
          <w:b w:val="0"/>
          <w:bCs w:val="0"/>
          <w:color w:val="auto"/>
          <w:highlight w:val="none"/>
          <w:u w:val="none"/>
          <w:lang w:val="en-US" w:eastAsia="zh-CN"/>
        </w:rPr>
        <w:t>严格</w:t>
      </w:r>
      <w:r>
        <w:rPr>
          <w:rFonts w:hint="eastAsia" w:ascii="仿宋_GB2312" w:hAnsi="仿宋_GB2312" w:cs="仿宋_GB2312"/>
          <w:b w:val="0"/>
          <w:bCs w:val="0"/>
          <w:color w:val="auto"/>
          <w:highlight w:val="none"/>
          <w:u w:val="none"/>
        </w:rPr>
        <w:t>固定资产投资项目节能审查</w:t>
      </w:r>
      <w:r>
        <w:rPr>
          <w:rFonts w:hint="eastAsia" w:ascii="仿宋_GB2312" w:hAnsi="仿宋_GB2312" w:cs="仿宋_GB2312"/>
          <w:b w:val="0"/>
          <w:bCs w:val="0"/>
          <w:color w:val="auto"/>
          <w:highlight w:val="none"/>
          <w:u w:val="none"/>
          <w:lang w:val="en-US" w:eastAsia="zh-CN"/>
        </w:rPr>
        <w:t>，加大</w:t>
      </w:r>
      <w:r>
        <w:rPr>
          <w:rFonts w:hint="eastAsia" w:ascii="仿宋_GB2312" w:hAnsi="仿宋_GB2312" w:cs="仿宋_GB2312"/>
          <w:b w:val="0"/>
          <w:bCs w:val="0"/>
          <w:color w:val="auto"/>
          <w:highlight w:val="none"/>
          <w:u w:val="none"/>
        </w:rPr>
        <w:t>节能</w:t>
      </w:r>
      <w:r>
        <w:rPr>
          <w:rFonts w:hint="eastAsia" w:ascii="仿宋_GB2312" w:hAnsi="仿宋_GB2312" w:cs="仿宋_GB2312"/>
          <w:b w:val="0"/>
          <w:bCs w:val="0"/>
          <w:color w:val="auto"/>
          <w:highlight w:val="none"/>
          <w:u w:val="none"/>
          <w:lang w:val="en-US" w:eastAsia="zh-CN"/>
        </w:rPr>
        <w:t>监察力度，优化节能审查流程，</w:t>
      </w:r>
      <w:r>
        <w:rPr>
          <w:rFonts w:hint="eastAsia" w:ascii="仿宋_GB2312" w:hAnsi="仿宋_GB2312" w:cs="仿宋_GB2312"/>
          <w:b w:val="0"/>
          <w:bCs w:val="0"/>
          <w:color w:val="auto"/>
          <w:highlight w:val="none"/>
          <w:u w:val="none"/>
        </w:rPr>
        <w:t>推动</w:t>
      </w:r>
      <w:r>
        <w:rPr>
          <w:rFonts w:hint="eastAsia" w:ascii="仿宋_GB2312" w:hAnsi="仿宋_GB2312" w:cs="仿宋_GB2312"/>
          <w:b w:val="0"/>
          <w:bCs w:val="0"/>
          <w:color w:val="auto"/>
          <w:highlight w:val="none"/>
          <w:u w:val="none"/>
          <w:lang w:val="en-US" w:eastAsia="zh-CN"/>
        </w:rPr>
        <w:t>企业</w:t>
      </w:r>
      <w:r>
        <w:rPr>
          <w:rFonts w:hint="eastAsia" w:ascii="仿宋_GB2312" w:hAnsi="仿宋_GB2312" w:cs="仿宋_GB2312"/>
          <w:b w:val="0"/>
          <w:bCs w:val="0"/>
          <w:color w:val="auto"/>
          <w:highlight w:val="none"/>
          <w:u w:val="none"/>
        </w:rPr>
        <w:t>建立健全节能降碳管理机制，</w:t>
      </w:r>
      <w:r>
        <w:rPr>
          <w:rFonts w:hint="eastAsia" w:ascii="仿宋_GB2312" w:hAnsi="仿宋_GB2312" w:cs="仿宋_GB2312"/>
          <w:b w:val="0"/>
          <w:bCs w:val="0"/>
          <w:color w:val="auto"/>
          <w:highlight w:val="none"/>
          <w:u w:val="none"/>
          <w:lang w:val="en-US" w:eastAsia="zh-CN"/>
        </w:rPr>
        <w:t>强化节能审查意见落实</w:t>
      </w:r>
      <w:r>
        <w:rPr>
          <w:rFonts w:hint="eastAsia" w:ascii="仿宋_GB2312" w:hAnsi="仿宋_GB2312" w:cs="仿宋_GB2312"/>
          <w:b w:val="0"/>
          <w:bCs w:val="0"/>
          <w:color w:val="auto"/>
          <w:highlight w:val="none"/>
          <w:u w:val="none"/>
          <w:lang w:eastAsia="zh-CN"/>
        </w:rPr>
        <w:t>。</w:t>
      </w:r>
    </w:p>
    <w:p w14:paraId="267A4ABC">
      <w:pPr>
        <w:pStyle w:val="5"/>
        <w:keepNext w:val="0"/>
        <w:keepLines w:val="0"/>
        <w:pageBreakBefore w:val="0"/>
        <w:numPr>
          <w:ilvl w:val="0"/>
          <w:numId w:val="5"/>
        </w:numPr>
        <w:kinsoku/>
        <w:wordWrap/>
        <w:overflowPunct/>
        <w:topLinePunct w:val="0"/>
        <w:autoSpaceDE/>
        <w:autoSpaceDN/>
        <w:bidi w:val="0"/>
        <w:adjustRightInd/>
        <w:snapToGrid/>
        <w:ind w:left="640" w:firstLineChars="0"/>
        <w:textAlignment w:val="auto"/>
        <w:rPr>
          <w:rFonts w:hint="eastAsia" w:ascii="仿宋_GB2312" w:hAnsi="仿宋_GB2312" w:eastAsia="仿宋_GB2312" w:cs="仿宋_GB2312"/>
          <w:b w:val="0"/>
          <w:bCs w:val="0"/>
          <w:color w:val="auto"/>
          <w:highlight w:val="none"/>
          <w:u w:val="none"/>
          <w:shd w:val="clear" w:color="auto" w:fill="auto"/>
          <w:lang w:val="en-US" w:eastAsia="zh-CN"/>
        </w:rPr>
      </w:pPr>
      <w:r>
        <w:rPr>
          <w:rFonts w:hint="eastAsia" w:ascii="仿宋_GB2312" w:hAnsi="仿宋_GB2312" w:eastAsia="仿宋_GB2312" w:cs="仿宋_GB2312"/>
          <w:b w:val="0"/>
          <w:bCs w:val="0"/>
          <w:color w:val="auto"/>
          <w:highlight w:val="none"/>
          <w:u w:val="none"/>
          <w:shd w:val="clear" w:color="auto" w:fill="auto"/>
          <w:lang w:val="en-US" w:eastAsia="zh-CN"/>
        </w:rPr>
        <w:t>大力发展循环经济</w:t>
      </w:r>
    </w:p>
    <w:p w14:paraId="7E38B278">
      <w:pPr>
        <w:keepNext w:val="0"/>
        <w:keepLines w:val="0"/>
        <w:pageBreakBefore w:val="0"/>
        <w:kinsoku/>
        <w:wordWrap/>
        <w:overflowPunct/>
        <w:topLinePunct w:val="0"/>
        <w:autoSpaceDE/>
        <w:autoSpaceDN/>
        <w:bidi w:val="0"/>
        <w:adjustRightInd/>
        <w:snapToGrid/>
        <w:ind w:left="0" w:firstLine="640" w:firstLineChars="200"/>
        <w:textAlignment w:val="auto"/>
        <w:rPr>
          <w:rFonts w:hint="eastAsia" w:ascii="仿宋_GB2312" w:hAnsi="仿宋_GB2312" w:cs="仿宋_GB2312"/>
          <w:b w:val="0"/>
          <w:bCs w:val="0"/>
          <w:color w:val="auto"/>
          <w:highlight w:val="none"/>
          <w:u w:val="none"/>
        </w:rPr>
      </w:pPr>
      <w:r>
        <w:rPr>
          <w:rFonts w:hint="eastAsia" w:ascii="仿宋_GB2312" w:hAnsi="仿宋_GB2312" w:cs="仿宋_GB2312"/>
          <w:b w:val="0"/>
          <w:bCs w:val="0"/>
          <w:color w:val="auto"/>
          <w:highlight w:val="none"/>
          <w:u w:val="none"/>
          <w:lang w:val="en-US" w:eastAsia="zh-CN"/>
        </w:rPr>
        <w:t>提升</w:t>
      </w:r>
      <w:r>
        <w:rPr>
          <w:rFonts w:hint="eastAsia" w:ascii="仿宋_GB2312" w:hAnsi="仿宋_GB2312" w:cs="仿宋_GB2312"/>
          <w:b w:val="0"/>
          <w:bCs w:val="0"/>
          <w:color w:val="auto"/>
          <w:highlight w:val="none"/>
          <w:u w:val="none"/>
        </w:rPr>
        <w:t>污泥、厨余、粪便等多种垃圾综合处理</w:t>
      </w:r>
      <w:r>
        <w:rPr>
          <w:rFonts w:hint="eastAsia" w:ascii="仿宋_GB2312" w:hAnsi="仿宋_GB2312" w:cs="仿宋_GB2312"/>
          <w:b w:val="0"/>
          <w:bCs w:val="0"/>
          <w:color w:val="auto"/>
          <w:highlight w:val="none"/>
          <w:u w:val="none"/>
          <w:lang w:val="en-US" w:eastAsia="zh-CN"/>
        </w:rPr>
        <w:t>能力</w:t>
      </w:r>
      <w:r>
        <w:rPr>
          <w:rFonts w:hint="eastAsia" w:ascii="仿宋_GB2312" w:hAnsi="仿宋_GB2312" w:cs="仿宋_GB2312"/>
          <w:b w:val="0"/>
          <w:bCs w:val="0"/>
          <w:color w:val="auto"/>
          <w:highlight w:val="none"/>
          <w:u w:val="none"/>
        </w:rPr>
        <w:t>，促进有机废弃物的资源化循环利用。</w:t>
      </w:r>
      <w:r>
        <w:rPr>
          <w:rFonts w:hint="eastAsia" w:ascii="仿宋_GB2312" w:hAnsi="仿宋_GB2312" w:cs="仿宋_GB2312"/>
          <w:b w:val="0"/>
          <w:bCs w:val="0"/>
          <w:color w:val="auto"/>
          <w:highlight w:val="none"/>
          <w:u w:val="none"/>
          <w:lang w:val="en-US" w:eastAsia="zh-CN"/>
        </w:rPr>
        <w:t>健全废旧再生资源回收体系，完善</w:t>
      </w:r>
      <w:r>
        <w:rPr>
          <w:rFonts w:hint="eastAsia" w:ascii="仿宋_GB2312" w:hAnsi="仿宋_GB2312" w:cs="仿宋_GB2312"/>
          <w:b w:val="0"/>
          <w:bCs w:val="0"/>
          <w:color w:val="auto"/>
          <w:highlight w:val="none"/>
          <w:u w:val="none"/>
        </w:rPr>
        <w:t>“点、站、</w:t>
      </w:r>
      <w:r>
        <w:rPr>
          <w:rFonts w:hint="eastAsia" w:ascii="仿宋_GB2312" w:hAnsi="仿宋_GB2312" w:cs="仿宋_GB2312"/>
          <w:b w:val="0"/>
          <w:bCs w:val="0"/>
          <w:color w:val="auto"/>
          <w:highlight w:val="none"/>
          <w:u w:val="none"/>
          <w:shd w:val="clear" w:color="auto" w:fill="auto"/>
        </w:rPr>
        <w:t>中心”</w:t>
      </w:r>
      <w:r>
        <w:rPr>
          <w:rFonts w:hint="eastAsia" w:ascii="仿宋_GB2312" w:hAnsi="仿宋_GB2312" w:cs="仿宋_GB2312"/>
          <w:b w:val="0"/>
          <w:bCs w:val="0"/>
          <w:color w:val="auto"/>
          <w:highlight w:val="none"/>
          <w:u w:val="none"/>
          <w:shd w:val="clear" w:color="auto" w:fill="auto"/>
          <w:lang w:val="en-US" w:eastAsia="zh-CN"/>
        </w:rPr>
        <w:t>三级网络</w:t>
      </w:r>
      <w:r>
        <w:rPr>
          <w:rFonts w:hint="eastAsia" w:ascii="仿宋_GB2312" w:hAnsi="仿宋_GB2312" w:cs="仿宋_GB2312"/>
          <w:b w:val="0"/>
          <w:bCs w:val="0"/>
          <w:color w:val="auto"/>
          <w:highlight w:val="none"/>
          <w:u w:val="none"/>
          <w:shd w:val="clear" w:color="auto" w:fill="auto"/>
        </w:rPr>
        <w:t>建设</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lang w:val="en-US" w:eastAsia="zh-CN"/>
        </w:rPr>
        <w:t>推进</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两新</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lang w:val="en-US" w:eastAsia="zh-CN"/>
        </w:rPr>
        <w:t>废弃设备规范回收与利用</w:t>
      </w:r>
      <w:r>
        <w:rPr>
          <w:rFonts w:hint="eastAsia" w:ascii="仿宋_GB2312" w:hAnsi="仿宋_GB2312" w:cs="仿宋_GB2312"/>
          <w:b w:val="0"/>
          <w:bCs w:val="0"/>
          <w:color w:val="auto"/>
          <w:highlight w:val="none"/>
          <w:u w:val="none"/>
          <w:shd w:val="clear" w:color="auto" w:fill="auto"/>
        </w:rPr>
        <w:t>，</w:t>
      </w:r>
      <w:r>
        <w:rPr>
          <w:rFonts w:hint="eastAsia" w:ascii="仿宋_GB2312" w:hAnsi="仿宋_GB2312" w:cs="仿宋_GB2312"/>
          <w:b w:val="0"/>
          <w:bCs w:val="0"/>
          <w:color w:val="auto"/>
          <w:highlight w:val="none"/>
          <w:u w:val="none"/>
          <w:shd w:val="clear" w:color="auto" w:fill="auto"/>
          <w:lang w:val="en-US" w:eastAsia="zh-CN"/>
        </w:rPr>
        <w:t>加快构建</w:t>
      </w:r>
      <w:r>
        <w:rPr>
          <w:rFonts w:hint="eastAsia" w:ascii="仿宋_GB2312" w:hAnsi="仿宋_GB2312" w:cs="仿宋_GB2312"/>
          <w:b w:val="0"/>
          <w:bCs w:val="0"/>
          <w:color w:val="auto"/>
          <w:highlight w:val="none"/>
          <w:u w:val="none"/>
          <w:shd w:val="clear" w:color="auto" w:fill="auto"/>
        </w:rPr>
        <w:t>新能源汽车、分布式光伏等领域废动力电池、废光伏组件等</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新三样</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固体废物全链条</w:t>
      </w:r>
      <w:r>
        <w:rPr>
          <w:rFonts w:hint="eastAsia" w:ascii="仿宋_GB2312" w:hAnsi="仿宋_GB2312" w:cs="仿宋_GB2312"/>
          <w:b w:val="0"/>
          <w:bCs w:val="0"/>
          <w:color w:val="auto"/>
          <w:highlight w:val="none"/>
          <w:u w:val="none"/>
          <w:shd w:val="clear" w:color="auto" w:fill="auto"/>
          <w:lang w:val="en-US" w:eastAsia="zh-CN"/>
        </w:rPr>
        <w:t>回收利用体系</w:t>
      </w:r>
      <w:r>
        <w:rPr>
          <w:rFonts w:hint="eastAsia" w:ascii="仿宋_GB2312" w:hAnsi="仿宋_GB2312" w:cs="仿宋_GB2312"/>
          <w:b w:val="0"/>
          <w:bCs w:val="0"/>
          <w:color w:val="auto"/>
          <w:highlight w:val="none"/>
          <w:u w:val="none"/>
          <w:shd w:val="clear" w:color="auto" w:fill="auto"/>
        </w:rPr>
        <w:t>，严厉打击非法拆解</w:t>
      </w:r>
      <w:r>
        <w:rPr>
          <w:rFonts w:hint="eastAsia" w:cs="仿宋_GB2312"/>
          <w:b w:val="0"/>
          <w:bCs w:val="0"/>
          <w:color w:val="auto"/>
          <w:highlight w:val="none"/>
          <w:u w:val="none"/>
          <w:shd w:val="clear" w:color="auto" w:fill="auto"/>
          <w:lang w:eastAsia="zh-CN"/>
        </w:rPr>
        <w:t>行为。</w:t>
      </w:r>
      <w:r>
        <w:rPr>
          <w:rFonts w:hint="eastAsia" w:ascii="仿宋_GB2312" w:hAnsi="仿宋_GB2312" w:cs="仿宋_GB2312"/>
          <w:b w:val="0"/>
          <w:bCs w:val="0"/>
          <w:color w:val="auto"/>
          <w:highlight w:val="none"/>
          <w:u w:val="none"/>
          <w:shd w:val="clear" w:color="auto" w:fill="auto"/>
        </w:rPr>
        <w:t>推动园区循环化改造，促进大宗固</w:t>
      </w:r>
      <w:r>
        <w:rPr>
          <w:rFonts w:hint="eastAsia" w:ascii="仿宋_GB2312" w:hAnsi="仿宋_GB2312" w:cs="仿宋_GB2312"/>
          <w:b w:val="0"/>
          <w:bCs w:val="0"/>
          <w:color w:val="auto"/>
          <w:highlight w:val="none"/>
          <w:u w:val="none"/>
        </w:rPr>
        <w:t>体废物综合利用和再生材料产业化应用。</w:t>
      </w:r>
    </w:p>
    <w:p w14:paraId="00C13CE6">
      <w:pPr>
        <w:pStyle w:val="5"/>
        <w:keepNext w:val="0"/>
        <w:keepLines w:val="0"/>
        <w:pageBreakBefore w:val="0"/>
        <w:numPr>
          <w:ilvl w:val="0"/>
          <w:numId w:val="5"/>
        </w:numPr>
        <w:kinsoku/>
        <w:wordWrap/>
        <w:overflowPunct/>
        <w:topLinePunct w:val="0"/>
        <w:autoSpaceDE/>
        <w:autoSpaceDN/>
        <w:bidi w:val="0"/>
        <w:adjustRightInd/>
        <w:snapToGrid/>
        <w:ind w:left="640" w:firstLineChars="0"/>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加快“无废城市”建设</w:t>
      </w:r>
    </w:p>
    <w:p w14:paraId="4D88CCB6">
      <w:pPr>
        <w:keepNext w:val="0"/>
        <w:keepLines w:val="0"/>
        <w:pageBreakBefore w:val="0"/>
        <w:kinsoku/>
        <w:wordWrap/>
        <w:overflowPunct/>
        <w:topLinePunct w:val="0"/>
        <w:autoSpaceDE/>
        <w:autoSpaceDN/>
        <w:bidi w:val="0"/>
        <w:adjustRightInd/>
        <w:snapToGrid/>
        <w:textAlignment w:val="auto"/>
        <w:rPr>
          <w:rFonts w:hint="eastAsia" w:ascii="仿宋_GB2312" w:hAnsi="仿宋_GB2312" w:cs="仿宋_GB2312"/>
          <w:b w:val="0"/>
          <w:bCs w:val="0"/>
          <w:color w:val="auto"/>
          <w:highlight w:val="none"/>
          <w:u w:val="none"/>
          <w:lang w:val="en-US" w:eastAsia="zh-CN"/>
        </w:rPr>
      </w:pPr>
      <w:r>
        <w:rPr>
          <w:rFonts w:hint="eastAsia" w:ascii="仿宋_GB2312" w:hAnsi="仿宋_GB2312" w:cs="仿宋_GB2312"/>
          <w:b w:val="0"/>
          <w:bCs w:val="0"/>
          <w:color w:val="auto"/>
          <w:highlight w:val="none"/>
          <w:u w:val="none"/>
          <w:lang w:val="en-US" w:eastAsia="zh-CN"/>
        </w:rPr>
        <w:t>推进建筑垃圾综合利用。</w:t>
      </w:r>
      <w:r>
        <w:rPr>
          <w:rFonts w:hint="eastAsia" w:ascii="仿宋_GB2312" w:hAnsi="仿宋_GB2312" w:cs="仿宋_GB2312"/>
          <w:b w:val="0"/>
          <w:bCs w:val="0"/>
          <w:color w:val="auto"/>
          <w:highlight w:val="none"/>
          <w:u w:val="none"/>
          <w:shd w:val="clear" w:color="auto" w:fill="auto"/>
        </w:rPr>
        <w:t>严格落实建筑垃圾管理规定，强化全链条监管，依托全市建筑垃圾电子运单系统实现数字化监控，对严重违法违规企业落实退出机制。结合顺义国土空间规划，</w:t>
      </w:r>
      <w:r>
        <w:rPr>
          <w:rFonts w:hint="eastAsia"/>
          <w:b w:val="0"/>
          <w:bCs w:val="0"/>
          <w:highlight w:val="none"/>
          <w:u w:val="none"/>
          <w:shd w:val="clear" w:color="auto" w:fill="auto"/>
        </w:rPr>
        <w:t>建成与产生量相匹配的建筑垃圾资源化处置设施</w:t>
      </w:r>
      <w:r>
        <w:rPr>
          <w:rFonts w:hint="eastAsia" w:ascii="仿宋_GB2312" w:hAnsi="仿宋_GB2312" w:cs="仿宋_GB2312"/>
          <w:b w:val="0"/>
          <w:bCs w:val="0"/>
          <w:color w:val="auto"/>
          <w:highlight w:val="none"/>
          <w:u w:val="none"/>
          <w:shd w:val="clear" w:color="auto" w:fill="auto"/>
        </w:rPr>
        <w:t>。落实“谁产生、谁付费”原则，规范建筑垃圾处置收费行为。在市政工程、道路工程中积极推广应用建筑垃圾再生产品。严厉打击无证偷运、泄漏遗撒、非法倾倒等行为。到2030年，建筑垃圾资源化利用率</w:t>
      </w:r>
      <w:r>
        <w:rPr>
          <w:rFonts w:hint="eastAsia" w:ascii="仿宋_GB2312" w:hAnsi="仿宋_GB2312" w:cs="仿宋_GB2312"/>
          <w:b w:val="0"/>
          <w:bCs w:val="0"/>
          <w:color w:val="auto"/>
          <w:highlight w:val="none"/>
          <w:u w:val="none"/>
          <w:shd w:val="clear" w:color="auto" w:fill="auto"/>
          <w:lang w:val="en-US" w:eastAsia="zh-CN"/>
        </w:rPr>
        <w:t>达到北京市要求</w:t>
      </w:r>
      <w:r>
        <w:rPr>
          <w:rFonts w:hint="eastAsia" w:ascii="仿宋_GB2312" w:hAnsi="仿宋_GB2312" w:cs="仿宋_GB2312"/>
          <w:b w:val="0"/>
          <w:bCs w:val="0"/>
          <w:color w:val="auto"/>
          <w:highlight w:val="none"/>
          <w:u w:val="none"/>
          <w:lang w:val="en-US" w:eastAsia="zh-CN"/>
        </w:rPr>
        <w:t>。</w:t>
      </w:r>
    </w:p>
    <w:p w14:paraId="2983B2EF">
      <w:pPr>
        <w:keepNext w:val="0"/>
        <w:keepLines w:val="0"/>
        <w:pageBreakBefore w:val="0"/>
        <w:kinsoku/>
        <w:wordWrap/>
        <w:overflowPunct/>
        <w:topLinePunct w:val="0"/>
        <w:autoSpaceDE/>
        <w:autoSpaceDN/>
        <w:bidi w:val="0"/>
        <w:adjustRightInd/>
        <w:snapToGrid/>
        <w:textAlignment w:val="auto"/>
        <w:rPr>
          <w:rFonts w:hint="eastAsia" w:ascii="仿宋_GB2312" w:hAnsi="仿宋_GB2312" w:cs="仿宋_GB2312"/>
          <w:b w:val="0"/>
          <w:bCs w:val="0"/>
          <w:color w:val="auto"/>
          <w:highlight w:val="none"/>
          <w:u w:val="none"/>
          <w:lang w:val="en-US" w:eastAsia="zh-CN"/>
        </w:rPr>
      </w:pPr>
      <w:r>
        <w:rPr>
          <w:rFonts w:hint="eastAsia" w:ascii="仿宋_GB2312" w:hAnsi="仿宋_GB2312" w:cs="仿宋_GB2312"/>
          <w:b w:val="0"/>
          <w:bCs w:val="0"/>
          <w:color w:val="auto"/>
          <w:highlight w:val="none"/>
          <w:u w:val="none"/>
          <w:lang w:val="en-US" w:eastAsia="zh-CN"/>
        </w:rPr>
        <w:t>推进工业固体废物综合利用。</w:t>
      </w:r>
      <w:r>
        <w:rPr>
          <w:rFonts w:hint="eastAsia" w:ascii="仿宋_GB2312" w:hAnsi="仿宋_GB2312" w:cs="仿宋_GB2312"/>
          <w:b w:val="0"/>
          <w:bCs w:val="0"/>
          <w:color w:val="auto"/>
          <w:highlight w:val="none"/>
          <w:u w:val="none"/>
        </w:rPr>
        <w:t>以一般工业固体废物产生强度高于0.2吨/万元的制造业企业为重点，推动企业实施清洁生产改造，从源头降低固废产生强度。依托区内水泥企业消纳能力，协同周边地区推进粉煤灰、脱硫石膏资源化利用</w:t>
      </w:r>
      <w:r>
        <w:rPr>
          <w:rFonts w:hint="eastAsia" w:ascii="仿宋_GB2312" w:hAnsi="仿宋_GB2312" w:cs="仿宋_GB2312"/>
          <w:b w:val="0"/>
          <w:bCs w:val="0"/>
          <w:color w:val="auto"/>
          <w:highlight w:val="none"/>
          <w:u w:val="none"/>
          <w:shd w:val="clear" w:color="auto" w:fill="auto"/>
        </w:rPr>
        <w:t>。推动工业污泥、废活性炭等综合利用</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加快构建废动力电池、光伏组件等新兴固废规范回收体系。</w:t>
      </w:r>
      <w:r>
        <w:rPr>
          <w:rFonts w:hint="eastAsia" w:ascii="仿宋_GB2312" w:hAnsi="仿宋_GB2312" w:cs="仿宋_GB2312"/>
          <w:b w:val="0"/>
          <w:bCs w:val="0"/>
          <w:color w:val="auto"/>
          <w:highlight w:val="none"/>
          <w:u w:val="none"/>
        </w:rPr>
        <w:t>推动年产废量超过1000吨的工业企业实现电子台账管理。到2030年，一般工业固体废物产生强度低于0.04吨/万元。</w:t>
      </w:r>
    </w:p>
    <w:p w14:paraId="312F1824">
      <w:pPr>
        <w:keepNext w:val="0"/>
        <w:keepLines w:val="0"/>
        <w:pageBreakBefore w:val="0"/>
        <w:kinsoku/>
        <w:wordWrap/>
        <w:overflowPunct/>
        <w:topLinePunct w:val="0"/>
        <w:autoSpaceDE/>
        <w:autoSpaceDN/>
        <w:bidi w:val="0"/>
        <w:adjustRightInd/>
        <w:snapToGrid/>
        <w:textAlignment w:val="auto"/>
        <w:rPr>
          <w:rFonts w:hint="eastAsia" w:ascii="仿宋_GB2312" w:hAnsi="仿宋_GB2312" w:cs="仿宋_GB2312"/>
          <w:b w:val="0"/>
          <w:bCs w:val="0"/>
          <w:color w:val="auto"/>
          <w:highlight w:val="none"/>
          <w:u w:val="none"/>
          <w:shd w:val="clear" w:color="auto" w:fill="auto"/>
        </w:rPr>
      </w:pPr>
      <w:r>
        <w:rPr>
          <w:rFonts w:hint="eastAsia" w:ascii="仿宋_GB2312" w:hAnsi="仿宋_GB2312" w:cs="仿宋_GB2312"/>
          <w:b w:val="0"/>
          <w:bCs w:val="0"/>
          <w:color w:val="auto"/>
          <w:highlight w:val="none"/>
          <w:u w:val="none"/>
          <w:lang w:val="en-US" w:eastAsia="zh-CN"/>
        </w:rPr>
        <w:t>推进生活垃圾综合管理。加快构建覆盖全域的生活垃圾收运处置体系，全面实现</w:t>
      </w:r>
      <w:r>
        <w:rPr>
          <w:rFonts w:hint="eastAsia" w:ascii="仿宋_GB2312" w:hAnsi="仿宋_GB2312" w:cs="仿宋_GB2312"/>
          <w:b w:val="0"/>
          <w:bCs w:val="0"/>
          <w:color w:val="auto"/>
          <w:highlight w:val="none"/>
          <w:u w:val="none"/>
        </w:rPr>
        <w:t>分类投放、分类收集、分类运输、分类处理</w:t>
      </w:r>
      <w:r>
        <w:rPr>
          <w:rFonts w:hint="eastAsia" w:ascii="仿宋_GB2312" w:hAnsi="仿宋_GB2312" w:cs="仿宋_GB2312"/>
          <w:b w:val="0"/>
          <w:bCs w:val="0"/>
          <w:color w:val="auto"/>
          <w:highlight w:val="none"/>
          <w:u w:val="none"/>
          <w:lang w:val="en-US" w:eastAsia="zh-CN"/>
        </w:rPr>
        <w:t>。到2030年，城市生活</w:t>
      </w:r>
      <w:r>
        <w:rPr>
          <w:rFonts w:hint="eastAsia" w:ascii="仿宋_GB2312" w:hAnsi="仿宋_GB2312" w:cs="仿宋_GB2312"/>
          <w:b w:val="0"/>
          <w:bCs w:val="0"/>
          <w:color w:val="auto"/>
          <w:highlight w:val="none"/>
          <w:u w:val="none"/>
          <w:shd w:val="clear" w:color="auto" w:fill="auto"/>
          <w:lang w:val="en-US" w:eastAsia="zh-CN"/>
        </w:rPr>
        <w:t>垃圾分类实现全覆盖。</w:t>
      </w:r>
      <w:r>
        <w:rPr>
          <w:rFonts w:hint="eastAsia" w:ascii="仿宋_GB2312" w:hAnsi="仿宋_GB2312" w:cs="仿宋_GB2312"/>
          <w:b w:val="0"/>
          <w:bCs w:val="0"/>
          <w:color w:val="auto"/>
          <w:highlight w:val="none"/>
          <w:u w:val="none"/>
          <w:shd w:val="clear" w:color="auto" w:fill="auto"/>
        </w:rPr>
        <w:t>加强再生资源回收利用，推动全区医疗机构输液瓶（袋）规范回收利用全覆盖</w:t>
      </w:r>
      <w:r>
        <w:rPr>
          <w:rFonts w:hint="eastAsia" w:cs="仿宋_GB2312"/>
          <w:b w:val="0"/>
          <w:bCs w:val="0"/>
          <w:color w:val="auto"/>
          <w:highlight w:val="none"/>
          <w:u w:val="none"/>
          <w:shd w:val="clear" w:color="auto" w:fill="auto"/>
          <w:lang w:eastAsia="zh-CN"/>
        </w:rPr>
        <w:t>，推进</w:t>
      </w:r>
      <w:r>
        <w:rPr>
          <w:rFonts w:hint="eastAsia" w:ascii="仿宋_GB2312" w:hAnsi="仿宋_GB2312" w:cs="仿宋_GB2312"/>
          <w:b w:val="0"/>
          <w:bCs w:val="0"/>
          <w:color w:val="auto"/>
          <w:highlight w:val="none"/>
          <w:u w:val="none"/>
          <w:shd w:val="clear" w:color="auto" w:fill="auto"/>
        </w:rPr>
        <w:t>废弃电器电子产品规范回收，</w:t>
      </w:r>
      <w:r>
        <w:rPr>
          <w:rFonts w:hint="eastAsia" w:cs="仿宋_GB2312"/>
          <w:b w:val="0"/>
          <w:bCs w:val="0"/>
          <w:color w:val="auto"/>
          <w:highlight w:val="none"/>
          <w:u w:val="none"/>
          <w:shd w:val="clear" w:color="auto" w:fill="auto"/>
          <w:lang w:val="en-US" w:eastAsia="zh-CN"/>
        </w:rPr>
        <w:t>进一步发挥</w:t>
      </w:r>
      <w:r>
        <w:rPr>
          <w:rFonts w:hint="eastAsia" w:ascii="仿宋_GB2312" w:hAnsi="仿宋_GB2312" w:cs="仿宋_GB2312"/>
          <w:b w:val="0"/>
          <w:bCs w:val="0"/>
          <w:color w:val="auto"/>
          <w:highlight w:val="none"/>
          <w:u w:val="none"/>
          <w:shd w:val="clear" w:color="auto" w:fill="auto"/>
          <w:lang w:eastAsia="zh-CN"/>
        </w:rPr>
        <w:t>再生资源分拣中心</w:t>
      </w:r>
      <w:r>
        <w:rPr>
          <w:rFonts w:hint="eastAsia" w:cs="仿宋_GB2312"/>
          <w:b w:val="0"/>
          <w:bCs w:val="0"/>
          <w:color w:val="auto"/>
          <w:highlight w:val="none"/>
          <w:u w:val="none"/>
          <w:shd w:val="clear" w:color="auto" w:fill="auto"/>
          <w:lang w:val="en-US" w:eastAsia="zh-CN"/>
        </w:rPr>
        <w:t>枢纽作用，持续完善与扩容设施网络</w:t>
      </w:r>
      <w:r>
        <w:rPr>
          <w:rFonts w:hint="eastAsia" w:ascii="仿宋_GB2312" w:hAnsi="仿宋_GB2312" w:cs="仿宋_GB2312"/>
          <w:b w:val="0"/>
          <w:bCs w:val="0"/>
          <w:color w:val="auto"/>
          <w:highlight w:val="none"/>
          <w:u w:val="none"/>
          <w:shd w:val="clear" w:color="auto" w:fill="auto"/>
        </w:rPr>
        <w:t>。</w:t>
      </w:r>
      <w:r>
        <w:rPr>
          <w:rFonts w:hint="eastAsia" w:ascii="仿宋_GB2312" w:hAnsi="仿宋_GB2312" w:cs="仿宋_GB2312"/>
          <w:b w:val="0"/>
          <w:bCs w:val="0"/>
          <w:color w:val="auto"/>
          <w:highlight w:val="none"/>
          <w:u w:val="none"/>
          <w:lang w:val="en-US" w:eastAsia="zh-CN"/>
        </w:rPr>
        <w:t>推进</w:t>
      </w:r>
      <w:r>
        <w:rPr>
          <w:rFonts w:hint="eastAsia"/>
          <w:b w:val="0"/>
          <w:bCs w:val="0"/>
          <w:color w:val="auto"/>
          <w:highlight w:val="none"/>
          <w:u w:val="none"/>
          <w:lang w:val="en-US" w:eastAsia="zh-CN"/>
        </w:rPr>
        <w:t>生活垃圾焚烧飞灰资源化利用设施</w:t>
      </w:r>
      <w:r>
        <w:rPr>
          <w:rFonts w:hint="eastAsia" w:ascii="仿宋_GB2312" w:hAnsi="仿宋_GB2312" w:cs="仿宋_GB2312"/>
          <w:b w:val="0"/>
          <w:bCs w:val="0"/>
          <w:color w:val="auto"/>
          <w:highlight w:val="none"/>
          <w:u w:val="none"/>
          <w:lang w:val="en-US" w:eastAsia="zh-CN"/>
        </w:rPr>
        <w:t>建设</w:t>
      </w:r>
      <w:r>
        <w:rPr>
          <w:rFonts w:hint="eastAsia"/>
          <w:b w:val="0"/>
          <w:bCs w:val="0"/>
          <w:color w:val="auto"/>
          <w:highlight w:val="none"/>
          <w:u w:val="none"/>
          <w:lang w:val="en-US" w:eastAsia="zh-CN"/>
        </w:rPr>
        <w:t>。</w:t>
      </w:r>
      <w:r>
        <w:rPr>
          <w:rFonts w:hint="eastAsia" w:ascii="仿宋_GB2312" w:hAnsi="仿宋_GB2312" w:cs="仿宋_GB2312"/>
          <w:b w:val="0"/>
          <w:bCs w:val="0"/>
          <w:color w:val="auto"/>
          <w:highlight w:val="none"/>
          <w:u w:val="none"/>
          <w:shd w:val="clear" w:color="auto" w:fill="auto"/>
        </w:rPr>
        <w:t>依托生活垃圾综合处理设施，探索开展农林废弃物、污泥等协同处置试点。</w:t>
      </w:r>
      <w:r>
        <w:rPr>
          <w:rFonts w:hint="eastAsia" w:ascii="仿宋_GB2312" w:hAnsi="仿宋_GB2312" w:cs="仿宋_GB2312"/>
          <w:b w:val="0"/>
          <w:bCs w:val="0"/>
          <w:color w:val="auto"/>
          <w:highlight w:val="none"/>
          <w:u w:val="none"/>
          <w:shd w:val="clear" w:color="auto" w:fill="auto"/>
          <w:lang w:eastAsia="zh-CN"/>
        </w:rPr>
        <w:t>到</w:t>
      </w:r>
      <w:r>
        <w:rPr>
          <w:rFonts w:hint="eastAsia" w:ascii="仿宋_GB2312" w:hAnsi="仿宋_GB2312" w:cs="仿宋_GB2312"/>
          <w:b w:val="0"/>
          <w:bCs w:val="0"/>
          <w:color w:val="auto"/>
          <w:highlight w:val="none"/>
          <w:u w:val="none"/>
          <w:shd w:val="clear" w:color="auto" w:fill="auto"/>
        </w:rPr>
        <w:t>2030年，生活垃圾回收利用率达到</w:t>
      </w:r>
      <w:r>
        <w:rPr>
          <w:rFonts w:hint="eastAsia" w:ascii="仿宋_GB2312" w:hAnsi="仿宋_GB2312" w:cs="仿宋_GB2312"/>
          <w:b w:val="0"/>
          <w:bCs w:val="0"/>
          <w:color w:val="auto"/>
          <w:highlight w:val="none"/>
          <w:u w:val="none"/>
          <w:shd w:val="clear" w:color="auto" w:fill="auto"/>
          <w:lang w:val="en-US" w:eastAsia="zh-CN"/>
        </w:rPr>
        <w:t>北京市要求</w:t>
      </w:r>
      <w:r>
        <w:rPr>
          <w:rFonts w:hint="eastAsia" w:ascii="仿宋_GB2312" w:hAnsi="仿宋_GB2312" w:cs="仿宋_GB2312"/>
          <w:b w:val="0"/>
          <w:bCs w:val="0"/>
          <w:color w:val="auto"/>
          <w:highlight w:val="none"/>
          <w:u w:val="none"/>
          <w:shd w:val="clear" w:color="auto" w:fill="auto"/>
        </w:rPr>
        <w:t>。</w:t>
      </w:r>
    </w:p>
    <w:p w14:paraId="6C6A7399">
      <w:pPr>
        <w:keepNext w:val="0"/>
        <w:keepLines w:val="0"/>
        <w:pageBreakBefore w:val="0"/>
        <w:kinsoku/>
        <w:wordWrap/>
        <w:overflowPunct/>
        <w:topLinePunct w:val="0"/>
        <w:autoSpaceDE/>
        <w:autoSpaceDN/>
        <w:bidi w:val="0"/>
        <w:adjustRightInd/>
        <w:snapToGrid/>
        <w:textAlignment w:val="auto"/>
        <w:rPr>
          <w:rFonts w:hint="eastAsia" w:ascii="仿宋_GB2312" w:hAnsi="仿宋_GB2312" w:cs="仿宋_GB2312"/>
          <w:b w:val="0"/>
          <w:bCs w:val="0"/>
          <w:color w:val="auto"/>
          <w:highlight w:val="none"/>
          <w:u w:val="none"/>
          <w:lang w:val="en-US" w:eastAsia="zh-CN"/>
        </w:rPr>
      </w:pPr>
      <w:r>
        <w:rPr>
          <w:rFonts w:hint="eastAsia" w:ascii="仿宋_GB2312" w:hAnsi="仿宋_GB2312" w:cs="仿宋_GB2312"/>
          <w:b w:val="0"/>
          <w:bCs w:val="0"/>
          <w:color w:val="auto"/>
          <w:highlight w:val="none"/>
          <w:u w:val="none"/>
          <w:lang w:val="en-US" w:eastAsia="zh-CN"/>
        </w:rPr>
        <w:t>加强农业废弃物综合治理。</w:t>
      </w:r>
      <w:r>
        <w:rPr>
          <w:rFonts w:hint="eastAsia" w:ascii="仿宋_GB2312" w:hAnsi="仿宋_GB2312" w:cs="仿宋_GB2312"/>
          <w:b w:val="0"/>
          <w:bCs w:val="0"/>
          <w:color w:val="auto"/>
          <w:highlight w:val="none"/>
          <w:u w:val="none"/>
        </w:rPr>
        <w:t>健全农药包装废弃物回收体系。推广应用加厚高强度地膜和全生物降解地膜。加快建设畜禽粪污处理与资源化设施</w:t>
      </w:r>
      <w:r>
        <w:rPr>
          <w:rFonts w:hint="eastAsia" w:cs="仿宋_GB2312"/>
          <w:b w:val="0"/>
          <w:bCs w:val="0"/>
          <w:color w:val="auto"/>
          <w:highlight w:val="none"/>
          <w:u w:val="none"/>
          <w:lang w:eastAsia="zh-CN"/>
        </w:rPr>
        <w:t>。</w:t>
      </w:r>
      <w:r>
        <w:rPr>
          <w:rFonts w:hint="eastAsia" w:ascii="仿宋_GB2312" w:hAnsi="仿宋_GB2312" w:cs="仿宋_GB2312"/>
          <w:b w:val="0"/>
          <w:bCs w:val="0"/>
          <w:color w:val="auto"/>
          <w:highlight w:val="none"/>
          <w:u w:val="none"/>
        </w:rPr>
        <w:t>推广立体种养与生态循环种植模式，深化农业废弃物资源化利用</w:t>
      </w:r>
      <w:r>
        <w:rPr>
          <w:rFonts w:hint="eastAsia" w:cs="仿宋_GB2312"/>
          <w:b w:val="0"/>
          <w:bCs w:val="0"/>
          <w:color w:val="auto"/>
          <w:highlight w:val="none"/>
          <w:u w:val="none"/>
          <w:lang w:val="en-US" w:eastAsia="zh-CN"/>
        </w:rPr>
        <w:t>模式，集成推广应用成熟</w:t>
      </w:r>
      <w:r>
        <w:rPr>
          <w:rFonts w:hint="eastAsia" w:ascii="仿宋_GB2312" w:hAnsi="仿宋_GB2312" w:cs="仿宋_GB2312"/>
          <w:b w:val="0"/>
          <w:bCs w:val="0"/>
          <w:color w:val="auto"/>
          <w:highlight w:val="none"/>
          <w:u w:val="none"/>
        </w:rPr>
        <w:t>技术。推动园林绿化废弃物全量利用，逐步实现“不出林、不出园”</w:t>
      </w:r>
      <w:r>
        <w:rPr>
          <w:rFonts w:hint="eastAsia" w:ascii="仿宋_GB2312" w:hAnsi="仿宋_GB2312" w:cs="仿宋_GB2312"/>
          <w:b w:val="0"/>
          <w:bCs w:val="0"/>
          <w:color w:val="auto"/>
          <w:highlight w:val="none"/>
          <w:u w:val="none"/>
          <w:lang w:val="en-US" w:eastAsia="zh-CN"/>
        </w:rPr>
        <w:t>。</w:t>
      </w:r>
    </w:p>
    <w:p w14:paraId="5798C707">
      <w:pPr>
        <w:pStyle w:val="19"/>
        <w:keepNext w:val="0"/>
        <w:keepLines w:val="0"/>
        <w:pageBreakBefore w:val="0"/>
        <w:kinsoku/>
        <w:wordWrap/>
        <w:overflowPunct/>
        <w:topLinePunct w:val="0"/>
        <w:autoSpaceDE/>
        <w:autoSpaceDN/>
        <w:bidi w:val="0"/>
        <w:adjustRightInd/>
        <w:snapToGrid/>
        <w:spacing w:after="0"/>
        <w:textAlignment w:val="auto"/>
        <w:rPr>
          <w:rFonts w:hint="eastAsia"/>
          <w:b w:val="0"/>
          <w:bCs w:val="0"/>
          <w:highlight w:val="none"/>
          <w:u w:val="none"/>
          <w:lang w:val="en-US" w:eastAsia="zh-CN"/>
        </w:rPr>
      </w:pPr>
      <w:r>
        <w:rPr>
          <w:rFonts w:hint="eastAsia"/>
          <w:b w:val="0"/>
          <w:bCs w:val="0"/>
          <w:highlight w:val="none"/>
          <w:u w:val="none"/>
        </w:rPr>
        <w:t>培育“无废”社会单元。对标“无废城市”建设指标体系，将“无废”理念融入生产生活各领域，推动形成绿色低碳的生产方式和生活方式。聚焦工业、农业、生活等重点领域，分类推进“无废工厂”“无废园区”“无废学校”“无废机关”“无废社区”“无废乡村”等“无废”</w:t>
      </w:r>
      <w:r>
        <w:rPr>
          <w:rFonts w:hint="eastAsia"/>
          <w:b w:val="0"/>
          <w:bCs w:val="0"/>
          <w:highlight w:val="none"/>
          <w:u w:val="none"/>
          <w:lang w:eastAsia="zh-CN"/>
        </w:rPr>
        <w:t>系列</w:t>
      </w:r>
      <w:r>
        <w:rPr>
          <w:rFonts w:hint="eastAsia"/>
          <w:b w:val="0"/>
          <w:bCs w:val="0"/>
          <w:highlight w:val="none"/>
          <w:u w:val="none"/>
        </w:rPr>
        <w:t>建设，打造一批具有示范引领作用的标杆单元。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1C3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3D02A668">
            <w:pPr>
              <w:widowControl/>
              <w:ind w:firstLine="560" w:firstLineChars="200"/>
              <w:jc w:val="center"/>
              <w:rPr>
                <w:rFonts w:hint="eastAsia"/>
                <w:b w:val="0"/>
                <w:bCs w:val="0"/>
                <w:sz w:val="28"/>
                <w:szCs w:val="28"/>
                <w:highlight w:val="none"/>
                <w:u w:val="none"/>
              </w:rPr>
            </w:pPr>
            <w:r>
              <w:rPr>
                <w:rFonts w:hint="eastAsia" w:cs="仿宋_GB2312"/>
                <w:b w:val="0"/>
                <w:bCs w:val="0"/>
                <w:sz w:val="28"/>
                <w:szCs w:val="28"/>
                <w:highlight w:val="none"/>
                <w:u w:val="none"/>
                <w:lang w:val="en-US" w:eastAsia="zh-CN"/>
              </w:rPr>
              <w:t>专栏1  “无废城市”建设</w:t>
            </w:r>
          </w:p>
        </w:tc>
      </w:tr>
      <w:tr w14:paraId="27E5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6888755D">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b w:val="0"/>
                <w:bCs w:val="0"/>
                <w:sz w:val="28"/>
                <w:szCs w:val="28"/>
                <w:highlight w:val="none"/>
                <w:u w:val="none"/>
              </w:rPr>
            </w:pPr>
            <w:r>
              <w:rPr>
                <w:rFonts w:hint="eastAsia"/>
                <w:b w:val="0"/>
                <w:bCs w:val="0"/>
                <w:sz w:val="28"/>
                <w:szCs w:val="28"/>
                <w:highlight w:val="none"/>
                <w:u w:val="none"/>
              </w:rPr>
              <w:t>建筑垃圾资源化利用工程。</w:t>
            </w:r>
            <w:r>
              <w:rPr>
                <w:rFonts w:hint="eastAsia"/>
                <w:b w:val="0"/>
                <w:bCs w:val="0"/>
                <w:sz w:val="28"/>
                <w:szCs w:val="28"/>
                <w:highlight w:val="none"/>
                <w:u w:val="none"/>
                <w:lang w:val="en-US" w:eastAsia="zh-CN"/>
              </w:rPr>
              <w:t>科学布局</w:t>
            </w:r>
            <w:r>
              <w:rPr>
                <w:rFonts w:hint="eastAsia"/>
                <w:b w:val="0"/>
                <w:bCs w:val="0"/>
                <w:sz w:val="28"/>
                <w:szCs w:val="28"/>
                <w:highlight w:val="none"/>
                <w:u w:val="none"/>
              </w:rPr>
              <w:t>固定式建筑垃圾资源化处置设施</w:t>
            </w:r>
            <w:r>
              <w:rPr>
                <w:rFonts w:hint="eastAsia"/>
                <w:b w:val="0"/>
                <w:bCs w:val="0"/>
                <w:sz w:val="28"/>
                <w:szCs w:val="28"/>
                <w:highlight w:val="none"/>
                <w:u w:val="none"/>
                <w:lang w:val="en-US" w:eastAsia="zh-CN"/>
              </w:rPr>
              <w:t>规划建设</w:t>
            </w:r>
            <w:r>
              <w:rPr>
                <w:rFonts w:hint="eastAsia"/>
                <w:b w:val="0"/>
                <w:bCs w:val="0"/>
                <w:sz w:val="28"/>
                <w:szCs w:val="28"/>
                <w:highlight w:val="none"/>
                <w:u w:val="none"/>
              </w:rPr>
              <w:t>。在市政工程、道路工程中推广应用建筑垃圾再生产品。</w:t>
            </w:r>
          </w:p>
          <w:p w14:paraId="2F1F73C5">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b w:val="0"/>
                <w:bCs w:val="0"/>
                <w:sz w:val="28"/>
                <w:szCs w:val="28"/>
                <w:highlight w:val="none"/>
                <w:u w:val="none"/>
              </w:rPr>
            </w:pPr>
            <w:r>
              <w:rPr>
                <w:rFonts w:hint="eastAsia"/>
                <w:b w:val="0"/>
                <w:bCs w:val="0"/>
                <w:sz w:val="28"/>
                <w:szCs w:val="28"/>
                <w:highlight w:val="none"/>
                <w:u w:val="none"/>
              </w:rPr>
              <w:t>工业</w:t>
            </w:r>
            <w:r>
              <w:rPr>
                <w:rFonts w:hint="eastAsia"/>
                <w:b w:val="0"/>
                <w:bCs w:val="0"/>
                <w:sz w:val="28"/>
                <w:szCs w:val="28"/>
                <w:highlight w:val="none"/>
                <w:u w:val="none"/>
                <w:lang w:eastAsia="zh-CN"/>
              </w:rPr>
              <w:t>固体废物</w:t>
            </w:r>
            <w:r>
              <w:rPr>
                <w:rFonts w:hint="eastAsia"/>
                <w:b w:val="0"/>
                <w:bCs w:val="0"/>
                <w:sz w:val="28"/>
                <w:szCs w:val="28"/>
                <w:highlight w:val="none"/>
                <w:u w:val="none"/>
                <w:lang w:val="en-US" w:eastAsia="zh-CN"/>
              </w:rPr>
              <w:t>综合利用</w:t>
            </w:r>
            <w:r>
              <w:rPr>
                <w:rFonts w:hint="eastAsia"/>
                <w:b w:val="0"/>
                <w:bCs w:val="0"/>
                <w:sz w:val="28"/>
                <w:szCs w:val="28"/>
                <w:highlight w:val="none"/>
                <w:u w:val="none"/>
              </w:rPr>
              <w:t>工程。推动高产生企业清洁生产改造，依托绿色诊断，从源头降低固废产生强度。推进粉煤灰、脱硫石膏资源化利用，拓展在新型建材、道路基层材料等领域的应用。完善废动力电池、光伏组件等新兴固废“生产企业—销售网点—回收企业—梯次利用”全链条回收网络。</w:t>
            </w:r>
          </w:p>
          <w:p w14:paraId="0934F7DE">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b w:val="0"/>
                <w:bCs w:val="0"/>
                <w:sz w:val="28"/>
                <w:szCs w:val="28"/>
                <w:highlight w:val="none"/>
                <w:u w:val="none"/>
              </w:rPr>
            </w:pPr>
            <w:r>
              <w:rPr>
                <w:rFonts w:hint="eastAsia"/>
                <w:b w:val="0"/>
                <w:bCs w:val="0"/>
                <w:sz w:val="28"/>
                <w:szCs w:val="28"/>
                <w:highlight w:val="none"/>
                <w:u w:val="none"/>
              </w:rPr>
              <w:t>生活垃圾</w:t>
            </w:r>
            <w:r>
              <w:rPr>
                <w:rFonts w:hint="eastAsia"/>
                <w:b w:val="0"/>
                <w:bCs w:val="0"/>
                <w:sz w:val="28"/>
                <w:szCs w:val="28"/>
                <w:highlight w:val="none"/>
                <w:u w:val="none"/>
                <w:lang w:val="en-US" w:eastAsia="zh-CN"/>
              </w:rPr>
              <w:t>资源化利用</w:t>
            </w:r>
            <w:r>
              <w:rPr>
                <w:rFonts w:hint="eastAsia"/>
                <w:b w:val="0"/>
                <w:bCs w:val="0"/>
                <w:sz w:val="28"/>
                <w:szCs w:val="28"/>
                <w:highlight w:val="none"/>
                <w:u w:val="none"/>
              </w:rPr>
              <w:t>工程。推动再生资源分拣中心建设，支持区内企业拓展废弃电器电子产品处理业务。</w:t>
            </w:r>
            <w:r>
              <w:rPr>
                <w:rFonts w:hint="eastAsia"/>
                <w:b w:val="0"/>
                <w:bCs w:val="0"/>
                <w:sz w:val="28"/>
                <w:szCs w:val="28"/>
                <w:highlight w:val="none"/>
                <w:u w:val="none"/>
                <w:lang w:val="en-US" w:eastAsia="zh-CN"/>
              </w:rPr>
              <w:t>建成</w:t>
            </w:r>
            <w:r>
              <w:rPr>
                <w:rFonts w:hint="eastAsia"/>
                <w:b w:val="0"/>
                <w:bCs w:val="0"/>
                <w:sz w:val="28"/>
                <w:szCs w:val="28"/>
                <w:highlight w:val="none"/>
                <w:u w:val="none"/>
              </w:rPr>
              <w:t>生活垃圾</w:t>
            </w:r>
            <w:r>
              <w:rPr>
                <w:rFonts w:hint="eastAsia"/>
                <w:b w:val="0"/>
                <w:bCs w:val="0"/>
                <w:sz w:val="28"/>
                <w:szCs w:val="28"/>
                <w:highlight w:val="none"/>
                <w:u w:val="none"/>
                <w:lang w:val="en-US" w:eastAsia="zh-CN"/>
              </w:rPr>
              <w:t>飞灰资源化利用设施。拓展</w:t>
            </w:r>
            <w:r>
              <w:rPr>
                <w:rFonts w:hint="eastAsia"/>
                <w:b w:val="0"/>
                <w:bCs w:val="0"/>
                <w:sz w:val="28"/>
                <w:szCs w:val="28"/>
                <w:highlight w:val="none"/>
                <w:u w:val="none"/>
              </w:rPr>
              <w:t>农林废弃物、污泥等协同处置试点</w:t>
            </w:r>
            <w:r>
              <w:rPr>
                <w:rFonts w:hint="eastAsia"/>
                <w:b w:val="0"/>
                <w:bCs w:val="0"/>
                <w:sz w:val="28"/>
                <w:szCs w:val="28"/>
                <w:highlight w:val="none"/>
                <w:u w:val="none"/>
                <w:lang w:val="en-US" w:eastAsia="zh-CN"/>
              </w:rPr>
              <w:t>范围</w:t>
            </w:r>
            <w:r>
              <w:rPr>
                <w:rFonts w:hint="eastAsia"/>
                <w:b w:val="0"/>
                <w:bCs w:val="0"/>
                <w:sz w:val="28"/>
                <w:szCs w:val="28"/>
                <w:highlight w:val="none"/>
                <w:u w:val="none"/>
              </w:rPr>
              <w:t>。</w:t>
            </w:r>
          </w:p>
          <w:p w14:paraId="089CD9BE">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b w:val="0"/>
                <w:bCs w:val="0"/>
                <w:sz w:val="28"/>
                <w:szCs w:val="28"/>
                <w:highlight w:val="none"/>
                <w:u w:val="none"/>
              </w:rPr>
            </w:pPr>
            <w:r>
              <w:rPr>
                <w:rFonts w:hint="eastAsia"/>
                <w:b w:val="0"/>
                <w:bCs w:val="0"/>
                <w:sz w:val="28"/>
                <w:szCs w:val="28"/>
                <w:highlight w:val="none"/>
                <w:u w:val="none"/>
              </w:rPr>
              <w:t>农业废弃物综合利用工程。健全农药包装废弃物回收</w:t>
            </w:r>
            <w:r>
              <w:rPr>
                <w:rFonts w:hint="eastAsia"/>
                <w:b w:val="0"/>
                <w:bCs w:val="0"/>
                <w:sz w:val="28"/>
                <w:szCs w:val="28"/>
                <w:highlight w:val="none"/>
                <w:u w:val="none"/>
                <w:lang w:val="en-US" w:eastAsia="zh-CN"/>
              </w:rPr>
              <w:t>网络</w:t>
            </w:r>
            <w:r>
              <w:rPr>
                <w:rFonts w:hint="eastAsia"/>
                <w:b w:val="0"/>
                <w:bCs w:val="0"/>
                <w:sz w:val="28"/>
                <w:szCs w:val="28"/>
                <w:highlight w:val="none"/>
                <w:u w:val="none"/>
              </w:rPr>
              <w:t>。</w:t>
            </w:r>
            <w:r>
              <w:rPr>
                <w:rFonts w:hint="eastAsia"/>
                <w:b w:val="0"/>
                <w:bCs w:val="0"/>
                <w:sz w:val="28"/>
                <w:szCs w:val="28"/>
                <w:highlight w:val="none"/>
                <w:u w:val="none"/>
                <w:lang w:val="en-US" w:eastAsia="zh-CN"/>
              </w:rPr>
              <w:t>示范</w:t>
            </w:r>
            <w:r>
              <w:rPr>
                <w:rFonts w:hint="eastAsia"/>
                <w:b w:val="0"/>
                <w:bCs w:val="0"/>
                <w:sz w:val="28"/>
                <w:szCs w:val="28"/>
                <w:highlight w:val="none"/>
                <w:u w:val="none"/>
              </w:rPr>
              <w:t>推广全生物降解地膜。</w:t>
            </w:r>
            <w:r>
              <w:rPr>
                <w:rFonts w:hint="eastAsia"/>
                <w:b w:val="0"/>
                <w:bCs w:val="0"/>
                <w:sz w:val="28"/>
                <w:szCs w:val="28"/>
                <w:highlight w:val="none"/>
                <w:u w:val="none"/>
                <w:lang w:val="en-US" w:eastAsia="zh-CN"/>
              </w:rPr>
              <w:t>推进</w:t>
            </w:r>
            <w:r>
              <w:rPr>
                <w:rFonts w:hint="eastAsia"/>
                <w:b w:val="0"/>
                <w:bCs w:val="0"/>
                <w:sz w:val="28"/>
                <w:szCs w:val="28"/>
                <w:highlight w:val="none"/>
                <w:u w:val="none"/>
              </w:rPr>
              <w:t>畜禽粪污处理设施</w:t>
            </w:r>
            <w:r>
              <w:rPr>
                <w:rFonts w:hint="eastAsia"/>
                <w:b w:val="0"/>
                <w:bCs w:val="0"/>
                <w:sz w:val="28"/>
                <w:szCs w:val="28"/>
                <w:highlight w:val="none"/>
                <w:u w:val="none"/>
                <w:lang w:val="en-US" w:eastAsia="zh-CN"/>
              </w:rPr>
              <w:t>升级改造</w:t>
            </w:r>
            <w:r>
              <w:rPr>
                <w:rFonts w:hint="eastAsia"/>
                <w:b w:val="0"/>
                <w:bCs w:val="0"/>
                <w:sz w:val="28"/>
                <w:szCs w:val="28"/>
                <w:highlight w:val="none"/>
                <w:u w:val="none"/>
                <w:lang w:eastAsia="zh-CN"/>
              </w:rPr>
              <w:t>，</w:t>
            </w:r>
            <w:r>
              <w:rPr>
                <w:rFonts w:hint="eastAsia"/>
                <w:b w:val="0"/>
                <w:bCs w:val="0"/>
                <w:sz w:val="28"/>
                <w:szCs w:val="28"/>
                <w:highlight w:val="none"/>
                <w:u w:val="none"/>
                <w:lang w:val="en-US" w:eastAsia="zh-CN"/>
              </w:rPr>
              <w:t>扩大中央循环覆盖范围</w:t>
            </w:r>
            <w:r>
              <w:rPr>
                <w:rFonts w:hint="eastAsia"/>
                <w:b w:val="0"/>
                <w:bCs w:val="0"/>
                <w:sz w:val="28"/>
                <w:szCs w:val="28"/>
                <w:highlight w:val="none"/>
                <w:u w:val="none"/>
              </w:rPr>
              <w:t>。</w:t>
            </w:r>
            <w:r>
              <w:rPr>
                <w:rFonts w:hint="eastAsia"/>
                <w:b w:val="0"/>
                <w:bCs w:val="0"/>
                <w:sz w:val="28"/>
                <w:szCs w:val="28"/>
                <w:highlight w:val="none"/>
                <w:u w:val="none"/>
                <w:lang w:val="en-US" w:eastAsia="zh-CN"/>
              </w:rPr>
              <w:t>就地就近设置</w:t>
            </w:r>
            <w:r>
              <w:rPr>
                <w:rFonts w:hint="eastAsia"/>
                <w:b w:val="0"/>
                <w:bCs w:val="0"/>
                <w:sz w:val="28"/>
                <w:szCs w:val="28"/>
                <w:highlight w:val="none"/>
                <w:u w:val="none"/>
              </w:rPr>
              <w:t>园林</w:t>
            </w:r>
            <w:r>
              <w:rPr>
                <w:rFonts w:hint="eastAsia"/>
                <w:b w:val="0"/>
                <w:bCs w:val="0"/>
                <w:sz w:val="28"/>
                <w:szCs w:val="28"/>
                <w:highlight w:val="none"/>
                <w:u w:val="none"/>
                <w:lang w:val="en-US" w:eastAsia="zh-CN"/>
              </w:rPr>
              <w:t>绿化</w:t>
            </w:r>
            <w:r>
              <w:rPr>
                <w:rFonts w:hint="eastAsia"/>
                <w:b w:val="0"/>
                <w:bCs w:val="0"/>
                <w:sz w:val="28"/>
                <w:szCs w:val="28"/>
                <w:highlight w:val="none"/>
                <w:u w:val="none"/>
              </w:rPr>
              <w:t>废弃物处理点，探索粉碎覆盖、有机覆盖垫加工、生物质燃料制备等资源化利用方式。</w:t>
            </w:r>
          </w:p>
          <w:p w14:paraId="2BDFE80D">
            <w:pPr>
              <w:pStyle w:val="19"/>
              <w:keepNext w:val="0"/>
              <w:keepLines w:val="0"/>
              <w:pageBreakBefore w:val="0"/>
              <w:kinsoku/>
              <w:wordWrap/>
              <w:overflowPunct/>
              <w:topLinePunct w:val="0"/>
              <w:autoSpaceDE/>
              <w:autoSpaceDN/>
              <w:bidi w:val="0"/>
              <w:adjustRightInd/>
              <w:snapToGrid/>
              <w:spacing w:after="0"/>
              <w:textAlignment w:val="auto"/>
              <w:rPr>
                <w:rFonts w:hint="eastAsia" w:eastAsia="仿宋_GB2312"/>
                <w:b w:val="0"/>
                <w:bCs w:val="0"/>
                <w:highlight w:val="none"/>
                <w:u w:val="none"/>
                <w:lang w:eastAsia="zh-CN"/>
              </w:rPr>
            </w:pPr>
            <w:r>
              <w:rPr>
                <w:rFonts w:hint="eastAsia"/>
                <w:b w:val="0"/>
                <w:bCs w:val="0"/>
                <w:sz w:val="28"/>
                <w:szCs w:val="28"/>
                <w:highlight w:val="none"/>
                <w:u w:val="none"/>
                <w:lang w:eastAsia="zh-CN"/>
              </w:rPr>
              <w:t>“</w:t>
            </w:r>
            <w:r>
              <w:rPr>
                <w:rFonts w:hint="eastAsia"/>
                <w:b w:val="0"/>
                <w:bCs w:val="0"/>
                <w:sz w:val="28"/>
                <w:szCs w:val="28"/>
                <w:highlight w:val="none"/>
                <w:u w:val="none"/>
                <w:lang w:val="en-US" w:eastAsia="zh-CN"/>
              </w:rPr>
              <w:t>无废</w:t>
            </w:r>
            <w:r>
              <w:rPr>
                <w:rFonts w:hint="eastAsia"/>
                <w:b w:val="0"/>
                <w:bCs w:val="0"/>
                <w:sz w:val="28"/>
                <w:szCs w:val="28"/>
                <w:highlight w:val="none"/>
                <w:u w:val="none"/>
                <w:lang w:eastAsia="zh-CN"/>
              </w:rPr>
              <w:t>”系列</w:t>
            </w:r>
            <w:r>
              <w:rPr>
                <w:rFonts w:hint="eastAsia"/>
                <w:b w:val="0"/>
                <w:bCs w:val="0"/>
                <w:sz w:val="28"/>
                <w:szCs w:val="28"/>
                <w:highlight w:val="none"/>
                <w:u w:val="none"/>
                <w:lang w:val="en-US" w:eastAsia="zh-CN"/>
              </w:rPr>
              <w:t>建设行动。</w:t>
            </w:r>
            <w:r>
              <w:rPr>
                <w:rFonts w:hint="eastAsia"/>
                <w:b w:val="0"/>
                <w:bCs w:val="0"/>
                <w:sz w:val="28"/>
                <w:szCs w:val="28"/>
                <w:highlight w:val="none"/>
                <w:u w:val="none"/>
              </w:rPr>
              <w:t>组织开展“无废工地”建设试点</w:t>
            </w:r>
            <w:r>
              <w:rPr>
                <w:rFonts w:hint="eastAsia"/>
                <w:b w:val="0"/>
                <w:bCs w:val="0"/>
                <w:sz w:val="28"/>
                <w:szCs w:val="28"/>
                <w:highlight w:val="none"/>
                <w:u w:val="none"/>
                <w:lang w:val="en-US" w:eastAsia="zh-CN"/>
              </w:rPr>
              <w:t>，</w:t>
            </w:r>
            <w:r>
              <w:rPr>
                <w:rFonts w:hint="eastAsia"/>
                <w:b w:val="0"/>
                <w:bCs w:val="0"/>
                <w:sz w:val="28"/>
                <w:szCs w:val="28"/>
                <w:highlight w:val="none"/>
                <w:u w:val="none"/>
              </w:rPr>
              <w:t>将施工现场材料资源利用纳入绿色施工管理要求。推动无废理念进校园、进课堂</w:t>
            </w:r>
            <w:r>
              <w:rPr>
                <w:rFonts w:hint="eastAsia"/>
                <w:b w:val="0"/>
                <w:bCs w:val="0"/>
                <w:sz w:val="28"/>
                <w:szCs w:val="28"/>
                <w:highlight w:val="none"/>
                <w:u w:val="none"/>
                <w:lang w:eastAsia="zh-CN"/>
              </w:rPr>
              <w:t>，</w:t>
            </w:r>
            <w:r>
              <w:rPr>
                <w:rFonts w:hint="eastAsia"/>
                <w:b w:val="0"/>
                <w:bCs w:val="0"/>
                <w:sz w:val="28"/>
                <w:szCs w:val="28"/>
                <w:highlight w:val="none"/>
                <w:u w:val="none"/>
              </w:rPr>
              <w:t>将绿色低碳内容融入教学实践。结合“顺义好风气”建设，推广“绿色奔跑”“捡跑”等公众参与活动，让“无废”成为社会新风尚</w:t>
            </w:r>
            <w:r>
              <w:rPr>
                <w:rFonts w:hint="eastAsia"/>
                <w:b w:val="0"/>
                <w:bCs w:val="0"/>
                <w:sz w:val="28"/>
                <w:szCs w:val="28"/>
                <w:highlight w:val="none"/>
                <w:u w:val="none"/>
                <w:lang w:eastAsia="zh-CN"/>
              </w:rPr>
              <w:t>。</w:t>
            </w:r>
          </w:p>
        </w:tc>
      </w:tr>
    </w:tbl>
    <w:p w14:paraId="668F0C6F">
      <w:pPr>
        <w:pStyle w:val="3"/>
        <w:rPr>
          <w:rFonts w:hint="eastAsia" w:ascii="黑体" w:hAnsi="黑体" w:eastAsia="黑体" w:cs="黑体"/>
          <w:b w:val="0"/>
          <w:bCs w:val="0"/>
          <w:color w:val="auto"/>
          <w:highlight w:val="none"/>
          <w:u w:val="none"/>
          <w:lang w:val="en-US" w:eastAsia="zh-CN"/>
        </w:rPr>
      </w:pPr>
      <w:bookmarkStart w:id="126" w:name="_Toc29371"/>
      <w:bookmarkStart w:id="127" w:name="_Toc26770"/>
      <w:bookmarkStart w:id="128" w:name="_Toc5820"/>
      <w:bookmarkStart w:id="129" w:name="_Toc16365"/>
      <w:bookmarkStart w:id="130" w:name="_Toc19991"/>
      <w:bookmarkStart w:id="131" w:name="_Toc18119"/>
      <w:bookmarkStart w:id="132" w:name="_Toc740"/>
      <w:bookmarkStart w:id="133" w:name="_Toc12600"/>
      <w:bookmarkStart w:id="134" w:name="_Toc29765"/>
      <w:bookmarkStart w:id="135" w:name="_Toc19549"/>
      <w:r>
        <w:rPr>
          <w:rFonts w:hint="eastAsia" w:ascii="黑体" w:hAnsi="黑体" w:eastAsia="黑体" w:cs="黑体"/>
          <w:b w:val="0"/>
          <w:bCs w:val="0"/>
          <w:color w:val="auto"/>
          <w:highlight w:val="none"/>
          <w:u w:val="none"/>
        </w:rPr>
        <w:t>四、</w:t>
      </w:r>
      <w:bookmarkEnd w:id="126"/>
      <w:bookmarkEnd w:id="127"/>
      <w:bookmarkEnd w:id="128"/>
      <w:bookmarkEnd w:id="129"/>
      <w:r>
        <w:rPr>
          <w:rFonts w:hint="eastAsia" w:ascii="黑体" w:hAnsi="黑体" w:eastAsia="黑体" w:cs="黑体"/>
          <w:b w:val="0"/>
          <w:bCs w:val="0"/>
          <w:color w:val="auto"/>
          <w:highlight w:val="none"/>
          <w:u w:val="none"/>
          <w:lang w:eastAsia="zh-CN"/>
        </w:rPr>
        <w:t>推动生态环境质量持续提升</w:t>
      </w:r>
      <w:bookmarkEnd w:id="130"/>
      <w:bookmarkEnd w:id="131"/>
      <w:bookmarkEnd w:id="132"/>
      <w:bookmarkEnd w:id="133"/>
      <w:bookmarkEnd w:id="134"/>
      <w:bookmarkEnd w:id="135"/>
    </w:p>
    <w:p w14:paraId="0007D209">
      <w:pPr>
        <w:pStyle w:val="4"/>
        <w:rPr>
          <w:b w:val="0"/>
          <w:bCs w:val="0"/>
          <w:color w:val="auto"/>
          <w:highlight w:val="none"/>
          <w:u w:val="none"/>
        </w:rPr>
      </w:pPr>
      <w:bookmarkStart w:id="136" w:name="_Toc21090"/>
      <w:bookmarkStart w:id="137" w:name="_Toc15231"/>
      <w:bookmarkStart w:id="138" w:name="_Toc10314"/>
      <w:bookmarkStart w:id="139" w:name="_Toc29659"/>
      <w:bookmarkStart w:id="140" w:name="_Toc27596"/>
      <w:bookmarkStart w:id="141" w:name="_Toc10720"/>
      <w:bookmarkStart w:id="142" w:name="_Toc20773"/>
      <w:bookmarkStart w:id="143" w:name="_Toc18431"/>
      <w:bookmarkStart w:id="144" w:name="_Toc1890"/>
      <w:bookmarkStart w:id="145" w:name="_Toc30101"/>
      <w:r>
        <w:rPr>
          <w:b w:val="0"/>
          <w:bCs w:val="0"/>
          <w:color w:val="auto"/>
          <w:highlight w:val="none"/>
          <w:u w:val="none"/>
        </w:rPr>
        <w:t>（一）</w:t>
      </w:r>
      <w:bookmarkEnd w:id="136"/>
      <w:bookmarkEnd w:id="137"/>
      <w:bookmarkEnd w:id="138"/>
      <w:bookmarkEnd w:id="139"/>
      <w:r>
        <w:rPr>
          <w:rFonts w:hint="eastAsia"/>
          <w:b w:val="0"/>
          <w:bCs w:val="0"/>
          <w:color w:val="auto"/>
          <w:highlight w:val="none"/>
          <w:u w:val="none"/>
          <w:lang w:val="en-US" w:eastAsia="zh-CN"/>
        </w:rPr>
        <w:t>全面开展美丽蓝天建设</w:t>
      </w:r>
      <w:bookmarkEnd w:id="140"/>
      <w:bookmarkEnd w:id="141"/>
      <w:bookmarkEnd w:id="142"/>
      <w:bookmarkEnd w:id="143"/>
      <w:bookmarkEnd w:id="144"/>
      <w:bookmarkEnd w:id="145"/>
    </w:p>
    <w:p w14:paraId="2E3908EA">
      <w:pPr>
        <w:pStyle w:val="39"/>
        <w:spacing w:line="560" w:lineRule="exact"/>
        <w:rPr>
          <w:rFonts w:hAnsi="仿宋_GB2312" w:cs="仿宋_GB2312"/>
          <w:b w:val="0"/>
          <w:bCs w:val="0"/>
          <w:color w:val="auto"/>
          <w:highlight w:val="none"/>
          <w:u w:val="none"/>
        </w:rPr>
      </w:pPr>
      <w:r>
        <w:rPr>
          <w:rFonts w:hint="eastAsia" w:hAnsi="仿宋_GB2312"/>
          <w:b w:val="0"/>
          <w:bCs w:val="0"/>
          <w:color w:val="auto"/>
          <w:highlight w:val="none"/>
          <w:u w:val="none"/>
          <w:shd w:val="clear" w:color="auto" w:fill="auto"/>
        </w:rPr>
        <w:t>坚持“0.1微克”精抓细抠，深挖结构减排、工程减排、管理减排潜力，持续推进多污染物协同减排。</w:t>
      </w:r>
      <w:r>
        <w:rPr>
          <w:rFonts w:hint="eastAsia" w:ascii="仿宋_GB2312" w:hAnsi="仿宋_GB2312" w:eastAsia="仿宋_GB2312" w:cs="仿宋_GB2312"/>
          <w:b w:val="0"/>
          <w:bCs w:val="0"/>
          <w:color w:val="auto"/>
          <w:sz w:val="32"/>
          <w:szCs w:val="32"/>
          <w:highlight w:val="none"/>
          <w:u w:val="none"/>
          <w:lang w:val="en-US" w:eastAsia="zh-CN"/>
        </w:rPr>
        <w:t>到20</w:t>
      </w:r>
      <w:r>
        <w:rPr>
          <w:rFonts w:hint="eastAsia" w:hAnsi="仿宋_GB2312" w:cs="仿宋_GB2312"/>
          <w:b w:val="0"/>
          <w:bCs w:val="0"/>
          <w:color w:val="auto"/>
          <w:sz w:val="32"/>
          <w:szCs w:val="32"/>
          <w:highlight w:val="none"/>
          <w:u w:val="none"/>
          <w:lang w:val="en-US" w:eastAsia="zh-CN"/>
        </w:rPr>
        <w:t>30</w:t>
      </w:r>
      <w:r>
        <w:rPr>
          <w:rFonts w:hint="eastAsia" w:ascii="仿宋_GB2312" w:hAnsi="仿宋_GB2312" w:eastAsia="仿宋_GB2312" w:cs="仿宋_GB2312"/>
          <w:b w:val="0"/>
          <w:bCs w:val="0"/>
          <w:color w:val="auto"/>
          <w:sz w:val="32"/>
          <w:szCs w:val="32"/>
          <w:highlight w:val="none"/>
          <w:u w:val="none"/>
          <w:lang w:val="en-US" w:eastAsia="zh-CN"/>
        </w:rPr>
        <w:t>年，全区PM</w:t>
      </w:r>
      <w:r>
        <w:rPr>
          <w:rFonts w:hint="eastAsia" w:ascii="仿宋_GB2312" w:hAnsi="仿宋_GB2312" w:eastAsia="仿宋_GB2312" w:cs="仿宋_GB2312"/>
          <w:b w:val="0"/>
          <w:bCs w:val="0"/>
          <w:color w:val="auto"/>
          <w:sz w:val="32"/>
          <w:szCs w:val="32"/>
          <w:highlight w:val="none"/>
          <w:u w:val="none"/>
          <w:vertAlign w:val="subscript"/>
          <w:lang w:val="en-US" w:eastAsia="zh-CN"/>
        </w:rPr>
        <w:t>2.5</w:t>
      </w:r>
      <w:r>
        <w:rPr>
          <w:rFonts w:hint="eastAsia" w:ascii="仿宋_GB2312" w:hAnsi="仿宋_GB2312" w:eastAsia="仿宋_GB2312" w:cs="仿宋_GB2312"/>
          <w:b w:val="0"/>
          <w:bCs w:val="0"/>
          <w:color w:val="auto"/>
          <w:sz w:val="32"/>
          <w:szCs w:val="32"/>
          <w:highlight w:val="none"/>
          <w:u w:val="none"/>
          <w:lang w:val="en-US" w:eastAsia="zh-CN"/>
        </w:rPr>
        <w:t>年均浓度</w:t>
      </w:r>
      <w:r>
        <w:rPr>
          <w:rFonts w:hint="eastAsia" w:hAnsi="仿宋_GB2312" w:cs="仿宋_GB2312"/>
          <w:b w:val="0"/>
          <w:bCs w:val="0"/>
          <w:color w:val="auto"/>
          <w:sz w:val="32"/>
          <w:szCs w:val="32"/>
          <w:highlight w:val="none"/>
          <w:u w:val="none"/>
          <w:lang w:val="en-US" w:eastAsia="zh-CN"/>
        </w:rPr>
        <w:t>达到北京市要求</w:t>
      </w:r>
      <w:r>
        <w:rPr>
          <w:rFonts w:hint="eastAsia" w:ascii="仿宋_GB2312" w:hAnsi="仿宋_GB2312" w:eastAsia="仿宋_GB2312" w:cs="仿宋_GB2312"/>
          <w:b w:val="0"/>
          <w:bCs w:val="0"/>
          <w:color w:val="auto"/>
          <w:sz w:val="32"/>
          <w:szCs w:val="32"/>
          <w:highlight w:val="none"/>
          <w:u w:val="none"/>
          <w:lang w:val="en-US" w:eastAsia="zh-CN"/>
        </w:rPr>
        <w:t>，基本消除重污染天气</w:t>
      </w:r>
      <w:r>
        <w:rPr>
          <w:rFonts w:hint="eastAsia" w:hAnsi="仿宋_GB2312" w:cs="仿宋_GB2312"/>
          <w:b w:val="0"/>
          <w:bCs w:val="0"/>
          <w:color w:val="auto"/>
          <w:sz w:val="32"/>
          <w:szCs w:val="32"/>
          <w:highlight w:val="none"/>
          <w:u w:val="none"/>
          <w:lang w:val="en-US" w:eastAsia="zh-CN"/>
        </w:rPr>
        <w:t>。</w:t>
      </w:r>
    </w:p>
    <w:p w14:paraId="60C3FE98">
      <w:pPr>
        <w:pStyle w:val="5"/>
        <w:numPr>
          <w:ilvl w:val="0"/>
          <w:numId w:val="6"/>
        </w:numPr>
        <w:ind w:left="640" w:firstLineChars="0"/>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强化移动源污染综合治理</w:t>
      </w:r>
    </w:p>
    <w:p w14:paraId="775FBBE6">
      <w:pPr>
        <w:rPr>
          <w:rFonts w:hint="eastAsia" w:ascii="仿宋_GB2312" w:hAnsi="仿宋_GB2312" w:cs="仿宋_GB2312"/>
          <w:b w:val="0"/>
          <w:bCs w:val="0"/>
          <w:color w:val="auto"/>
          <w:highlight w:val="none"/>
          <w:u w:val="none"/>
          <w:lang w:val="en-US" w:eastAsia="zh-CN"/>
        </w:rPr>
      </w:pPr>
      <w:r>
        <w:rPr>
          <w:rFonts w:hint="eastAsia" w:ascii="仿宋_GB2312" w:hAnsi="仿宋_GB2312" w:cs="仿宋_GB2312"/>
          <w:b w:val="0"/>
          <w:bCs w:val="0"/>
          <w:color w:val="auto"/>
          <w:highlight w:val="none"/>
          <w:u w:val="none"/>
        </w:rPr>
        <w:t>深化柴油货车治理攻坚。</w:t>
      </w:r>
      <w:r>
        <w:rPr>
          <w:rFonts w:hint="eastAsia" w:ascii="仿宋_GB2312" w:hAnsi="仿宋_GB2312" w:cs="仿宋_GB2312"/>
          <w:b w:val="0"/>
          <w:bCs w:val="0"/>
          <w:color w:val="auto"/>
          <w:highlight w:val="none"/>
          <w:u w:val="none"/>
          <w:lang w:val="en-US" w:eastAsia="zh-CN"/>
        </w:rPr>
        <w:t>全面落实国家“退四、治五、管六、推新”总体要求。以重型柴油货车为重点，</w:t>
      </w:r>
      <w:r>
        <w:rPr>
          <w:rFonts w:hint="eastAsia" w:ascii="仿宋_GB2312" w:hAnsi="仿宋_GB2312" w:cs="仿宋_GB2312"/>
          <w:b w:val="0"/>
          <w:bCs w:val="0"/>
          <w:color w:val="auto"/>
          <w:highlight w:val="none"/>
          <w:u w:val="none"/>
        </w:rPr>
        <w:t>加快国四及以下排放标准柴油货车</w:t>
      </w:r>
      <w:r>
        <w:rPr>
          <w:rFonts w:hint="eastAsia" w:ascii="仿宋_GB2312" w:hAnsi="仿宋_GB2312" w:cs="仿宋_GB2312"/>
          <w:b w:val="0"/>
          <w:bCs w:val="0"/>
          <w:color w:val="auto"/>
          <w:highlight w:val="none"/>
          <w:u w:val="none"/>
          <w:lang w:val="en-US" w:eastAsia="zh-CN"/>
        </w:rPr>
        <w:t>淘汰更新</w:t>
      </w:r>
      <w:r>
        <w:rPr>
          <w:rFonts w:hint="eastAsia" w:ascii="仿宋_GB2312" w:hAnsi="仿宋_GB2312" w:cs="仿宋_GB2312"/>
          <w:b w:val="0"/>
          <w:bCs w:val="0"/>
          <w:color w:val="auto"/>
          <w:highlight w:val="none"/>
          <w:u w:val="none"/>
        </w:rPr>
        <w:t>，严格</w:t>
      </w:r>
      <w:r>
        <w:rPr>
          <w:rFonts w:hint="eastAsia" w:ascii="仿宋_GB2312" w:hAnsi="仿宋_GB2312" w:cs="仿宋_GB2312"/>
          <w:b w:val="0"/>
          <w:bCs w:val="0"/>
          <w:color w:val="auto"/>
          <w:highlight w:val="none"/>
          <w:u w:val="none"/>
          <w:lang w:val="en-US" w:eastAsia="zh-CN"/>
        </w:rPr>
        <w:t>管控</w:t>
      </w:r>
      <w:r>
        <w:rPr>
          <w:rFonts w:hint="eastAsia" w:ascii="仿宋_GB2312" w:hAnsi="仿宋_GB2312" w:cs="仿宋_GB2312"/>
          <w:b w:val="0"/>
          <w:bCs w:val="0"/>
          <w:color w:val="auto"/>
          <w:highlight w:val="none"/>
          <w:u w:val="none"/>
        </w:rPr>
        <w:t>国五货车超标排放，推进国六货车智慧化监管</w:t>
      </w:r>
      <w:r>
        <w:rPr>
          <w:rFonts w:hint="eastAsia" w:ascii="仿宋_GB2312" w:hAnsi="仿宋_GB2312" w:cs="仿宋_GB2312"/>
          <w:b w:val="0"/>
          <w:bCs w:val="0"/>
          <w:color w:val="auto"/>
          <w:highlight w:val="none"/>
          <w:u w:val="none"/>
          <w:lang w:eastAsia="zh-CN"/>
        </w:rPr>
        <w:t>。</w:t>
      </w:r>
      <w:r>
        <w:rPr>
          <w:rFonts w:hint="eastAsia" w:ascii="仿宋_GB2312" w:hAnsi="仿宋_GB2312" w:cs="仿宋_GB2312"/>
          <w:b w:val="0"/>
          <w:bCs w:val="0"/>
          <w:color w:val="auto"/>
          <w:highlight w:val="none"/>
          <w:u w:val="none"/>
          <w:lang w:val="en-US" w:eastAsia="zh-CN"/>
        </w:rPr>
        <w:t>到2030年，基本淘汰国四及以下标准营运货车。</w:t>
      </w:r>
      <w:r>
        <w:rPr>
          <w:rFonts w:hint="eastAsia" w:ascii="仿宋_GB2312" w:hAnsi="仿宋_GB2312" w:cs="仿宋_GB2312"/>
          <w:b w:val="0"/>
          <w:bCs w:val="0"/>
          <w:color w:val="auto"/>
          <w:highlight w:val="none"/>
          <w:u w:val="none"/>
        </w:rPr>
        <w:t>大力推广新能源重卡应用，依托天津港—顺义氢能重卡干线等示范场景，扩大新能源货车应用规模</w:t>
      </w:r>
      <w:r>
        <w:rPr>
          <w:rFonts w:hint="eastAsia" w:ascii="仿宋_GB2312" w:hAnsi="仿宋_GB2312" w:cs="仿宋_GB2312"/>
          <w:b w:val="0"/>
          <w:bCs w:val="0"/>
          <w:color w:val="auto"/>
          <w:highlight w:val="none"/>
          <w:u w:val="none"/>
          <w:lang w:eastAsia="zh-CN"/>
        </w:rPr>
        <w:t>，</w:t>
      </w:r>
      <w:r>
        <w:rPr>
          <w:rFonts w:hint="eastAsia" w:ascii="仿宋_GB2312" w:hAnsi="仿宋_GB2312" w:cs="仿宋_GB2312"/>
          <w:b w:val="0"/>
          <w:bCs w:val="0"/>
          <w:color w:val="auto"/>
          <w:highlight w:val="none"/>
          <w:u w:val="none"/>
          <w:lang w:val="en-US" w:eastAsia="zh-CN"/>
        </w:rPr>
        <w:t>持续提升新能源货车占比。</w:t>
      </w:r>
      <w:r>
        <w:rPr>
          <w:rFonts w:hint="eastAsia" w:ascii="仿宋_GB2312" w:hAnsi="仿宋_GB2312" w:cs="仿宋_GB2312"/>
          <w:b w:val="0"/>
          <w:bCs w:val="0"/>
          <w:color w:val="auto"/>
          <w:highlight w:val="none"/>
          <w:u w:val="none"/>
        </w:rPr>
        <w:t>完善路权管控，落实重点道路重型货车禁限行措施，</w:t>
      </w:r>
      <w:r>
        <w:rPr>
          <w:rFonts w:hint="eastAsia" w:cs="仿宋_GB2312"/>
          <w:b w:val="0"/>
          <w:bCs w:val="0"/>
          <w:color w:val="auto"/>
          <w:highlight w:val="none"/>
          <w:u w:val="none"/>
          <w:lang w:eastAsia="zh-CN"/>
        </w:rPr>
        <w:t>为</w:t>
      </w:r>
      <w:r>
        <w:rPr>
          <w:rFonts w:hint="eastAsia" w:ascii="仿宋_GB2312" w:hAnsi="仿宋_GB2312" w:cs="仿宋_GB2312"/>
          <w:b w:val="0"/>
          <w:bCs w:val="0"/>
          <w:color w:val="auto"/>
          <w:highlight w:val="none"/>
          <w:u w:val="none"/>
        </w:rPr>
        <w:t>新能源货车实施通行</w:t>
      </w:r>
      <w:r>
        <w:rPr>
          <w:rFonts w:hint="eastAsia" w:cs="仿宋_GB2312"/>
          <w:b w:val="0"/>
          <w:bCs w:val="0"/>
          <w:color w:val="auto"/>
          <w:highlight w:val="none"/>
          <w:u w:val="none"/>
          <w:lang w:val="en-US" w:eastAsia="zh-CN"/>
        </w:rPr>
        <w:t>便利</w:t>
      </w:r>
      <w:r>
        <w:rPr>
          <w:rFonts w:hint="eastAsia" w:ascii="仿宋_GB2312" w:hAnsi="仿宋_GB2312" w:cs="仿宋_GB2312"/>
          <w:b w:val="0"/>
          <w:bCs w:val="0"/>
          <w:color w:val="auto"/>
          <w:highlight w:val="none"/>
          <w:u w:val="none"/>
        </w:rPr>
        <w:t>。持续优化货物运输结构，推动公路运输向铁路、新能源运输方式有序转移，提升绿色运输比例</w:t>
      </w:r>
      <w:r>
        <w:rPr>
          <w:rFonts w:hint="eastAsia" w:ascii="仿宋_GB2312" w:hAnsi="仿宋_GB2312" w:cs="仿宋_GB2312"/>
          <w:b w:val="0"/>
          <w:bCs w:val="0"/>
          <w:color w:val="auto"/>
          <w:highlight w:val="none"/>
          <w:u w:val="none"/>
          <w:lang w:val="en-US" w:eastAsia="zh-CN"/>
        </w:rPr>
        <w:t>。</w:t>
      </w:r>
    </w:p>
    <w:p w14:paraId="714F14E4">
      <w:pPr>
        <w:rPr>
          <w:rFonts w:hint="eastAsia" w:hAnsi="仿宋_GB2312" w:cs="仿宋_GB2312"/>
          <w:b w:val="0"/>
          <w:bCs w:val="0"/>
          <w:color w:val="auto"/>
          <w:highlight w:val="none"/>
          <w:u w:val="none"/>
          <w:lang w:val="en-US" w:eastAsia="zh-CN"/>
        </w:rPr>
      </w:pPr>
      <w:r>
        <w:rPr>
          <w:rFonts w:hint="eastAsia" w:ascii="仿宋_GB2312" w:hAnsi="仿宋_GB2312" w:cs="仿宋_GB2312"/>
          <w:b w:val="0"/>
          <w:bCs w:val="0"/>
          <w:color w:val="auto"/>
          <w:highlight w:val="none"/>
          <w:u w:val="none"/>
          <w:lang w:val="en-US" w:eastAsia="zh-CN"/>
        </w:rPr>
        <w:t>严格</w:t>
      </w:r>
      <w:r>
        <w:rPr>
          <w:rFonts w:hint="eastAsia" w:ascii="仿宋_GB2312" w:hAnsi="仿宋_GB2312" w:cs="仿宋_GB2312"/>
          <w:b w:val="0"/>
          <w:bCs w:val="0"/>
          <w:color w:val="auto"/>
          <w:highlight w:val="none"/>
          <w:u w:val="none"/>
        </w:rPr>
        <w:t>非道路移动机械</w:t>
      </w:r>
      <w:r>
        <w:rPr>
          <w:rFonts w:hint="eastAsia" w:ascii="仿宋_GB2312" w:hAnsi="仿宋_GB2312" w:cs="仿宋_GB2312"/>
          <w:b w:val="0"/>
          <w:bCs w:val="0"/>
          <w:color w:val="auto"/>
          <w:highlight w:val="none"/>
          <w:u w:val="none"/>
          <w:lang w:val="en-US" w:eastAsia="zh-CN"/>
        </w:rPr>
        <w:t>排放管控</w:t>
      </w:r>
      <w:r>
        <w:rPr>
          <w:rFonts w:hint="eastAsia" w:ascii="仿宋_GB2312" w:hAnsi="仿宋_GB2312" w:cs="仿宋_GB2312"/>
          <w:b w:val="0"/>
          <w:bCs w:val="0"/>
          <w:color w:val="auto"/>
          <w:highlight w:val="none"/>
          <w:u w:val="none"/>
          <w:lang w:eastAsia="zh-CN"/>
        </w:rPr>
        <w:t>。</w:t>
      </w:r>
      <w:r>
        <w:rPr>
          <w:rFonts w:hint="eastAsia" w:hAnsi="仿宋_GB2312" w:cs="仿宋_GB2312"/>
          <w:b w:val="0"/>
          <w:bCs w:val="0"/>
          <w:color w:val="auto"/>
          <w:highlight w:val="none"/>
          <w:u w:val="none"/>
          <w:lang w:val="en-US" w:eastAsia="zh-CN"/>
        </w:rPr>
        <w:t>加快非道路移动机械新能源替代。推动重点行业企业、物流园区、施工工地新增或更新的内部车辆和非道路移动机械优先选用新能源；推动混凝土搅拌站、沥青混合料搅拌站、建筑垃圾资源化处理企业等厂内使用的叉车、装载机等机械基本实现新能源化；推动首都机场地勤作业车辆和机械逐步提升新能源应用占比；推进建成区公园使用的草坪机、割灌机等园林机械新能源化改造。强化在用机械执法监管力度。严格落实非道路移动机械编码登记和进出场登记管理制度，压实施工工地、物流园区等重点场所管理责任，确保机械“应登尽登、进场必记”。持续开展在用机械排放抽测与执法检查，严厉打击排放超标、未编码登记等违法行为。严格执行本市禁止使用高排放非道路移动机械的区域规定，加快淘汰国二及以下标准的老旧机械，持续优化机械排放结构。健全配套保障措施。针对机场、重点企业、物流园区等电动机械集中使用场景需求，推动配套充换电设施建设，保障新能源机械推广应用需求。</w:t>
      </w:r>
    </w:p>
    <w:p w14:paraId="7D85AAA1">
      <w:pPr>
        <w:rPr>
          <w:rFonts w:hint="eastAsia" w:ascii="仿宋_GB2312" w:hAnsi="仿宋_GB2312" w:eastAsia="仿宋_GB2312" w:cs="仿宋_GB2312"/>
          <w:b w:val="0"/>
          <w:bCs w:val="0"/>
          <w:color w:val="auto"/>
          <w:highlight w:val="none"/>
          <w:u w:val="none"/>
          <w:lang w:eastAsia="zh-CN"/>
        </w:rPr>
      </w:pPr>
      <w:r>
        <w:rPr>
          <w:rFonts w:hint="eastAsia" w:ascii="仿宋_GB2312" w:hAnsi="仿宋_GB2312" w:cs="仿宋_GB2312"/>
          <w:b w:val="0"/>
          <w:bCs w:val="0"/>
          <w:color w:val="auto"/>
          <w:highlight w:val="none"/>
          <w:u w:val="none"/>
        </w:rPr>
        <w:t>夯实移动源污染治理基础支撑。</w:t>
      </w:r>
      <w:r>
        <w:rPr>
          <w:rFonts w:hint="eastAsia" w:ascii="仿宋_GB2312" w:hAnsi="仿宋_GB2312" w:cs="仿宋_GB2312"/>
          <w:b w:val="0"/>
          <w:bCs w:val="0"/>
          <w:color w:val="auto"/>
          <w:highlight w:val="none"/>
          <w:u w:val="none"/>
          <w:lang w:val="en-US" w:eastAsia="zh-CN"/>
        </w:rPr>
        <w:t>健全</w:t>
      </w:r>
      <w:r>
        <w:rPr>
          <w:rFonts w:hint="eastAsia" w:ascii="仿宋_GB2312" w:hAnsi="仿宋_GB2312" w:cs="仿宋_GB2312"/>
          <w:b w:val="0"/>
          <w:bCs w:val="0"/>
          <w:color w:val="auto"/>
          <w:highlight w:val="none"/>
          <w:u w:val="none"/>
        </w:rPr>
        <w:t>燃油全</w:t>
      </w:r>
      <w:r>
        <w:rPr>
          <w:rFonts w:hint="eastAsia" w:ascii="仿宋_GB2312" w:hAnsi="仿宋_GB2312" w:cs="仿宋_GB2312"/>
          <w:b w:val="0"/>
          <w:bCs w:val="0"/>
          <w:color w:val="auto"/>
          <w:highlight w:val="none"/>
          <w:u w:val="none"/>
          <w:lang w:val="en-US" w:eastAsia="zh-CN"/>
        </w:rPr>
        <w:t>过程监管</w:t>
      </w:r>
      <w:r>
        <w:rPr>
          <w:rFonts w:hint="eastAsia" w:ascii="仿宋_GB2312" w:hAnsi="仿宋_GB2312" w:cs="仿宋_GB2312"/>
          <w:b w:val="0"/>
          <w:bCs w:val="0"/>
          <w:color w:val="auto"/>
          <w:highlight w:val="none"/>
          <w:u w:val="none"/>
        </w:rPr>
        <w:t>，加强成品油生产、销售、储存、使用环节质量监督检查，严厉打击非法劣质油品</w:t>
      </w:r>
      <w:r>
        <w:rPr>
          <w:rFonts w:hint="eastAsia" w:ascii="仿宋_GB2312" w:hAnsi="仿宋_GB2312" w:cs="仿宋_GB2312"/>
          <w:b w:val="0"/>
          <w:bCs w:val="0"/>
          <w:color w:val="auto"/>
          <w:highlight w:val="none"/>
          <w:u w:val="none"/>
          <w:lang w:eastAsia="zh-CN"/>
        </w:rPr>
        <w:t>，</w:t>
      </w:r>
      <w:r>
        <w:rPr>
          <w:rFonts w:hint="eastAsia" w:ascii="仿宋_GB2312" w:hAnsi="仿宋_GB2312" w:cs="仿宋_GB2312"/>
          <w:b w:val="0"/>
          <w:bCs w:val="0"/>
          <w:color w:val="auto"/>
          <w:highlight w:val="none"/>
          <w:u w:val="none"/>
          <w:lang w:val="en-US" w:eastAsia="zh-CN"/>
        </w:rPr>
        <w:t>保障源头油品质量</w:t>
      </w:r>
      <w:r>
        <w:rPr>
          <w:rFonts w:hint="eastAsia" w:ascii="仿宋_GB2312" w:hAnsi="仿宋_GB2312" w:cs="仿宋_GB2312"/>
          <w:b w:val="0"/>
          <w:bCs w:val="0"/>
          <w:color w:val="auto"/>
          <w:highlight w:val="none"/>
          <w:u w:val="none"/>
        </w:rPr>
        <w:t>。严格执行机动车排放标准和车用油品质量标准</w:t>
      </w:r>
      <w:r>
        <w:rPr>
          <w:rFonts w:hint="eastAsia" w:ascii="仿宋_GB2312" w:hAnsi="仿宋_GB2312" w:cs="仿宋_GB2312"/>
          <w:b w:val="0"/>
          <w:bCs w:val="0"/>
          <w:color w:val="auto"/>
          <w:highlight w:val="none"/>
          <w:u w:val="none"/>
          <w:lang w:eastAsia="zh-CN"/>
        </w:rPr>
        <w:t>，</w:t>
      </w:r>
      <w:r>
        <w:rPr>
          <w:rFonts w:hint="eastAsia" w:ascii="仿宋_GB2312" w:hAnsi="仿宋_GB2312" w:cs="仿宋_GB2312"/>
          <w:b w:val="0"/>
          <w:bCs w:val="0"/>
          <w:color w:val="auto"/>
          <w:highlight w:val="none"/>
          <w:u w:val="none"/>
        </w:rPr>
        <w:t>健全排放检测与维护制度，</w:t>
      </w:r>
      <w:r>
        <w:rPr>
          <w:rFonts w:hint="eastAsia" w:ascii="仿宋_GB2312" w:hAnsi="仿宋_GB2312" w:cs="仿宋_GB2312"/>
          <w:b w:val="0"/>
          <w:bCs w:val="0"/>
          <w:color w:val="auto"/>
          <w:highlight w:val="none"/>
          <w:u w:val="none"/>
          <w:lang w:val="en-US" w:eastAsia="zh-CN"/>
        </w:rPr>
        <w:t>保障</w:t>
      </w:r>
      <w:r>
        <w:rPr>
          <w:rFonts w:hint="eastAsia" w:ascii="仿宋_GB2312" w:hAnsi="仿宋_GB2312" w:cs="仿宋_GB2312"/>
          <w:b w:val="0"/>
          <w:bCs w:val="0"/>
          <w:color w:val="auto"/>
          <w:highlight w:val="none"/>
          <w:u w:val="none"/>
        </w:rPr>
        <w:t>在用车达标</w:t>
      </w:r>
      <w:r>
        <w:rPr>
          <w:rFonts w:hint="eastAsia" w:ascii="仿宋_GB2312" w:hAnsi="仿宋_GB2312" w:cs="仿宋_GB2312"/>
          <w:b w:val="0"/>
          <w:bCs w:val="0"/>
          <w:color w:val="auto"/>
          <w:highlight w:val="none"/>
          <w:u w:val="none"/>
          <w:lang w:val="en-US" w:eastAsia="zh-CN"/>
        </w:rPr>
        <w:t>排放</w:t>
      </w:r>
      <w:r>
        <w:rPr>
          <w:rFonts w:hint="eastAsia" w:ascii="仿宋_GB2312" w:hAnsi="仿宋_GB2312" w:cs="仿宋_GB2312"/>
          <w:b w:val="0"/>
          <w:bCs w:val="0"/>
          <w:color w:val="auto"/>
          <w:highlight w:val="none"/>
          <w:u w:val="none"/>
          <w:lang w:eastAsia="zh-CN"/>
        </w:rPr>
        <w:t>。</w:t>
      </w:r>
      <w:r>
        <w:rPr>
          <w:rFonts w:hint="eastAsia" w:ascii="仿宋_GB2312" w:hAnsi="仿宋_GB2312" w:cs="仿宋_GB2312"/>
          <w:b w:val="0"/>
          <w:bCs w:val="0"/>
          <w:color w:val="auto"/>
          <w:highlight w:val="none"/>
          <w:u w:val="none"/>
        </w:rPr>
        <w:t>深化油气回收</w:t>
      </w:r>
      <w:r>
        <w:rPr>
          <w:rFonts w:hint="eastAsia" w:ascii="仿宋_GB2312" w:hAnsi="仿宋_GB2312" w:cs="仿宋_GB2312"/>
          <w:b w:val="0"/>
          <w:bCs w:val="0"/>
          <w:color w:val="auto"/>
          <w:highlight w:val="none"/>
          <w:u w:val="none"/>
          <w:lang w:val="en-US" w:eastAsia="zh-CN"/>
        </w:rPr>
        <w:t>污染治理</w:t>
      </w:r>
      <w:r>
        <w:rPr>
          <w:rFonts w:hint="eastAsia" w:ascii="仿宋_GB2312" w:hAnsi="仿宋_GB2312" w:cs="仿宋_GB2312"/>
          <w:b w:val="0"/>
          <w:bCs w:val="0"/>
          <w:color w:val="auto"/>
          <w:highlight w:val="none"/>
          <w:u w:val="none"/>
        </w:rPr>
        <w:t>，完善储运销环节油气回收设施运行监测，持续减少</w:t>
      </w:r>
      <w:r>
        <w:rPr>
          <w:rFonts w:hint="eastAsia"/>
          <w:b w:val="0"/>
          <w:bCs w:val="0"/>
          <w:highlight w:val="none"/>
          <w:u w:val="none"/>
          <w:lang w:val="en-US" w:eastAsia="zh-CN"/>
        </w:rPr>
        <w:t>挥发性有机物（</w:t>
      </w:r>
      <w:r>
        <w:rPr>
          <w:rFonts w:hint="eastAsia" w:ascii="仿宋_GB2312" w:hAnsi="仿宋_GB2312" w:cs="仿宋_GB2312"/>
          <w:b w:val="0"/>
          <w:bCs w:val="0"/>
          <w:color w:val="auto"/>
          <w:highlight w:val="none"/>
          <w:u w:val="none"/>
          <w:lang w:val="en-US" w:eastAsia="zh-CN"/>
        </w:rPr>
        <w:t>VOCs</w:t>
      </w:r>
      <w:r>
        <w:rPr>
          <w:rFonts w:hint="eastAsia"/>
          <w:b w:val="0"/>
          <w:bCs w:val="0"/>
          <w:highlight w:val="none"/>
          <w:u w:val="none"/>
          <w:lang w:val="en-US" w:eastAsia="zh-CN"/>
        </w:rPr>
        <w:t>）</w:t>
      </w:r>
      <w:r>
        <w:rPr>
          <w:rFonts w:hint="eastAsia" w:ascii="仿宋_GB2312" w:hAnsi="仿宋_GB2312" w:cs="仿宋_GB2312"/>
          <w:b w:val="0"/>
          <w:bCs w:val="0"/>
          <w:color w:val="auto"/>
          <w:highlight w:val="none"/>
          <w:u w:val="none"/>
        </w:rPr>
        <w:t>逸散</w:t>
      </w:r>
      <w:r>
        <w:rPr>
          <w:rFonts w:hint="eastAsia" w:ascii="仿宋_GB2312" w:hAnsi="仿宋_GB2312" w:cs="仿宋_GB2312"/>
          <w:b w:val="0"/>
          <w:bCs w:val="0"/>
          <w:color w:val="auto"/>
          <w:highlight w:val="none"/>
          <w:u w:val="none"/>
          <w:lang w:eastAsia="zh-CN"/>
        </w:rPr>
        <w:t>。</w:t>
      </w:r>
      <w:r>
        <w:rPr>
          <w:rFonts w:hint="eastAsia" w:ascii="仿宋_GB2312" w:hAnsi="仿宋_GB2312" w:cs="仿宋_GB2312"/>
          <w:b w:val="0"/>
          <w:bCs w:val="0"/>
          <w:color w:val="auto"/>
          <w:highlight w:val="none"/>
          <w:u w:val="none"/>
        </w:rPr>
        <w:t>健全智慧化监测监管体系。推动重点行业企业及绿色企业门禁、视频监控系统全面联网，依托非现场执法点位构建智能识别与实时预警网络，提升精准监管能力</w:t>
      </w:r>
      <w:r>
        <w:rPr>
          <w:rFonts w:hint="eastAsia" w:ascii="仿宋_GB2312" w:hAnsi="仿宋_GB2312" w:cs="仿宋_GB2312"/>
          <w:b w:val="0"/>
          <w:bCs w:val="0"/>
          <w:color w:val="auto"/>
          <w:highlight w:val="none"/>
          <w:u w:val="none"/>
          <w:lang w:eastAsia="zh-CN"/>
        </w:rPr>
        <w:t>。</w:t>
      </w:r>
      <w:r>
        <w:rPr>
          <w:rFonts w:hint="eastAsia" w:ascii="仿宋_GB2312" w:hAnsi="仿宋_GB2312" w:cs="仿宋_GB2312"/>
          <w:b w:val="0"/>
          <w:bCs w:val="0"/>
          <w:color w:val="auto"/>
          <w:highlight w:val="none"/>
          <w:u w:val="none"/>
        </w:rPr>
        <w:t>协同推进高排放车辆更新淘汰与清洁能源替代</w:t>
      </w:r>
      <w:r>
        <w:rPr>
          <w:rFonts w:hint="eastAsia" w:ascii="仿宋_GB2312" w:hAnsi="仿宋_GB2312" w:cs="仿宋_GB2312"/>
          <w:b w:val="0"/>
          <w:bCs w:val="0"/>
          <w:color w:val="auto"/>
          <w:highlight w:val="none"/>
          <w:u w:val="none"/>
          <w:lang w:val="en-US" w:eastAsia="zh-CN"/>
        </w:rPr>
        <w:t>，持续优化移动源结构</w:t>
      </w:r>
      <w:r>
        <w:rPr>
          <w:rFonts w:hint="eastAsia" w:ascii="仿宋_GB2312" w:hAnsi="仿宋_GB2312" w:cs="仿宋_GB2312"/>
          <w:b w:val="0"/>
          <w:bCs w:val="0"/>
          <w:color w:val="auto"/>
          <w:highlight w:val="none"/>
          <w:u w:val="none"/>
        </w:rPr>
        <w:t>。</w:t>
      </w:r>
    </w:p>
    <w:p w14:paraId="23783CD3">
      <w:pPr>
        <w:pStyle w:val="5"/>
        <w:numPr>
          <w:ilvl w:val="0"/>
          <w:numId w:val="6"/>
        </w:numPr>
        <w:ind w:left="640" w:firstLineChars="0"/>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深化固定源协同减排与控制</w:t>
      </w:r>
    </w:p>
    <w:p w14:paraId="48E57154">
      <w:pPr>
        <w:rPr>
          <w:rFonts w:hint="default"/>
          <w:b w:val="0"/>
          <w:bCs w:val="0"/>
          <w:highlight w:val="none"/>
          <w:u w:val="none"/>
        </w:rPr>
      </w:pPr>
      <w:r>
        <w:rPr>
          <w:rFonts w:hint="default"/>
          <w:b w:val="0"/>
          <w:bCs w:val="0"/>
          <w:highlight w:val="none"/>
          <w:u w:val="none"/>
        </w:rPr>
        <w:t>实施重点</w:t>
      </w:r>
      <w:r>
        <w:rPr>
          <w:rFonts w:hint="eastAsia"/>
          <w:b w:val="0"/>
          <w:bCs w:val="0"/>
          <w:highlight w:val="none"/>
          <w:u w:val="none"/>
          <w:lang w:val="en-US" w:eastAsia="zh-CN"/>
        </w:rPr>
        <w:t>领域</w:t>
      </w:r>
      <w:r>
        <w:rPr>
          <w:rFonts w:hint="default"/>
          <w:b w:val="0"/>
          <w:bCs w:val="0"/>
          <w:highlight w:val="none"/>
          <w:u w:val="none"/>
        </w:rPr>
        <w:t>创绿提标攻坚。聚焦工业企业、锅炉、汽修等重点领域，</w:t>
      </w:r>
      <w:r>
        <w:rPr>
          <w:rFonts w:hint="eastAsia"/>
          <w:b w:val="0"/>
          <w:bCs w:val="0"/>
          <w:highlight w:val="none"/>
          <w:u w:val="none"/>
          <w:lang w:val="en-US" w:eastAsia="zh-CN"/>
        </w:rPr>
        <w:t>以环保绩效分级管理为抓手，</w:t>
      </w:r>
      <w:r>
        <w:rPr>
          <w:rFonts w:hint="default"/>
          <w:b w:val="0"/>
          <w:bCs w:val="0"/>
          <w:highlight w:val="none"/>
          <w:u w:val="none"/>
          <w:lang w:val="en-US"/>
        </w:rPr>
        <w:t>对照绿色工厂标准及环保绩效分级要求，推行“一企一策”深度治理，推动企业提级创A。落实绿色绩效评价，引导重点行业实施清洁生产改造，提升行业“含绿量”</w:t>
      </w:r>
      <w:r>
        <w:rPr>
          <w:rFonts w:hint="eastAsia"/>
          <w:b w:val="0"/>
          <w:bCs w:val="0"/>
          <w:highlight w:val="none"/>
          <w:u w:val="none"/>
          <w:lang w:val="en-US" w:eastAsia="zh-CN"/>
        </w:rPr>
        <w:t>。到2030年，全区绿色企业比率达到北京市要求</w:t>
      </w:r>
      <w:r>
        <w:rPr>
          <w:rFonts w:hint="default"/>
          <w:b w:val="0"/>
          <w:bCs w:val="0"/>
          <w:highlight w:val="none"/>
          <w:u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EEA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4C6ED164">
            <w:pPr>
              <w:widowControl/>
              <w:ind w:firstLine="560" w:firstLineChars="200"/>
              <w:jc w:val="center"/>
              <w:rPr>
                <w:rFonts w:hint="default"/>
                <w:b w:val="0"/>
                <w:bCs w:val="0"/>
                <w:sz w:val="28"/>
                <w:szCs w:val="28"/>
                <w:highlight w:val="none"/>
                <w:u w:val="none"/>
                <w:lang w:val="en-US"/>
              </w:rPr>
            </w:pPr>
            <w:r>
              <w:rPr>
                <w:rFonts w:hint="eastAsia" w:cs="仿宋_GB2312"/>
                <w:b w:val="0"/>
                <w:bCs w:val="0"/>
                <w:sz w:val="28"/>
                <w:szCs w:val="28"/>
                <w:highlight w:val="none"/>
                <w:u w:val="none"/>
                <w:lang w:val="en-US" w:eastAsia="zh-CN"/>
              </w:rPr>
              <w:t>专栏2  重点领域提级创绿行动</w:t>
            </w:r>
          </w:p>
        </w:tc>
      </w:tr>
      <w:tr w14:paraId="0989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4E18C052">
            <w:pPr>
              <w:widowControl/>
              <w:ind w:firstLine="0"/>
              <w:jc w:val="left"/>
              <w:rPr>
                <w:rFonts w:hint="eastAsia"/>
                <w:b w:val="0"/>
                <w:bCs w:val="0"/>
                <w:sz w:val="28"/>
                <w:szCs w:val="28"/>
                <w:highlight w:val="none"/>
                <w:u w:val="none"/>
              </w:rPr>
            </w:pPr>
            <w:r>
              <w:rPr>
                <w:rFonts w:hint="eastAsia"/>
                <w:b w:val="0"/>
                <w:bCs w:val="0"/>
                <w:sz w:val="28"/>
                <w:szCs w:val="28"/>
                <w:highlight w:val="none"/>
                <w:u w:val="none"/>
              </w:rPr>
              <w:t>工业企业创绿行动。落实绿色工厂梯度培育及绿色绩效评价要求，引导专用设备制造、</w:t>
            </w:r>
            <w:r>
              <w:rPr>
                <w:rFonts w:hint="eastAsia"/>
                <w:b w:val="0"/>
                <w:bCs w:val="0"/>
                <w:sz w:val="28"/>
                <w:szCs w:val="28"/>
                <w:highlight w:val="none"/>
                <w:u w:val="none"/>
                <w:lang w:val="en-US" w:eastAsia="zh-CN"/>
              </w:rPr>
              <w:t>医药制造、</w:t>
            </w:r>
            <w:r>
              <w:rPr>
                <w:rFonts w:hint="eastAsia"/>
                <w:b w:val="0"/>
                <w:bCs w:val="0"/>
                <w:sz w:val="28"/>
                <w:szCs w:val="28"/>
                <w:highlight w:val="none"/>
                <w:u w:val="none"/>
              </w:rPr>
              <w:t>印刷</w:t>
            </w:r>
            <w:r>
              <w:rPr>
                <w:rFonts w:hint="eastAsia"/>
                <w:b w:val="0"/>
                <w:bCs w:val="0"/>
                <w:sz w:val="28"/>
                <w:szCs w:val="28"/>
                <w:highlight w:val="none"/>
                <w:u w:val="none"/>
                <w:lang w:eastAsia="zh-CN"/>
              </w:rPr>
              <w:t>、</w:t>
            </w:r>
            <w:r>
              <w:rPr>
                <w:rFonts w:hint="eastAsia"/>
                <w:b w:val="0"/>
                <w:bCs w:val="0"/>
                <w:sz w:val="28"/>
                <w:szCs w:val="28"/>
                <w:highlight w:val="none"/>
                <w:u w:val="none"/>
                <w:lang w:val="en-US" w:eastAsia="zh-CN"/>
              </w:rPr>
              <w:t>装卸搬运和</w:t>
            </w:r>
            <w:r>
              <w:rPr>
                <w:rFonts w:hint="eastAsia"/>
                <w:b w:val="0"/>
                <w:bCs w:val="0"/>
                <w:sz w:val="28"/>
                <w:szCs w:val="28"/>
                <w:highlight w:val="none"/>
                <w:u w:val="none"/>
              </w:rPr>
              <w:t>仓储、</w:t>
            </w:r>
            <w:r>
              <w:rPr>
                <w:rFonts w:hint="eastAsia"/>
                <w:b w:val="0"/>
                <w:bCs w:val="0"/>
                <w:sz w:val="28"/>
                <w:szCs w:val="28"/>
                <w:highlight w:val="none"/>
                <w:u w:val="none"/>
                <w:lang w:val="en-US" w:eastAsia="zh-CN"/>
              </w:rPr>
              <w:t>混凝土搅拌站、</w:t>
            </w:r>
            <w:r>
              <w:rPr>
                <w:rFonts w:hint="eastAsia"/>
                <w:b w:val="0"/>
                <w:bCs w:val="0"/>
                <w:sz w:val="28"/>
                <w:szCs w:val="28"/>
                <w:highlight w:val="none"/>
                <w:u w:val="none"/>
              </w:rPr>
              <w:t>造纸等</w:t>
            </w:r>
            <w:r>
              <w:rPr>
                <w:rFonts w:hint="eastAsia"/>
                <w:b w:val="0"/>
                <w:bCs w:val="0"/>
                <w:sz w:val="28"/>
                <w:szCs w:val="28"/>
                <w:highlight w:val="none"/>
                <w:u w:val="none"/>
                <w:lang w:val="en-US" w:eastAsia="zh-CN"/>
              </w:rPr>
              <w:t>工业企业</w:t>
            </w:r>
            <w:r>
              <w:rPr>
                <w:rFonts w:hint="eastAsia"/>
                <w:b w:val="0"/>
                <w:bCs w:val="0"/>
                <w:sz w:val="28"/>
                <w:szCs w:val="28"/>
                <w:highlight w:val="none"/>
                <w:u w:val="none"/>
              </w:rPr>
              <w:t>对标绿色工厂标准，实施清洁生产改造。</w:t>
            </w:r>
            <w:r>
              <w:rPr>
                <w:rFonts w:hint="eastAsia"/>
                <w:b w:val="0"/>
                <w:bCs w:val="0"/>
                <w:sz w:val="28"/>
                <w:szCs w:val="28"/>
                <w:highlight w:val="none"/>
                <w:u w:val="none"/>
                <w:lang w:val="en-US" w:eastAsia="zh-CN"/>
              </w:rPr>
              <w:t>深化重污染天气重点行业绩效分级管理，</w:t>
            </w:r>
            <w:r>
              <w:rPr>
                <w:rFonts w:hint="eastAsia"/>
                <w:b w:val="0"/>
                <w:bCs w:val="0"/>
                <w:sz w:val="28"/>
                <w:szCs w:val="28"/>
                <w:highlight w:val="none"/>
                <w:u w:val="none"/>
              </w:rPr>
              <w:t>推行“一企一策”深度治理，推动企业环保绩效提级</w:t>
            </w:r>
            <w:r>
              <w:rPr>
                <w:rFonts w:hint="eastAsia"/>
                <w:b w:val="0"/>
                <w:bCs w:val="0"/>
                <w:sz w:val="28"/>
                <w:szCs w:val="28"/>
                <w:highlight w:val="none"/>
                <w:u w:val="none"/>
                <w:lang w:eastAsia="zh-CN"/>
              </w:rPr>
              <w:t>，</w:t>
            </w:r>
            <w:r>
              <w:rPr>
                <w:rFonts w:hint="eastAsia"/>
                <w:b w:val="0"/>
                <w:bCs w:val="0"/>
                <w:sz w:val="28"/>
                <w:szCs w:val="28"/>
                <w:highlight w:val="none"/>
                <w:u w:val="none"/>
                <w:lang w:val="en-US" w:eastAsia="zh-CN"/>
              </w:rPr>
              <w:t>逐步提高B级及以上企业占比</w:t>
            </w:r>
            <w:r>
              <w:rPr>
                <w:rFonts w:hint="eastAsia"/>
                <w:b w:val="0"/>
                <w:bCs w:val="0"/>
                <w:sz w:val="28"/>
                <w:szCs w:val="28"/>
                <w:highlight w:val="none"/>
                <w:u w:val="none"/>
              </w:rPr>
              <w:t>。</w:t>
            </w:r>
          </w:p>
          <w:p w14:paraId="40D3CFEA">
            <w:pPr>
              <w:widowControl/>
              <w:ind w:firstLine="0"/>
              <w:jc w:val="left"/>
              <w:rPr>
                <w:rFonts w:hint="eastAsia"/>
                <w:b w:val="0"/>
                <w:bCs w:val="0"/>
                <w:sz w:val="28"/>
                <w:szCs w:val="28"/>
                <w:highlight w:val="none"/>
                <w:u w:val="none"/>
              </w:rPr>
            </w:pPr>
            <w:r>
              <w:rPr>
                <w:rFonts w:hint="eastAsia"/>
                <w:b w:val="0"/>
                <w:bCs w:val="0"/>
                <w:sz w:val="28"/>
                <w:szCs w:val="28"/>
                <w:highlight w:val="none"/>
                <w:u w:val="none"/>
              </w:rPr>
              <w:t>锅炉</w:t>
            </w:r>
            <w:r>
              <w:rPr>
                <w:rFonts w:hint="eastAsia"/>
                <w:b w:val="0"/>
                <w:bCs w:val="0"/>
                <w:sz w:val="28"/>
                <w:szCs w:val="28"/>
                <w:highlight w:val="none"/>
                <w:u w:val="none"/>
                <w:lang w:val="en-US" w:eastAsia="zh-CN"/>
              </w:rPr>
              <w:t>设备</w:t>
            </w:r>
            <w:r>
              <w:rPr>
                <w:rFonts w:hint="eastAsia"/>
                <w:b w:val="0"/>
                <w:bCs w:val="0"/>
                <w:sz w:val="28"/>
                <w:szCs w:val="28"/>
                <w:highlight w:val="none"/>
                <w:u w:val="none"/>
              </w:rPr>
              <w:t>创绿行动。落实锅炉环保绩效分级要求，推进锅炉使用单位通过深度低氮改造、新能源利用</w:t>
            </w:r>
            <w:r>
              <w:rPr>
                <w:rFonts w:hint="eastAsia"/>
                <w:b w:val="0"/>
                <w:bCs w:val="0"/>
                <w:sz w:val="28"/>
                <w:szCs w:val="28"/>
                <w:highlight w:val="none"/>
                <w:u w:val="none"/>
                <w:lang w:eastAsia="zh-CN"/>
              </w:rPr>
              <w:t>、</w:t>
            </w:r>
            <w:r>
              <w:rPr>
                <w:rFonts w:hint="eastAsia"/>
                <w:b w:val="0"/>
                <w:bCs w:val="0"/>
                <w:sz w:val="28"/>
                <w:szCs w:val="28"/>
                <w:highlight w:val="none"/>
                <w:u w:val="none"/>
              </w:rPr>
              <w:t>安装能源在线监控装置（热计量表）等措施开展提级改造，</w:t>
            </w:r>
            <w:r>
              <w:rPr>
                <w:rFonts w:hint="eastAsia"/>
                <w:b w:val="0"/>
                <w:bCs w:val="0"/>
                <w:sz w:val="28"/>
                <w:szCs w:val="28"/>
                <w:highlight w:val="none"/>
                <w:u w:val="none"/>
                <w:lang w:val="en-US" w:eastAsia="zh-CN"/>
              </w:rPr>
              <w:t>推动环保绩效水平整体提升</w:t>
            </w:r>
            <w:r>
              <w:rPr>
                <w:rFonts w:hint="eastAsia"/>
                <w:b w:val="0"/>
                <w:bCs w:val="0"/>
                <w:sz w:val="28"/>
                <w:szCs w:val="28"/>
                <w:highlight w:val="none"/>
                <w:u w:val="none"/>
              </w:rPr>
              <w:t>，</w:t>
            </w:r>
            <w:r>
              <w:rPr>
                <w:rFonts w:hint="eastAsia"/>
                <w:b w:val="0"/>
                <w:bCs w:val="0"/>
                <w:sz w:val="28"/>
                <w:szCs w:val="28"/>
                <w:highlight w:val="none"/>
                <w:u w:val="none"/>
                <w:lang w:val="en-US" w:eastAsia="zh-CN"/>
              </w:rPr>
              <w:t>持续提升B级及以上锅炉使用单位占比</w:t>
            </w:r>
            <w:r>
              <w:rPr>
                <w:rFonts w:hint="eastAsia"/>
                <w:b w:val="0"/>
                <w:bCs w:val="0"/>
                <w:sz w:val="28"/>
                <w:szCs w:val="28"/>
                <w:highlight w:val="none"/>
                <w:u w:val="none"/>
              </w:rPr>
              <w:t>。</w:t>
            </w:r>
          </w:p>
          <w:p w14:paraId="3273AD42">
            <w:pPr>
              <w:widowControl/>
              <w:ind w:firstLine="0"/>
              <w:jc w:val="left"/>
              <w:rPr>
                <w:rFonts w:hint="eastAsia" w:eastAsia="仿宋_GB2312"/>
                <w:b w:val="0"/>
                <w:bCs w:val="0"/>
                <w:highlight w:val="none"/>
                <w:u w:val="none"/>
                <w:lang w:eastAsia="zh-CN"/>
              </w:rPr>
            </w:pPr>
            <w:r>
              <w:rPr>
                <w:rFonts w:hint="eastAsia"/>
                <w:b w:val="0"/>
                <w:bCs w:val="0"/>
                <w:sz w:val="28"/>
                <w:szCs w:val="28"/>
                <w:highlight w:val="none"/>
                <w:u w:val="none"/>
              </w:rPr>
              <w:t>汽修行业创绿行动。落实汽车维修业大气污染物排放标准及重污染绩效分级要求，推进喷烤漆房、打磨间、危废间等设施升级改造，强化VOCs收集处理，推广水性涂料应用，推动企业绩效提级。</w:t>
            </w:r>
          </w:p>
        </w:tc>
      </w:tr>
    </w:tbl>
    <w:p w14:paraId="47EF5FD0">
      <w:pPr>
        <w:keepNext w:val="0"/>
        <w:keepLines w:val="0"/>
        <w:pageBreakBefore w:val="0"/>
        <w:widowControl w:val="0"/>
        <w:kinsoku/>
        <w:wordWrap/>
        <w:overflowPunct/>
        <w:topLinePunct w:val="0"/>
        <w:bidi w:val="0"/>
        <w:textAlignment w:val="auto"/>
        <w:rPr>
          <w:rFonts w:hint="eastAsia" w:ascii="仿宋_GB2312" w:hAnsi="仿宋_GB2312" w:cs="仿宋_GB2312"/>
          <w:b w:val="0"/>
          <w:bCs w:val="0"/>
          <w:color w:val="auto"/>
          <w:highlight w:val="none"/>
          <w:u w:val="none"/>
          <w:shd w:val="clear" w:color="auto" w:fill="auto"/>
        </w:rPr>
      </w:pPr>
      <w:r>
        <w:rPr>
          <w:rFonts w:hint="default" w:hAnsi="仿宋_GB2312"/>
          <w:b w:val="0"/>
          <w:bCs w:val="0"/>
          <w:color w:val="auto"/>
          <w:highlight w:val="none"/>
          <w:u w:val="none"/>
        </w:rPr>
        <w:t>攻坚</w:t>
      </w:r>
      <w:r>
        <w:rPr>
          <w:rFonts w:hint="eastAsia" w:ascii="仿宋_GB2312" w:hAnsi="仿宋_GB2312" w:cs="仿宋_GB2312"/>
          <w:b w:val="0"/>
          <w:bCs w:val="0"/>
          <w:color w:val="auto"/>
          <w:highlight w:val="none"/>
          <w:u w:val="none"/>
          <w:shd w:val="clear" w:color="auto" w:fill="auto"/>
        </w:rPr>
        <w:t>VOCs</w:t>
      </w:r>
      <w:r>
        <w:rPr>
          <w:rFonts w:hint="default" w:hAnsi="仿宋_GB2312"/>
          <w:b w:val="0"/>
          <w:bCs w:val="0"/>
          <w:color w:val="auto"/>
          <w:highlight w:val="none"/>
          <w:u w:val="none"/>
        </w:rPr>
        <w:t>全过程综合治理。</w:t>
      </w:r>
      <w:r>
        <w:rPr>
          <w:rFonts w:hint="eastAsia" w:ascii="仿宋_GB2312" w:hAnsi="仿宋_GB2312" w:cs="仿宋_GB2312"/>
          <w:b w:val="0"/>
          <w:bCs w:val="0"/>
          <w:color w:val="auto"/>
          <w:highlight w:val="none"/>
          <w:u w:val="none"/>
          <w:shd w:val="clear" w:color="auto" w:fill="auto"/>
        </w:rPr>
        <w:t>落实国家源头替代要求，严格新建项目高VOCs含量原辅材料准入管理，推进重点行业低（无）VOCs含量涂料、油墨、</w:t>
      </w:r>
      <w:r>
        <w:rPr>
          <w:rFonts w:hint="eastAsia" w:cs="仿宋_GB2312"/>
          <w:b w:val="0"/>
          <w:bCs w:val="0"/>
          <w:color w:val="auto"/>
          <w:highlight w:val="none"/>
          <w:u w:val="none"/>
          <w:shd w:val="clear" w:color="auto" w:fill="auto"/>
          <w:lang w:eastAsia="zh-CN"/>
        </w:rPr>
        <w:t>胶黏剂</w:t>
      </w:r>
      <w:r>
        <w:rPr>
          <w:rFonts w:hint="eastAsia" w:ascii="仿宋_GB2312" w:hAnsi="仿宋_GB2312" w:cs="仿宋_GB2312"/>
          <w:b w:val="0"/>
          <w:bCs w:val="0"/>
          <w:color w:val="auto"/>
          <w:highlight w:val="none"/>
          <w:u w:val="none"/>
          <w:shd w:val="clear" w:color="auto" w:fill="auto"/>
        </w:rPr>
        <w:t>、清洗剂替代，逐步实现低VOCs原辅材料应替尽替。</w:t>
      </w:r>
      <w:r>
        <w:rPr>
          <w:rFonts w:hint="eastAsia" w:ascii="仿宋_GB2312" w:hAnsi="仿宋_GB2312" w:cs="仿宋_GB2312"/>
          <w:b w:val="0"/>
          <w:bCs w:val="0"/>
          <w:color w:val="auto"/>
          <w:highlight w:val="none"/>
          <w:u w:val="none"/>
          <w:shd w:val="clear" w:color="auto" w:fill="auto"/>
          <w:lang w:eastAsia="zh-CN"/>
        </w:rPr>
        <w:t>推进印刷企业基本完成低</w:t>
      </w:r>
      <w:r>
        <w:rPr>
          <w:rFonts w:hint="eastAsia" w:ascii="仿宋_GB2312" w:hAnsi="仿宋_GB2312" w:cs="仿宋_GB2312"/>
          <w:b w:val="0"/>
          <w:bCs w:val="0"/>
          <w:color w:val="auto"/>
          <w:highlight w:val="none"/>
          <w:u w:val="none"/>
          <w:shd w:val="clear" w:color="auto" w:fill="auto"/>
        </w:rPr>
        <w:t>VOCs</w:t>
      </w:r>
      <w:r>
        <w:rPr>
          <w:rFonts w:hint="eastAsia" w:ascii="仿宋_GB2312" w:hAnsi="仿宋_GB2312" w:cs="仿宋_GB2312"/>
          <w:b w:val="0"/>
          <w:bCs w:val="0"/>
          <w:color w:val="auto"/>
          <w:highlight w:val="none"/>
          <w:u w:val="none"/>
          <w:shd w:val="clear" w:color="auto" w:fill="auto"/>
          <w:lang w:eastAsia="zh-CN"/>
        </w:rPr>
        <w:t>产品使用和替代。</w:t>
      </w:r>
      <w:r>
        <w:rPr>
          <w:rFonts w:hint="eastAsia" w:ascii="仿宋_GB2312" w:hAnsi="仿宋_GB2312" w:cs="仿宋_GB2312"/>
          <w:b w:val="0"/>
          <w:bCs w:val="0"/>
          <w:color w:val="auto"/>
          <w:highlight w:val="none"/>
          <w:u w:val="none"/>
          <w:shd w:val="clear" w:color="auto" w:fill="auto"/>
        </w:rPr>
        <w:t>开展工业园区综合整治，强化重点产业园区VOCs精准溯源及无组织排放排查治理，推动传统产业集群提档升级。实施低效失效设施排查整治，提升重点行业企业精细化治理水平</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强化汽车维修行业钣金喷漆和机修环节VOCs排放监管，将</w:t>
      </w:r>
      <w:r>
        <w:rPr>
          <w:rFonts w:hint="eastAsia" w:cs="仿宋_GB2312"/>
          <w:b w:val="0"/>
          <w:bCs w:val="0"/>
          <w:color w:val="auto"/>
          <w:highlight w:val="none"/>
          <w:u w:val="none"/>
          <w:shd w:val="clear" w:color="auto" w:fill="auto"/>
          <w:lang w:val="en-US" w:eastAsia="zh-CN"/>
        </w:rPr>
        <w:t>含喷烤漆工序的汽修企业</w:t>
      </w:r>
      <w:r>
        <w:rPr>
          <w:rFonts w:hint="eastAsia" w:ascii="仿宋_GB2312" w:hAnsi="仿宋_GB2312" w:cs="仿宋_GB2312"/>
          <w:b w:val="0"/>
          <w:bCs w:val="0"/>
          <w:color w:val="auto"/>
          <w:highlight w:val="none"/>
          <w:u w:val="none"/>
          <w:shd w:val="clear" w:color="auto" w:fill="auto"/>
        </w:rPr>
        <w:t>列为重点监管对象，探索</w:t>
      </w:r>
      <w:r>
        <w:rPr>
          <w:rFonts w:hint="eastAsia" w:cs="仿宋_GB2312"/>
          <w:b w:val="0"/>
          <w:bCs w:val="0"/>
          <w:color w:val="auto"/>
          <w:highlight w:val="none"/>
          <w:u w:val="none"/>
          <w:shd w:val="clear" w:color="auto" w:fill="auto"/>
          <w:lang w:val="en-US" w:eastAsia="zh-CN"/>
        </w:rPr>
        <w:t>推广</w:t>
      </w:r>
      <w:r>
        <w:rPr>
          <w:rFonts w:hint="eastAsia" w:ascii="仿宋_GB2312" w:hAnsi="仿宋_GB2312" w:cs="仿宋_GB2312"/>
          <w:b w:val="0"/>
          <w:bCs w:val="0"/>
          <w:color w:val="auto"/>
          <w:highlight w:val="none"/>
          <w:u w:val="none"/>
          <w:shd w:val="clear" w:color="auto" w:fill="auto"/>
        </w:rPr>
        <w:t>共享钣喷</w:t>
      </w:r>
      <w:r>
        <w:rPr>
          <w:rFonts w:hint="eastAsia" w:cs="仿宋_GB2312"/>
          <w:b w:val="0"/>
          <w:bCs w:val="0"/>
          <w:color w:val="auto"/>
          <w:highlight w:val="none"/>
          <w:u w:val="none"/>
          <w:shd w:val="clear" w:color="auto" w:fill="auto"/>
          <w:lang w:val="en-US" w:eastAsia="zh-CN"/>
        </w:rPr>
        <w:t>治理</w:t>
      </w:r>
      <w:r>
        <w:rPr>
          <w:rFonts w:hint="eastAsia" w:ascii="仿宋_GB2312" w:hAnsi="仿宋_GB2312" w:cs="仿宋_GB2312"/>
          <w:b w:val="0"/>
          <w:bCs w:val="0"/>
          <w:color w:val="auto"/>
          <w:highlight w:val="none"/>
          <w:u w:val="none"/>
          <w:shd w:val="clear" w:color="auto" w:fill="auto"/>
        </w:rPr>
        <w:t>模式，引导中小汽修企业共享喷烤漆房资源，</w:t>
      </w:r>
      <w:r>
        <w:rPr>
          <w:rFonts w:hint="eastAsia" w:cs="仿宋_GB2312"/>
          <w:b w:val="0"/>
          <w:bCs w:val="0"/>
          <w:color w:val="auto"/>
          <w:highlight w:val="none"/>
          <w:u w:val="none"/>
          <w:shd w:val="clear" w:color="auto" w:fill="auto"/>
          <w:lang w:val="en-US" w:eastAsia="zh-CN"/>
        </w:rPr>
        <w:t>促进</w:t>
      </w:r>
      <w:r>
        <w:rPr>
          <w:rFonts w:hint="eastAsia" w:ascii="仿宋_GB2312" w:hAnsi="仿宋_GB2312" w:cs="仿宋_GB2312"/>
          <w:b w:val="0"/>
          <w:bCs w:val="0"/>
          <w:color w:val="auto"/>
          <w:highlight w:val="none"/>
          <w:u w:val="none"/>
          <w:shd w:val="clear" w:color="auto" w:fill="auto"/>
        </w:rPr>
        <w:t>污染排放集中收集治理。</w:t>
      </w:r>
    </w:p>
    <w:p w14:paraId="789749EA">
      <w:pPr>
        <w:keepNext w:val="0"/>
        <w:keepLines w:val="0"/>
        <w:pageBreakBefore w:val="0"/>
        <w:widowControl w:val="0"/>
        <w:kinsoku/>
        <w:wordWrap/>
        <w:overflowPunct/>
        <w:topLinePunct w:val="0"/>
        <w:bidi w:val="0"/>
        <w:textAlignment w:val="auto"/>
        <w:rPr>
          <w:rFonts w:hint="eastAsia" w:ascii="仿宋_GB2312" w:hAnsi="仿宋_GB2312" w:cs="仿宋_GB2312"/>
          <w:b w:val="0"/>
          <w:bCs w:val="0"/>
          <w:color w:val="auto"/>
          <w:highlight w:val="none"/>
          <w:u w:val="none"/>
          <w:shd w:val="clear" w:color="auto" w:fill="auto"/>
        </w:rPr>
      </w:pPr>
      <w:r>
        <w:rPr>
          <w:rFonts w:hint="default" w:hAnsi="仿宋_GB2312"/>
          <w:b w:val="0"/>
          <w:bCs w:val="0"/>
          <w:color w:val="auto"/>
          <w:highlight w:val="none"/>
          <w:u w:val="none"/>
        </w:rPr>
        <w:t>深化</w:t>
      </w:r>
      <w:r>
        <w:rPr>
          <w:rFonts w:hint="eastAsia"/>
          <w:b w:val="0"/>
          <w:bCs w:val="0"/>
          <w:color w:val="auto"/>
          <w:highlight w:val="none"/>
          <w:u w:val="none"/>
          <w:lang w:eastAsia="zh-CN"/>
        </w:rPr>
        <w:t>氮氧化物（</w:t>
      </w:r>
      <w:r>
        <w:rPr>
          <w:rFonts w:hint="eastAsia" w:ascii="仿宋_GB2312" w:hAnsi="仿宋_GB2312" w:cs="仿宋_GB2312"/>
          <w:b w:val="0"/>
          <w:bCs w:val="0"/>
          <w:color w:val="auto"/>
          <w:highlight w:val="none"/>
          <w:u w:val="none"/>
          <w:shd w:val="clear" w:color="auto" w:fill="auto"/>
        </w:rPr>
        <w:t>NOx</w:t>
      </w:r>
      <w:r>
        <w:rPr>
          <w:rFonts w:hint="eastAsia"/>
          <w:b w:val="0"/>
          <w:bCs w:val="0"/>
          <w:color w:val="auto"/>
          <w:highlight w:val="none"/>
          <w:u w:val="none"/>
          <w:lang w:eastAsia="zh-CN"/>
        </w:rPr>
        <w:t>）</w:t>
      </w:r>
      <w:r>
        <w:rPr>
          <w:rFonts w:hint="default" w:hAnsi="仿宋_GB2312"/>
          <w:b w:val="0"/>
          <w:bCs w:val="0"/>
          <w:color w:val="auto"/>
          <w:highlight w:val="none"/>
          <w:u w:val="none"/>
        </w:rPr>
        <w:t>深度治理。</w:t>
      </w:r>
      <w:r>
        <w:rPr>
          <w:rFonts w:hint="eastAsia" w:ascii="仿宋_GB2312" w:hAnsi="仿宋_GB2312" w:cs="仿宋_GB2312"/>
          <w:b w:val="0"/>
          <w:bCs w:val="0"/>
          <w:color w:val="auto"/>
          <w:highlight w:val="none"/>
          <w:u w:val="none"/>
          <w:shd w:val="clear" w:color="auto" w:fill="auto"/>
        </w:rPr>
        <w:t>推进重点行业企业清洁生产审核和技术改造，</w:t>
      </w:r>
      <w:r>
        <w:rPr>
          <w:rFonts w:hint="eastAsia" w:cs="仿宋_GB2312"/>
          <w:b w:val="0"/>
          <w:bCs w:val="0"/>
          <w:color w:val="auto"/>
          <w:highlight w:val="none"/>
          <w:u w:val="none"/>
          <w:shd w:val="clear" w:color="auto" w:fill="auto"/>
          <w:lang w:val="en-US" w:eastAsia="zh-CN"/>
        </w:rPr>
        <w:t>推广应用</w:t>
      </w:r>
      <w:r>
        <w:rPr>
          <w:rFonts w:hint="eastAsia" w:ascii="仿宋_GB2312" w:hAnsi="仿宋_GB2312" w:cs="仿宋_GB2312"/>
          <w:b w:val="0"/>
          <w:bCs w:val="0"/>
          <w:color w:val="auto"/>
          <w:highlight w:val="none"/>
          <w:u w:val="none"/>
          <w:shd w:val="clear" w:color="auto" w:fill="auto"/>
        </w:rPr>
        <w:t>低氮燃烧、工艺优化等</w:t>
      </w:r>
      <w:r>
        <w:rPr>
          <w:rFonts w:hint="eastAsia" w:cs="仿宋_GB2312"/>
          <w:b w:val="0"/>
          <w:bCs w:val="0"/>
          <w:color w:val="auto"/>
          <w:highlight w:val="none"/>
          <w:u w:val="none"/>
          <w:shd w:val="clear" w:color="auto" w:fill="auto"/>
          <w:lang w:val="en-US" w:eastAsia="zh-CN"/>
        </w:rPr>
        <w:t>高效治污技术，提升</w:t>
      </w:r>
      <w:r>
        <w:rPr>
          <w:rFonts w:hint="eastAsia" w:ascii="仿宋_GB2312" w:hAnsi="仿宋_GB2312" w:cs="仿宋_GB2312"/>
          <w:b w:val="0"/>
          <w:bCs w:val="0"/>
          <w:color w:val="auto"/>
          <w:highlight w:val="none"/>
          <w:u w:val="none"/>
          <w:shd w:val="clear" w:color="auto" w:fill="auto"/>
        </w:rPr>
        <w:t>NOx</w:t>
      </w:r>
      <w:r>
        <w:rPr>
          <w:rFonts w:hint="eastAsia" w:cs="仿宋_GB2312"/>
          <w:b w:val="0"/>
          <w:bCs w:val="0"/>
          <w:color w:val="auto"/>
          <w:highlight w:val="none"/>
          <w:u w:val="none"/>
          <w:shd w:val="clear" w:color="auto" w:fill="auto"/>
          <w:lang w:val="en-US" w:eastAsia="zh-CN"/>
        </w:rPr>
        <w:t>深度治理水平</w:t>
      </w:r>
      <w:r>
        <w:rPr>
          <w:rFonts w:hint="eastAsia" w:ascii="仿宋_GB2312" w:hAnsi="仿宋_GB2312" w:cs="仿宋_GB2312"/>
          <w:b w:val="0"/>
          <w:bCs w:val="0"/>
          <w:color w:val="auto"/>
          <w:highlight w:val="none"/>
          <w:u w:val="none"/>
          <w:shd w:val="clear" w:color="auto" w:fill="auto"/>
        </w:rPr>
        <w:t>。强化锅炉和工业炉窑综合治理，持续推进燃气锅炉低氮改造，新改扩建加热炉、热处理炉等原则上采用电或天然气等清洁能源。建立涉NOx治理设施动态排查机制，实施低效失效设施排查整治，确保治理设施发挥实效。</w:t>
      </w:r>
    </w:p>
    <w:p w14:paraId="05BF830A">
      <w:pPr>
        <w:keepNext w:val="0"/>
        <w:keepLines w:val="0"/>
        <w:pageBreakBefore w:val="0"/>
        <w:widowControl w:val="0"/>
        <w:kinsoku/>
        <w:wordWrap/>
        <w:overflowPunct/>
        <w:topLinePunct w:val="0"/>
        <w:bidi w:val="0"/>
        <w:textAlignment w:val="auto"/>
        <w:rPr>
          <w:rFonts w:hint="eastAsia" w:ascii="仿宋_GB2312" w:hAnsi="仿宋_GB2312" w:cs="仿宋_GB2312"/>
          <w:b w:val="0"/>
          <w:bCs w:val="0"/>
          <w:color w:val="auto"/>
          <w:highlight w:val="none"/>
          <w:u w:val="none"/>
          <w:shd w:val="clear" w:color="auto" w:fill="auto"/>
        </w:rPr>
      </w:pPr>
      <w:r>
        <w:rPr>
          <w:rFonts w:hint="default" w:hAnsi="仿宋_GB2312"/>
          <w:b w:val="0"/>
          <w:bCs w:val="0"/>
          <w:color w:val="auto"/>
          <w:highlight w:val="none"/>
          <w:u w:val="none"/>
        </w:rPr>
        <w:t>强化消耗臭氧层物质履约监管。</w:t>
      </w:r>
      <w:r>
        <w:rPr>
          <w:rFonts w:hint="eastAsia"/>
          <w:b w:val="0"/>
          <w:bCs w:val="0"/>
          <w:highlight w:val="none"/>
          <w:u w:val="none"/>
          <w:shd w:val="clear" w:color="auto" w:fill="auto"/>
        </w:rPr>
        <w:t>加强消耗臭氧层物质的环境管理</w:t>
      </w:r>
      <w:r>
        <w:rPr>
          <w:rFonts w:hint="eastAsia" w:cs="仿宋_GB2312"/>
          <w:b w:val="0"/>
          <w:bCs w:val="0"/>
          <w:color w:val="auto"/>
          <w:highlight w:val="none"/>
          <w:u w:val="none"/>
          <w:shd w:val="clear" w:color="auto" w:fill="auto"/>
          <w:lang w:val="en-US" w:eastAsia="zh-CN"/>
        </w:rPr>
        <w:t>，</w:t>
      </w:r>
      <w:r>
        <w:rPr>
          <w:rFonts w:hint="default" w:ascii="仿宋_GB2312" w:hAnsi="仿宋_GB2312" w:cs="仿宋_GB2312"/>
          <w:b w:val="0"/>
          <w:bCs w:val="0"/>
          <w:color w:val="auto"/>
          <w:highlight w:val="none"/>
          <w:u w:val="none"/>
          <w:shd w:val="clear" w:color="auto" w:fill="auto"/>
          <w:lang w:val="en-US"/>
        </w:rPr>
        <w:t>全面</w:t>
      </w:r>
      <w:r>
        <w:rPr>
          <w:rFonts w:hint="eastAsia" w:cs="仿宋_GB2312"/>
          <w:b w:val="0"/>
          <w:bCs w:val="0"/>
          <w:color w:val="auto"/>
          <w:highlight w:val="none"/>
          <w:u w:val="none"/>
          <w:shd w:val="clear" w:color="auto" w:fill="auto"/>
          <w:lang w:val="en-US" w:eastAsia="zh-CN"/>
        </w:rPr>
        <w:t>强化</w:t>
      </w:r>
      <w:r>
        <w:rPr>
          <w:rFonts w:hint="default" w:ascii="仿宋_GB2312" w:hAnsi="仿宋_GB2312" w:cs="仿宋_GB2312"/>
          <w:b w:val="0"/>
          <w:bCs w:val="0"/>
          <w:color w:val="auto"/>
          <w:highlight w:val="none"/>
          <w:u w:val="none"/>
          <w:shd w:val="clear" w:color="auto" w:fill="auto"/>
          <w:lang w:val="en-US"/>
        </w:rPr>
        <w:t>消耗臭氧层物质销售、使用单位备案管理</w:t>
      </w:r>
      <w:r>
        <w:rPr>
          <w:rFonts w:hint="eastAsia" w:ascii="仿宋_GB2312" w:hAnsi="仿宋_GB2312" w:cs="仿宋_GB2312"/>
          <w:b w:val="0"/>
          <w:bCs w:val="0"/>
          <w:color w:val="auto"/>
          <w:highlight w:val="none"/>
          <w:u w:val="none"/>
          <w:shd w:val="clear" w:color="auto" w:fill="auto"/>
        </w:rPr>
        <w:t>。加大执法检查力度，依法查处违法行为，保障履约目标如期实现。</w:t>
      </w:r>
    </w:p>
    <w:p w14:paraId="3B0ABCA1">
      <w:pPr>
        <w:pStyle w:val="5"/>
        <w:keepNext w:val="0"/>
        <w:keepLines w:val="0"/>
        <w:pageBreakBefore w:val="0"/>
        <w:widowControl w:val="0"/>
        <w:numPr>
          <w:ilvl w:val="0"/>
          <w:numId w:val="6"/>
        </w:numPr>
        <w:kinsoku/>
        <w:wordWrap/>
        <w:overflowPunct/>
        <w:topLinePunct w:val="0"/>
        <w:bidi w:val="0"/>
        <w:ind w:left="640" w:firstLineChars="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推进面源污染精细化管控</w:t>
      </w:r>
    </w:p>
    <w:p w14:paraId="34B183E2">
      <w:pPr>
        <w:keepNext w:val="0"/>
        <w:keepLines w:val="0"/>
        <w:pageBreakBefore w:val="0"/>
        <w:widowControl w:val="0"/>
        <w:kinsoku/>
        <w:wordWrap/>
        <w:overflowPunct/>
        <w:topLinePunct w:val="0"/>
        <w:bidi w:val="0"/>
        <w:ind w:firstLine="640"/>
        <w:textAlignment w:val="auto"/>
        <w:rPr>
          <w:rFonts w:hint="eastAsia" w:hAnsi="仿宋_GB2312" w:cs="仿宋_GB2312"/>
          <w:b w:val="0"/>
          <w:bCs w:val="0"/>
          <w:color w:val="auto"/>
          <w:highlight w:val="none"/>
          <w:u w:val="none"/>
          <w:shd w:val="clear" w:color="auto" w:fill="auto"/>
        </w:rPr>
      </w:pPr>
      <w:r>
        <w:rPr>
          <w:rFonts w:hint="eastAsia" w:ascii="仿宋_GB2312" w:hAnsi="仿宋_GB2312" w:cs="仿宋_GB2312"/>
          <w:b w:val="0"/>
          <w:bCs w:val="0"/>
          <w:color w:val="auto"/>
          <w:highlight w:val="none"/>
          <w:u w:val="none"/>
          <w:shd w:val="clear" w:color="auto" w:fill="auto"/>
          <w:lang w:val="en-US" w:eastAsia="zh-CN"/>
        </w:rPr>
        <w:t>深化“四尘”共治。强化施工扬尘全流程监管，严格落实建设工程扬尘管控标准和绿色施工措施，大力</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推广基坑气膜</w:t>
      </w:r>
      <w:r>
        <w:rPr>
          <w:rFonts w:hint="eastAsia" w:hAnsi="仿宋_GB2312" w:cs="仿宋_GB2312"/>
          <w:b w:val="0"/>
          <w:bCs w:val="0"/>
          <w:color w:val="auto"/>
          <w:sz w:val="32"/>
          <w:szCs w:val="32"/>
          <w:highlight w:val="none"/>
          <w:u w:val="none"/>
          <w:shd w:val="clear" w:color="auto" w:fill="auto"/>
          <w:lang w:val="en-US" w:eastAsia="zh-CN"/>
        </w:rPr>
        <w:t>等</w:t>
      </w:r>
      <w:r>
        <w:rPr>
          <w:rFonts w:hint="eastAsia" w:hAnsi="仿宋_GB2312" w:cs="仿宋_GB2312"/>
          <w:b w:val="0"/>
          <w:bCs w:val="0"/>
          <w:color w:val="auto"/>
          <w:highlight w:val="none"/>
          <w:u w:val="none"/>
          <w:shd w:val="clear" w:color="auto" w:fill="auto"/>
          <w:lang w:val="en-US" w:eastAsia="zh-CN"/>
        </w:rPr>
        <w:t>土方作业全封闭技术，推动治理模式由“末端覆盖”向“源头封闭”转变；深化扬尘视频</w:t>
      </w:r>
      <w:r>
        <w:rPr>
          <w:rFonts w:hint="eastAsia" w:hAnsi="仿宋_GB2312" w:cs="仿宋_GB2312"/>
          <w:b w:val="0"/>
          <w:bCs w:val="0"/>
          <w:color w:val="auto"/>
          <w:highlight w:val="none"/>
          <w:u w:val="none"/>
          <w:shd w:val="clear" w:color="auto" w:fill="auto"/>
        </w:rPr>
        <w:t>监管平台应用</w:t>
      </w:r>
      <w:r>
        <w:rPr>
          <w:rFonts w:hint="eastAsia" w:hAnsi="仿宋_GB2312" w:cs="仿宋_GB2312"/>
          <w:b w:val="0"/>
          <w:bCs w:val="0"/>
          <w:color w:val="auto"/>
          <w:highlight w:val="none"/>
          <w:u w:val="none"/>
          <w:shd w:val="clear" w:color="auto" w:fill="auto"/>
          <w:lang w:eastAsia="zh-CN"/>
        </w:rPr>
        <w:t>。</w:t>
      </w:r>
      <w:r>
        <w:rPr>
          <w:rFonts w:hint="eastAsia" w:hAnsi="仿宋_GB2312" w:cs="仿宋_GB2312"/>
          <w:b w:val="0"/>
          <w:bCs w:val="0"/>
          <w:color w:val="auto"/>
          <w:highlight w:val="none"/>
          <w:u w:val="none"/>
          <w:shd w:val="clear" w:color="auto" w:fill="auto"/>
          <w:lang w:val="en-US" w:eastAsia="zh-CN"/>
        </w:rPr>
        <w:t>推进具备条件的工程安装扬尘视频监控设施，实现重点工地全覆盖；依托平台强化</w:t>
      </w:r>
      <w:r>
        <w:rPr>
          <w:rFonts w:hint="eastAsia" w:hAnsi="仿宋_GB2312" w:cs="仿宋_GB2312"/>
          <w:b w:val="0"/>
          <w:bCs w:val="0"/>
          <w:color w:val="auto"/>
          <w:highlight w:val="none"/>
          <w:u w:val="none"/>
          <w:shd w:val="clear" w:color="auto" w:fill="auto"/>
        </w:rPr>
        <w:t>智能识别与实时预警能力</w:t>
      </w:r>
      <w:r>
        <w:rPr>
          <w:rFonts w:hint="eastAsia" w:hAnsi="仿宋_GB2312" w:cs="仿宋_GB2312"/>
          <w:b w:val="0"/>
          <w:bCs w:val="0"/>
          <w:color w:val="auto"/>
          <w:highlight w:val="none"/>
          <w:u w:val="none"/>
          <w:shd w:val="clear" w:color="auto" w:fill="auto"/>
          <w:lang w:eastAsia="zh-CN"/>
        </w:rPr>
        <w:t>，</w:t>
      </w:r>
      <w:r>
        <w:rPr>
          <w:rFonts w:hint="eastAsia" w:hAnsi="仿宋_GB2312" w:cs="仿宋_GB2312"/>
          <w:b w:val="0"/>
          <w:bCs w:val="0"/>
          <w:color w:val="auto"/>
          <w:highlight w:val="none"/>
          <w:u w:val="none"/>
          <w:shd w:val="clear" w:color="auto" w:fill="auto"/>
          <w:lang w:val="en-US" w:eastAsia="zh-CN"/>
        </w:rPr>
        <w:t>推动施工现场从被动应对向主动减排转变</w:t>
      </w:r>
      <w:r>
        <w:rPr>
          <w:rFonts w:hint="eastAsia" w:hAnsi="仿宋_GB2312" w:cs="仿宋_GB2312"/>
          <w:b w:val="0"/>
          <w:bCs w:val="0"/>
          <w:color w:val="auto"/>
          <w:highlight w:val="none"/>
          <w:u w:val="none"/>
          <w:shd w:val="clear" w:color="auto" w:fill="auto"/>
          <w:lang w:eastAsia="zh-CN"/>
        </w:rPr>
        <w:t>。</w:t>
      </w:r>
      <w:r>
        <w:rPr>
          <w:rFonts w:hint="eastAsia" w:hAnsi="仿宋_GB2312" w:cs="仿宋_GB2312"/>
          <w:b w:val="0"/>
          <w:bCs w:val="0"/>
          <w:color w:val="auto"/>
          <w:highlight w:val="none"/>
          <w:u w:val="none"/>
          <w:shd w:val="clear" w:color="auto" w:fill="auto"/>
          <w:lang w:val="en-US" w:eastAsia="zh-CN"/>
        </w:rPr>
        <w:t>严格道路扬尘量化监管</w:t>
      </w:r>
      <w:r>
        <w:rPr>
          <w:rFonts w:hint="eastAsia" w:cs="仿宋_GB2312"/>
          <w:b w:val="0"/>
          <w:bCs w:val="0"/>
          <w:color w:val="auto"/>
          <w:highlight w:val="none"/>
          <w:u w:val="none"/>
          <w:shd w:val="clear" w:color="auto" w:fill="auto"/>
          <w:lang w:val="en-US" w:eastAsia="zh-CN"/>
        </w:rPr>
        <w:t>，</w:t>
      </w:r>
      <w:r>
        <w:rPr>
          <w:rFonts w:hint="eastAsia" w:hAnsi="仿宋_GB2312" w:cs="仿宋_GB2312"/>
          <w:b w:val="0"/>
          <w:bCs w:val="0"/>
          <w:color w:val="auto"/>
          <w:highlight w:val="none"/>
          <w:u w:val="none"/>
          <w:shd w:val="clear" w:color="auto" w:fill="auto"/>
          <w:lang w:val="en-US" w:eastAsia="zh-CN"/>
        </w:rPr>
        <w:t>持续开展道路“消劣”行动，</w:t>
      </w:r>
      <w:r>
        <w:rPr>
          <w:rFonts w:hint="eastAsia" w:hAnsi="仿宋_GB2312" w:cs="仿宋_GB2312"/>
          <w:b w:val="0"/>
          <w:bCs w:val="0"/>
          <w:color w:val="auto"/>
          <w:highlight w:val="none"/>
          <w:u w:val="none"/>
          <w:shd w:val="clear" w:color="auto" w:fill="auto"/>
        </w:rPr>
        <w:t>建立健全“监测—通报—整改—反馈”闭环机制</w:t>
      </w:r>
      <w:r>
        <w:rPr>
          <w:rFonts w:hint="eastAsia" w:hAnsi="仿宋_GB2312" w:cs="仿宋_GB2312"/>
          <w:b w:val="0"/>
          <w:bCs w:val="0"/>
          <w:color w:val="auto"/>
          <w:highlight w:val="none"/>
          <w:u w:val="none"/>
          <w:shd w:val="clear" w:color="auto" w:fill="auto"/>
          <w:lang w:eastAsia="zh-CN"/>
        </w:rPr>
        <w:t>；</w:t>
      </w:r>
      <w:r>
        <w:rPr>
          <w:rFonts w:hint="eastAsia" w:hAnsi="仿宋_GB2312" w:cs="仿宋_GB2312"/>
          <w:b w:val="0"/>
          <w:bCs w:val="0"/>
          <w:color w:val="auto"/>
          <w:highlight w:val="none"/>
          <w:u w:val="none"/>
          <w:shd w:val="clear" w:color="auto" w:fill="auto"/>
        </w:rPr>
        <w:t>强化道路积尘负荷监测考核，</w:t>
      </w:r>
      <w:r>
        <w:rPr>
          <w:rFonts w:hint="eastAsia" w:cs="仿宋_GB2312"/>
          <w:b w:val="0"/>
          <w:bCs w:val="0"/>
          <w:color w:val="auto"/>
          <w:highlight w:val="none"/>
          <w:u w:val="none"/>
          <w:shd w:val="clear" w:color="auto" w:fill="auto"/>
          <w:lang w:val="en-US" w:eastAsia="zh-CN"/>
        </w:rPr>
        <w:t>在</w:t>
      </w:r>
      <w:r>
        <w:rPr>
          <w:rFonts w:hint="eastAsia" w:hAnsi="仿宋_GB2312" w:cs="仿宋_GB2312"/>
          <w:b w:val="0"/>
          <w:bCs w:val="0"/>
          <w:color w:val="auto"/>
          <w:highlight w:val="none"/>
          <w:u w:val="none"/>
          <w:shd w:val="clear" w:color="auto" w:fill="auto"/>
        </w:rPr>
        <w:t>重点路段</w:t>
      </w:r>
      <w:r>
        <w:rPr>
          <w:rFonts w:hint="eastAsia" w:cs="仿宋_GB2312"/>
          <w:b w:val="0"/>
          <w:bCs w:val="0"/>
          <w:color w:val="auto"/>
          <w:highlight w:val="none"/>
          <w:u w:val="none"/>
          <w:shd w:val="clear" w:color="auto" w:fill="auto"/>
          <w:lang w:val="en-US" w:eastAsia="zh-CN"/>
        </w:rPr>
        <w:t>全面落实“冲扫洗收”组合工艺作业标准，持续降低道路尘负荷</w:t>
      </w:r>
      <w:r>
        <w:rPr>
          <w:rFonts w:hint="eastAsia" w:hAnsi="仿宋_GB2312" w:cs="仿宋_GB2312"/>
          <w:b w:val="0"/>
          <w:bCs w:val="0"/>
          <w:color w:val="auto"/>
          <w:highlight w:val="none"/>
          <w:u w:val="none"/>
          <w:shd w:val="clear" w:color="auto" w:fill="auto"/>
          <w:lang w:eastAsia="zh-CN"/>
        </w:rPr>
        <w:t>；</w:t>
      </w:r>
      <w:r>
        <w:rPr>
          <w:rFonts w:hint="eastAsia" w:hAnsi="仿宋_GB2312" w:cs="仿宋_GB2312"/>
          <w:b w:val="0"/>
          <w:bCs w:val="0"/>
          <w:color w:val="auto"/>
          <w:highlight w:val="none"/>
          <w:u w:val="none"/>
          <w:shd w:val="clear" w:color="auto" w:fill="auto"/>
        </w:rPr>
        <w:t>督促属地及时落实整改提升，加强部门协同联动，确保道路清扫保洁全覆盖、无死角</w:t>
      </w:r>
      <w:r>
        <w:rPr>
          <w:rFonts w:hint="eastAsia" w:hAnsi="仿宋_GB2312" w:cs="仿宋_GB2312"/>
          <w:b w:val="0"/>
          <w:bCs w:val="0"/>
          <w:color w:val="auto"/>
          <w:sz w:val="32"/>
          <w:szCs w:val="32"/>
          <w:highlight w:val="none"/>
          <w:u w:val="none"/>
          <w:shd w:val="clear" w:color="auto" w:fill="auto"/>
          <w:lang w:val="en-US" w:eastAsia="zh-CN"/>
        </w:rPr>
        <w:t>。优化裸地扬尘动态治理</w:t>
      </w:r>
      <w:r>
        <w:rPr>
          <w:rFonts w:hint="eastAsia" w:cs="仿宋_GB2312"/>
          <w:b w:val="0"/>
          <w:bCs w:val="0"/>
          <w:color w:val="auto"/>
          <w:sz w:val="32"/>
          <w:szCs w:val="32"/>
          <w:highlight w:val="none"/>
          <w:u w:val="none"/>
          <w:shd w:val="clear" w:color="auto" w:fill="auto"/>
          <w:lang w:val="en-US" w:eastAsia="zh-CN"/>
        </w:rPr>
        <w:t>，</w:t>
      </w:r>
      <w:r>
        <w:rPr>
          <w:rFonts w:hint="eastAsia" w:hAnsi="仿宋_GB2312" w:cs="仿宋_GB2312"/>
          <w:b w:val="0"/>
          <w:bCs w:val="0"/>
          <w:color w:val="auto"/>
          <w:sz w:val="32"/>
          <w:szCs w:val="32"/>
          <w:highlight w:val="none"/>
          <w:u w:val="none"/>
          <w:shd w:val="clear" w:color="auto" w:fill="auto"/>
          <w:lang w:val="en-US" w:eastAsia="zh-CN"/>
        </w:rPr>
        <w:t>深入推进“揭网见绿”专项行动，有序推进分类揭网、多元见绿，</w:t>
      </w:r>
      <w:r>
        <w:rPr>
          <w:rFonts w:hint="eastAsia" w:hAnsi="仿宋_GB2312" w:cs="仿宋_GB2312"/>
          <w:b w:val="0"/>
          <w:bCs w:val="0"/>
          <w:color w:val="auto"/>
          <w:highlight w:val="none"/>
          <w:u w:val="none"/>
          <w:shd w:val="clear" w:color="auto" w:fill="auto"/>
        </w:rPr>
        <w:t>通过绿化、硬化、苫盖等措施</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实现裸地</w:t>
      </w:r>
      <w:r>
        <w:rPr>
          <w:rFonts w:hint="eastAsia" w:hAnsi="仿宋_GB2312" w:cs="仿宋_GB2312"/>
          <w:b w:val="0"/>
          <w:bCs w:val="0"/>
          <w:color w:val="auto"/>
          <w:sz w:val="32"/>
          <w:szCs w:val="32"/>
          <w:highlight w:val="none"/>
          <w:u w:val="none"/>
          <w:shd w:val="clear" w:color="auto" w:fill="auto"/>
          <w:lang w:val="en-US" w:eastAsia="zh-CN"/>
        </w:rPr>
        <w:t>扬尘有效抑制，</w:t>
      </w:r>
      <w:r>
        <w:rPr>
          <w:rFonts w:hint="eastAsia" w:hAnsi="仿宋_GB2312" w:cs="仿宋_GB2312"/>
          <w:b w:val="0"/>
          <w:bCs w:val="0"/>
          <w:color w:val="auto"/>
          <w:highlight w:val="none"/>
          <w:u w:val="none"/>
          <w:shd w:val="clear" w:color="auto" w:fill="auto"/>
        </w:rPr>
        <w:t>提升裸地动态治理效能</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w:t>
      </w:r>
      <w:r>
        <w:rPr>
          <w:rFonts w:hint="eastAsia" w:hAnsi="仿宋_GB2312" w:cs="仿宋_GB2312"/>
          <w:b w:val="0"/>
          <w:bCs w:val="0"/>
          <w:color w:val="auto"/>
          <w:highlight w:val="none"/>
          <w:u w:val="none"/>
          <w:shd w:val="clear" w:color="auto" w:fill="auto"/>
        </w:rPr>
        <w:t>完善外来沙尘</w:t>
      </w:r>
      <w:r>
        <w:rPr>
          <w:rFonts w:hint="eastAsia" w:hAnsi="仿宋_GB2312" w:cs="仿宋_GB2312"/>
          <w:b w:val="0"/>
          <w:bCs w:val="0"/>
          <w:color w:val="auto"/>
          <w:highlight w:val="none"/>
          <w:u w:val="none"/>
          <w:shd w:val="clear" w:color="auto" w:fill="auto"/>
          <w:lang w:val="en-US" w:eastAsia="zh-CN"/>
        </w:rPr>
        <w:t>应急响应</w:t>
      </w:r>
      <w:r>
        <w:rPr>
          <w:rFonts w:hint="eastAsia" w:cs="仿宋_GB2312"/>
          <w:b w:val="0"/>
          <w:bCs w:val="0"/>
          <w:color w:val="auto"/>
          <w:highlight w:val="none"/>
          <w:u w:val="none"/>
          <w:shd w:val="clear" w:color="auto" w:fill="auto"/>
          <w:lang w:eastAsia="zh-CN"/>
        </w:rPr>
        <w:t>，</w:t>
      </w:r>
      <w:r>
        <w:rPr>
          <w:rFonts w:hint="eastAsia" w:hAnsi="仿宋_GB2312" w:cs="仿宋_GB2312"/>
          <w:b w:val="0"/>
          <w:bCs w:val="0"/>
          <w:color w:val="auto"/>
          <w:highlight w:val="none"/>
          <w:u w:val="none"/>
          <w:shd w:val="clear" w:color="auto" w:fill="auto"/>
        </w:rPr>
        <w:t>健全</w:t>
      </w:r>
      <w:r>
        <w:rPr>
          <w:rFonts w:hint="eastAsia" w:hAnsi="仿宋_GB2312" w:cs="仿宋_GB2312"/>
          <w:b w:val="0"/>
          <w:bCs w:val="0"/>
          <w:color w:val="auto"/>
          <w:highlight w:val="none"/>
          <w:u w:val="none"/>
          <w:shd w:val="clear" w:color="auto" w:fill="auto"/>
          <w:lang w:val="en-US" w:eastAsia="zh-CN"/>
        </w:rPr>
        <w:t>沙尘天气</w:t>
      </w:r>
      <w:r>
        <w:rPr>
          <w:rFonts w:hint="eastAsia" w:hAnsi="仿宋_GB2312" w:cs="仿宋_GB2312"/>
          <w:b w:val="0"/>
          <w:bCs w:val="0"/>
          <w:color w:val="auto"/>
          <w:highlight w:val="none"/>
          <w:u w:val="none"/>
          <w:shd w:val="clear" w:color="auto" w:fill="auto"/>
        </w:rPr>
        <w:t>监测预警与应急响应机制，在沙尘过境期间</w:t>
      </w:r>
      <w:r>
        <w:rPr>
          <w:rFonts w:hint="eastAsia" w:hAnsi="仿宋_GB2312" w:cs="仿宋_GB2312"/>
          <w:b w:val="0"/>
          <w:bCs w:val="0"/>
          <w:color w:val="auto"/>
          <w:highlight w:val="none"/>
          <w:u w:val="none"/>
          <w:shd w:val="clear" w:color="auto" w:fill="auto"/>
          <w:lang w:val="en-US" w:eastAsia="zh-CN"/>
        </w:rPr>
        <w:t>科学</w:t>
      </w:r>
      <w:r>
        <w:rPr>
          <w:rFonts w:hint="eastAsia" w:hAnsi="仿宋_GB2312" w:cs="仿宋_GB2312"/>
          <w:b w:val="0"/>
          <w:bCs w:val="0"/>
          <w:color w:val="auto"/>
          <w:highlight w:val="none"/>
          <w:u w:val="none"/>
          <w:shd w:val="clear" w:color="auto" w:fill="auto"/>
        </w:rPr>
        <w:t>强化洒水降尘</w:t>
      </w:r>
      <w:r>
        <w:rPr>
          <w:rFonts w:hint="eastAsia" w:hAnsi="仿宋_GB2312" w:cs="仿宋_GB2312"/>
          <w:b w:val="0"/>
          <w:bCs w:val="0"/>
          <w:color w:val="auto"/>
          <w:highlight w:val="none"/>
          <w:u w:val="none"/>
          <w:shd w:val="clear" w:color="auto" w:fill="auto"/>
          <w:lang w:val="en-US" w:eastAsia="zh-CN"/>
        </w:rPr>
        <w:t>频次，规范</w:t>
      </w:r>
      <w:r>
        <w:rPr>
          <w:rFonts w:hint="eastAsia" w:hAnsi="仿宋_GB2312" w:cs="仿宋_GB2312"/>
          <w:b w:val="0"/>
          <w:bCs w:val="0"/>
          <w:color w:val="auto"/>
          <w:highlight w:val="none"/>
          <w:u w:val="none"/>
          <w:shd w:val="clear" w:color="auto" w:fill="auto"/>
        </w:rPr>
        <w:t>户外作业防护，</w:t>
      </w:r>
      <w:r>
        <w:rPr>
          <w:rFonts w:hint="eastAsia" w:hAnsi="仿宋_GB2312" w:cs="仿宋_GB2312"/>
          <w:b w:val="0"/>
          <w:bCs w:val="0"/>
          <w:color w:val="auto"/>
          <w:highlight w:val="none"/>
          <w:u w:val="none"/>
          <w:shd w:val="clear" w:color="auto" w:fill="auto"/>
          <w:lang w:val="en-US" w:eastAsia="zh-CN"/>
        </w:rPr>
        <w:t>最大限度</w:t>
      </w:r>
      <w:r>
        <w:rPr>
          <w:rFonts w:hint="eastAsia" w:hAnsi="仿宋_GB2312" w:cs="仿宋_GB2312"/>
          <w:b w:val="0"/>
          <w:bCs w:val="0"/>
          <w:color w:val="auto"/>
          <w:highlight w:val="none"/>
          <w:u w:val="none"/>
          <w:shd w:val="clear" w:color="auto" w:fill="auto"/>
        </w:rPr>
        <w:t>减轻外来输入</w:t>
      </w:r>
      <w:r>
        <w:rPr>
          <w:rFonts w:hint="eastAsia" w:hAnsi="仿宋_GB2312" w:cs="仿宋_GB2312"/>
          <w:b w:val="0"/>
          <w:bCs w:val="0"/>
          <w:color w:val="auto"/>
          <w:highlight w:val="none"/>
          <w:u w:val="none"/>
          <w:shd w:val="clear" w:color="auto" w:fill="auto"/>
          <w:lang w:val="en-US" w:eastAsia="zh-CN"/>
        </w:rPr>
        <w:t>性污染</w:t>
      </w:r>
      <w:r>
        <w:rPr>
          <w:rFonts w:hint="eastAsia" w:hAnsi="仿宋_GB2312" w:cs="仿宋_GB2312"/>
          <w:b w:val="0"/>
          <w:bCs w:val="0"/>
          <w:color w:val="auto"/>
          <w:highlight w:val="none"/>
          <w:u w:val="none"/>
          <w:shd w:val="clear" w:color="auto" w:fill="auto"/>
        </w:rPr>
        <w:t>影响。</w:t>
      </w:r>
    </w:p>
    <w:p w14:paraId="1E15AA43">
      <w:pPr>
        <w:keepNext w:val="0"/>
        <w:keepLines w:val="0"/>
        <w:pageBreakBefore w:val="0"/>
        <w:widowControl w:val="0"/>
        <w:kinsoku/>
        <w:wordWrap/>
        <w:overflowPunct/>
        <w:topLinePunct w:val="0"/>
        <w:bidi w:val="0"/>
        <w:ind w:firstLine="640"/>
        <w:textAlignment w:val="auto"/>
        <w:rPr>
          <w:rFonts w:hint="eastAsia" w:ascii="仿宋_GB2312" w:hAnsi="仿宋_GB2312" w:cs="仿宋_GB2312"/>
          <w:b w:val="0"/>
          <w:bCs w:val="0"/>
          <w:color w:val="auto"/>
          <w:highlight w:val="none"/>
          <w:u w:val="none"/>
          <w:shd w:val="clear" w:color="auto" w:fill="auto"/>
          <w:lang w:val="en-US" w:eastAsia="zh-CN"/>
        </w:rPr>
      </w:pPr>
      <w:r>
        <w:rPr>
          <w:rFonts w:hint="eastAsia" w:ascii="仿宋_GB2312" w:hAnsi="仿宋_GB2312" w:cs="仿宋_GB2312"/>
          <w:b w:val="0"/>
          <w:bCs w:val="0"/>
          <w:color w:val="auto"/>
          <w:highlight w:val="none"/>
          <w:u w:val="none"/>
          <w:shd w:val="clear" w:color="auto" w:fill="auto"/>
          <w:lang w:val="en-US" w:eastAsia="zh-CN"/>
        </w:rPr>
        <w:t>协同推动大气氨排放控制。</w:t>
      </w:r>
      <w:r>
        <w:rPr>
          <w:rFonts w:hint="eastAsia" w:ascii="仿宋_GB2312" w:hAnsi="仿宋_GB2312" w:cs="仿宋_GB2312"/>
          <w:b w:val="0"/>
          <w:bCs w:val="0"/>
          <w:color w:val="auto"/>
          <w:highlight w:val="none"/>
          <w:u w:val="none"/>
          <w:shd w:val="clear" w:color="auto" w:fill="auto"/>
        </w:rPr>
        <w:t>深化种植业科学施肥替代</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落实北京市科学施肥增效工作要求，在粮食主产区和设施农业集中区，重点推广测土配方施肥、氮肥深施和水肥一体化技术，减少表施造成的氨挥发损失。依托现有有机肥替代化肥示范试点基础，探索设施菜地有机肥减量配施碳基材料等新型抑氨模式。巩固养殖业氨排放治理</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在规模养殖场粪污处理设施全覆盖基础上，按照“源头控氨、过程减氨、末端治氨”的技术思路，推广低蛋白日粮和饲料添加剂应用，推进圈舍密闭改造和废气收集处理，协同减少畜禽养殖氨排放。加强农村固废处理氨排放管控</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健全种养一体化氨排放监测网络。依托现有畜禽养殖氨排放控制试点基础，在重点规模化养殖场先行布设氨气监测点位的基础上，适时向集约化种植区拓展，探索建立“养殖重点监测+种植动态抽测”的分级监测模式。逐步构建区域氨排放动态清单，为减排效果评估和精准治理提供数据支撑。</w:t>
      </w:r>
    </w:p>
    <w:p w14:paraId="1FF8F5F3">
      <w:pPr>
        <w:keepNext w:val="0"/>
        <w:keepLines w:val="0"/>
        <w:pageBreakBefore w:val="0"/>
        <w:widowControl w:val="0"/>
        <w:kinsoku/>
        <w:wordWrap/>
        <w:overflowPunct/>
        <w:topLinePunct w:val="0"/>
        <w:bidi w:val="0"/>
        <w:ind w:firstLine="640"/>
        <w:textAlignment w:val="auto"/>
        <w:rPr>
          <w:rFonts w:hint="eastAsia" w:ascii="仿宋_GB2312" w:hAnsi="仿宋_GB2312" w:eastAsia="仿宋_GB2312" w:cs="仿宋_GB2312"/>
          <w:b w:val="0"/>
          <w:bCs w:val="0"/>
          <w:color w:val="auto"/>
          <w:highlight w:val="none"/>
          <w:u w:val="none"/>
          <w:shd w:val="clear" w:color="auto" w:fill="auto"/>
          <w:lang w:eastAsia="zh-CN"/>
        </w:rPr>
      </w:pPr>
      <w:r>
        <w:rPr>
          <w:rFonts w:hint="eastAsia" w:ascii="仿宋_GB2312" w:hAnsi="仿宋_GB2312" w:cs="仿宋_GB2312"/>
          <w:b w:val="0"/>
          <w:bCs w:val="0"/>
          <w:color w:val="auto"/>
          <w:highlight w:val="none"/>
          <w:u w:val="none"/>
          <w:shd w:val="clear" w:color="auto" w:fill="auto"/>
        </w:rPr>
        <w:t>加强其他重点领域面源污染管控</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lang w:val="en-US" w:eastAsia="zh-CN"/>
        </w:rPr>
        <w:t>强化</w:t>
      </w:r>
      <w:r>
        <w:rPr>
          <w:rFonts w:hint="eastAsia" w:ascii="仿宋_GB2312" w:hAnsi="仿宋_GB2312" w:cs="仿宋_GB2312"/>
          <w:b w:val="0"/>
          <w:bCs w:val="0"/>
          <w:color w:val="auto"/>
          <w:highlight w:val="none"/>
          <w:u w:val="none"/>
          <w:shd w:val="clear" w:color="auto" w:fill="auto"/>
        </w:rPr>
        <w:t>秸秆综合利用与禁烧监管</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健全“区—镇—村”三级网格化监管体系，在秋收、春耕等重点时段综合运用卫星遥感等手段，实现露天焚烧“全天候、全方位”监控。推进秸秆离田利用和高值化利用，</w:t>
      </w:r>
      <w:r>
        <w:rPr>
          <w:rFonts w:hint="eastAsia" w:ascii="仿宋_GB2312" w:hAnsi="仿宋_GB2312" w:cs="仿宋_GB2312"/>
          <w:b w:val="0"/>
          <w:bCs w:val="0"/>
          <w:color w:val="auto"/>
          <w:highlight w:val="none"/>
          <w:u w:val="none"/>
          <w:shd w:val="clear" w:color="auto" w:fill="auto"/>
          <w:lang w:val="en-US" w:eastAsia="zh-CN"/>
        </w:rPr>
        <w:t>持续巩固提升</w:t>
      </w:r>
      <w:r>
        <w:rPr>
          <w:rFonts w:hint="eastAsia" w:ascii="仿宋_GB2312" w:hAnsi="仿宋_GB2312" w:cs="仿宋_GB2312"/>
          <w:b w:val="0"/>
          <w:bCs w:val="0"/>
          <w:color w:val="auto"/>
          <w:highlight w:val="none"/>
          <w:u w:val="none"/>
          <w:shd w:val="clear" w:color="auto" w:fill="auto"/>
        </w:rPr>
        <w:t>秸秆综合利用率</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lang w:val="en-US" w:eastAsia="zh-CN"/>
        </w:rPr>
        <w:t>实现</w:t>
      </w:r>
      <w:r>
        <w:rPr>
          <w:rFonts w:hint="eastAsia" w:ascii="仿宋_GB2312" w:hAnsi="仿宋_GB2312" w:cs="仿宋_GB2312"/>
          <w:b w:val="0"/>
          <w:bCs w:val="0"/>
          <w:color w:val="auto"/>
          <w:highlight w:val="none"/>
          <w:u w:val="none"/>
          <w:shd w:val="clear" w:color="auto" w:fill="auto"/>
        </w:rPr>
        <w:t>焚烧火点</w:t>
      </w:r>
      <w:r>
        <w:rPr>
          <w:rFonts w:hint="eastAsia" w:ascii="仿宋_GB2312" w:hAnsi="仿宋_GB2312" w:cs="仿宋_GB2312"/>
          <w:b w:val="0"/>
          <w:bCs w:val="0"/>
          <w:color w:val="auto"/>
          <w:highlight w:val="none"/>
          <w:u w:val="none"/>
          <w:shd w:val="clear" w:color="auto" w:fill="auto"/>
          <w:lang w:val="en-US" w:eastAsia="zh-CN"/>
        </w:rPr>
        <w:t>常态化</w:t>
      </w:r>
      <w:r>
        <w:rPr>
          <w:rFonts w:hint="eastAsia" w:ascii="仿宋_GB2312" w:hAnsi="仿宋_GB2312" w:cs="仿宋_GB2312"/>
          <w:b w:val="0"/>
          <w:bCs w:val="0"/>
          <w:color w:val="auto"/>
          <w:highlight w:val="none"/>
          <w:u w:val="none"/>
          <w:shd w:val="clear" w:color="auto" w:fill="auto"/>
        </w:rPr>
        <w:t>清零。攻坚绿色低碳道路建材推广</w:t>
      </w:r>
      <w:r>
        <w:rPr>
          <w:rFonts w:hint="eastAsia" w:ascii="仿宋_GB2312" w:hAnsi="仿宋_GB2312" w:cs="仿宋_GB2312"/>
          <w:b w:val="0"/>
          <w:bCs w:val="0"/>
          <w:color w:val="auto"/>
          <w:highlight w:val="none"/>
          <w:u w:val="none"/>
          <w:shd w:val="clear" w:color="auto" w:fill="auto"/>
          <w:lang w:eastAsia="zh-CN"/>
        </w:rPr>
        <w:t>，</w:t>
      </w:r>
      <w:r>
        <w:rPr>
          <w:rFonts w:hint="eastAsia" w:cs="仿宋_GB2312"/>
          <w:b w:val="0"/>
          <w:bCs w:val="0"/>
          <w:color w:val="auto"/>
          <w:highlight w:val="none"/>
          <w:u w:val="none"/>
          <w:shd w:val="clear" w:color="auto" w:fill="auto"/>
          <w:lang w:val="en-US" w:eastAsia="zh-CN"/>
        </w:rPr>
        <w:t>推动在</w:t>
      </w:r>
      <w:r>
        <w:rPr>
          <w:rFonts w:hint="eastAsia" w:ascii="仿宋_GB2312" w:hAnsi="仿宋_GB2312" w:cs="仿宋_GB2312"/>
          <w:b w:val="0"/>
          <w:bCs w:val="0"/>
          <w:color w:val="auto"/>
          <w:highlight w:val="none"/>
          <w:u w:val="none"/>
          <w:shd w:val="clear" w:color="auto" w:fill="auto"/>
        </w:rPr>
        <w:t>新建公路、城市道路及养护工程中</w:t>
      </w:r>
      <w:r>
        <w:rPr>
          <w:rFonts w:hint="eastAsia" w:cs="仿宋_GB2312"/>
          <w:b w:val="0"/>
          <w:bCs w:val="0"/>
          <w:color w:val="auto"/>
          <w:highlight w:val="none"/>
          <w:u w:val="none"/>
          <w:shd w:val="clear" w:color="auto" w:fill="auto"/>
          <w:lang w:val="en-US" w:eastAsia="zh-CN"/>
        </w:rPr>
        <w:t>推广应用</w:t>
      </w:r>
      <w:r>
        <w:rPr>
          <w:rFonts w:hint="eastAsia" w:ascii="仿宋_GB2312" w:hAnsi="仿宋_GB2312" w:cs="仿宋_GB2312"/>
          <w:b w:val="0"/>
          <w:bCs w:val="0"/>
          <w:color w:val="auto"/>
          <w:highlight w:val="none"/>
          <w:u w:val="none"/>
          <w:shd w:val="clear" w:color="auto" w:fill="auto"/>
        </w:rPr>
        <w:t>温拌沥青、再生沥青等绿色建材，</w:t>
      </w:r>
      <w:r>
        <w:rPr>
          <w:rFonts w:hint="eastAsia" w:cs="仿宋_GB2312"/>
          <w:b w:val="0"/>
          <w:bCs w:val="0"/>
          <w:color w:val="auto"/>
          <w:highlight w:val="none"/>
          <w:u w:val="none"/>
          <w:shd w:val="clear" w:color="auto" w:fill="auto"/>
          <w:lang w:val="en-US" w:eastAsia="zh-CN"/>
        </w:rPr>
        <w:t>到2030年，温拌沥青使用比例达到北京市要求</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攻坚群众身边突出环境问题治理</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深化生态环境接诉即办“管家”机制</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聚焦餐饮油烟、异味扰民等</w:t>
      </w:r>
      <w:r>
        <w:rPr>
          <w:rFonts w:hint="eastAsia" w:ascii="仿宋_GB2312" w:hAnsi="仿宋_GB2312" w:cs="仿宋_GB2312"/>
          <w:b w:val="0"/>
          <w:bCs w:val="0"/>
          <w:color w:val="auto"/>
          <w:highlight w:val="none"/>
          <w:u w:val="none"/>
          <w:shd w:val="clear" w:color="auto" w:fill="auto"/>
          <w:lang w:val="en-US" w:eastAsia="zh-CN"/>
        </w:rPr>
        <w:t>高频诉求建立重点点位台账，</w:t>
      </w:r>
      <w:r>
        <w:rPr>
          <w:rFonts w:hint="eastAsia" w:ascii="仿宋_GB2312" w:hAnsi="仿宋_GB2312" w:cs="仿宋_GB2312"/>
          <w:b w:val="0"/>
          <w:bCs w:val="0"/>
          <w:color w:val="auto"/>
          <w:highlight w:val="none"/>
          <w:u w:val="none"/>
          <w:shd w:val="clear" w:color="auto" w:fill="auto"/>
        </w:rPr>
        <w:t>推行“一题一策”专项整治，推动从“被动接诉”向“主动治理、未诉先办”转型。</w:t>
      </w:r>
    </w:p>
    <w:p w14:paraId="2A95552E">
      <w:pPr>
        <w:pStyle w:val="5"/>
        <w:keepNext w:val="0"/>
        <w:keepLines w:val="0"/>
        <w:pageBreakBefore w:val="0"/>
        <w:widowControl w:val="0"/>
        <w:numPr>
          <w:ilvl w:val="0"/>
          <w:numId w:val="6"/>
        </w:numPr>
        <w:kinsoku/>
        <w:wordWrap/>
        <w:overflowPunct/>
        <w:topLinePunct w:val="0"/>
        <w:bidi w:val="0"/>
        <w:ind w:left="640" w:firstLineChars="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强化</w:t>
      </w:r>
      <w:r>
        <w:rPr>
          <w:rFonts w:hint="eastAsia" w:ascii="仿宋_GB2312" w:hAnsi="仿宋_GB2312" w:eastAsia="仿宋_GB2312" w:cs="仿宋_GB2312"/>
          <w:b w:val="0"/>
          <w:bCs w:val="0"/>
          <w:color w:val="auto"/>
          <w:u w:val="none"/>
          <w:shd w:val="clear" w:color="auto" w:fill="auto"/>
        </w:rPr>
        <w:t>重污染天气应对与区域联防联控</w:t>
      </w:r>
    </w:p>
    <w:p w14:paraId="14023EBB">
      <w:pPr>
        <w:keepNext w:val="0"/>
        <w:keepLines w:val="0"/>
        <w:pageBreakBefore w:val="0"/>
        <w:widowControl w:val="0"/>
        <w:kinsoku/>
        <w:wordWrap/>
        <w:overflowPunct/>
        <w:topLinePunct w:val="0"/>
        <w:bidi w:val="0"/>
        <w:ind w:firstLine="640"/>
        <w:textAlignment w:val="auto"/>
        <w:rPr>
          <w:rFonts w:hint="eastAsia" w:ascii="仿宋_GB2312" w:hAnsi="仿宋_GB2312" w:cs="仿宋_GB2312"/>
          <w:b w:val="0"/>
          <w:bCs w:val="0"/>
          <w:color w:val="auto"/>
          <w:highlight w:val="none"/>
          <w:u w:val="none"/>
          <w:shd w:val="clear" w:color="auto" w:fill="auto"/>
        </w:rPr>
      </w:pPr>
      <w:r>
        <w:rPr>
          <w:rFonts w:hint="eastAsia" w:ascii="仿宋_GB2312" w:hAnsi="仿宋_GB2312" w:cs="仿宋_GB2312"/>
          <w:b w:val="0"/>
          <w:bCs w:val="0"/>
          <w:color w:val="auto"/>
          <w:highlight w:val="none"/>
          <w:u w:val="none"/>
          <w:shd w:val="clear" w:color="auto" w:fill="auto"/>
        </w:rPr>
        <w:t>攻坚污染过程削峰降速。严格落实污染天气应急响应机制，强化对秋冬季长时间大范围污染过程的应对准备。完善应急减排清单动态更新机制，确保涉气企业应纳尽纳、减排措施精准落地，杜绝“数字减排”，实现污染过程“削峰降速”。</w:t>
      </w:r>
    </w:p>
    <w:p w14:paraId="24FFD919">
      <w:pPr>
        <w:keepNext w:val="0"/>
        <w:keepLines w:val="0"/>
        <w:pageBreakBefore w:val="0"/>
        <w:widowControl w:val="0"/>
        <w:kinsoku/>
        <w:wordWrap/>
        <w:overflowPunct/>
        <w:topLinePunct w:val="0"/>
        <w:bidi w:val="0"/>
        <w:ind w:firstLine="640"/>
        <w:textAlignment w:val="auto"/>
        <w:rPr>
          <w:rFonts w:hint="eastAsia" w:ascii="仿宋_GB2312" w:hAnsi="仿宋_GB2312" w:cs="仿宋_GB2312"/>
          <w:b w:val="0"/>
          <w:bCs w:val="0"/>
          <w:color w:val="auto"/>
          <w:highlight w:val="none"/>
          <w:u w:val="none"/>
          <w:shd w:val="clear" w:color="auto" w:fill="auto"/>
        </w:rPr>
      </w:pPr>
      <w:r>
        <w:rPr>
          <w:rFonts w:hint="eastAsia" w:ascii="仿宋_GB2312" w:hAnsi="仿宋_GB2312" w:cs="仿宋_GB2312"/>
          <w:b w:val="0"/>
          <w:bCs w:val="0"/>
          <w:color w:val="auto"/>
          <w:highlight w:val="none"/>
          <w:u w:val="none"/>
          <w:shd w:val="clear" w:color="auto" w:fill="auto"/>
          <w:lang w:val="en-US" w:eastAsia="zh-CN"/>
        </w:rPr>
        <w:t>深化重点行业</w:t>
      </w:r>
      <w:r>
        <w:rPr>
          <w:rFonts w:hint="eastAsia" w:ascii="仿宋_GB2312" w:hAnsi="仿宋_GB2312" w:cs="仿宋_GB2312"/>
          <w:b w:val="0"/>
          <w:bCs w:val="0"/>
          <w:color w:val="auto"/>
          <w:highlight w:val="none"/>
          <w:u w:val="none"/>
          <w:shd w:val="clear" w:color="auto" w:fill="auto"/>
        </w:rPr>
        <w:t>绩效</w:t>
      </w:r>
      <w:r>
        <w:rPr>
          <w:rFonts w:hint="eastAsia" w:ascii="仿宋_GB2312" w:hAnsi="仿宋_GB2312" w:cs="仿宋_GB2312"/>
          <w:b w:val="0"/>
          <w:bCs w:val="0"/>
          <w:color w:val="auto"/>
          <w:highlight w:val="none"/>
          <w:u w:val="none"/>
          <w:shd w:val="clear" w:color="auto" w:fill="auto"/>
          <w:lang w:val="en-US" w:eastAsia="zh-CN"/>
        </w:rPr>
        <w:t>分级</w:t>
      </w:r>
      <w:r>
        <w:rPr>
          <w:rFonts w:hint="eastAsia" w:cs="仿宋_GB2312"/>
          <w:b w:val="0"/>
          <w:bCs w:val="0"/>
          <w:color w:val="auto"/>
          <w:highlight w:val="none"/>
          <w:u w:val="none"/>
          <w:shd w:val="clear" w:color="auto" w:fill="auto"/>
          <w:lang w:val="en-US" w:eastAsia="zh-CN"/>
        </w:rPr>
        <w:t>差异化管控</w:t>
      </w:r>
      <w:r>
        <w:rPr>
          <w:rFonts w:hint="eastAsia" w:ascii="仿宋_GB2312" w:hAnsi="仿宋_GB2312" w:cs="仿宋_GB2312"/>
          <w:b w:val="0"/>
          <w:bCs w:val="0"/>
          <w:color w:val="auto"/>
          <w:highlight w:val="none"/>
          <w:u w:val="none"/>
          <w:shd w:val="clear" w:color="auto" w:fill="auto"/>
        </w:rPr>
        <w:t>。</w:t>
      </w:r>
      <w:r>
        <w:rPr>
          <w:rFonts w:hint="eastAsia"/>
          <w:b w:val="0"/>
          <w:bCs w:val="0"/>
          <w:highlight w:val="none"/>
          <w:u w:val="none"/>
          <w:shd w:val="clear" w:color="auto" w:fill="auto"/>
        </w:rPr>
        <w:t>持续完善绩效分级管理体系，在重污染天气应急响应期间，依据企业绩效等级实施差异化减排措施</w:t>
      </w:r>
      <w:r>
        <w:rPr>
          <w:rFonts w:hint="eastAsia" w:ascii="仿宋_GB2312" w:hAnsi="仿宋_GB2312" w:cs="仿宋_GB2312"/>
          <w:b w:val="0"/>
          <w:bCs w:val="0"/>
          <w:color w:val="auto"/>
          <w:highlight w:val="none"/>
          <w:u w:val="none"/>
          <w:shd w:val="clear" w:color="auto" w:fill="auto"/>
        </w:rPr>
        <w:t>。在工业涂装、印刷、汽修等重点行业全面推广安装用电监控设备，实现对污染治理设施运行情况的动态监控与异常预警。建立绩效领先企业正向激励机制，在应急减排豁免、产能调控倾斜、绿色信贷支持等方面强化政策支持，推动污染减排与行业高质量发展协同共进。</w:t>
      </w:r>
    </w:p>
    <w:p w14:paraId="61273E27">
      <w:pPr>
        <w:pStyle w:val="39"/>
        <w:keepNext w:val="0"/>
        <w:keepLines w:val="0"/>
        <w:pageBreakBefore w:val="0"/>
        <w:widowControl w:val="0"/>
        <w:kinsoku/>
        <w:wordWrap/>
        <w:overflowPunct/>
        <w:topLinePunct w:val="0"/>
        <w:bidi w:val="0"/>
        <w:spacing w:line="560" w:lineRule="exact"/>
        <w:textAlignment w:val="auto"/>
        <w:rPr>
          <w:rFonts w:hAnsi="仿宋_GB2312" w:cs="仿宋_GB2312"/>
          <w:b w:val="0"/>
          <w:bCs w:val="0"/>
          <w:color w:val="auto"/>
          <w:highlight w:val="none"/>
          <w:u w:val="none"/>
        </w:rPr>
      </w:pPr>
      <w:r>
        <w:rPr>
          <w:rFonts w:hint="eastAsia" w:ascii="仿宋_GB2312" w:hAnsi="仿宋_GB2312" w:cs="仿宋_GB2312"/>
          <w:b w:val="0"/>
          <w:bCs w:val="0"/>
          <w:color w:val="auto"/>
          <w:highlight w:val="none"/>
          <w:u w:val="none"/>
          <w:shd w:val="clear" w:color="auto" w:fill="auto"/>
        </w:rPr>
        <w:t>健全区域应急联动快速响应机制。落实京津冀区域联建联防联治要求，完善重污染天气跨区域应对预案。强化与周边城市的信息共享和会商研判，在启动应急响应时实现同步预警、同步响应、</w:t>
      </w:r>
      <w:r>
        <w:rPr>
          <w:rFonts w:hint="eastAsia" w:ascii="仿宋_GB2312" w:hAnsi="仿宋_GB2312" w:cs="仿宋_GB2312"/>
          <w:b w:val="0"/>
          <w:bCs w:val="0"/>
          <w:color w:val="auto"/>
          <w:highlight w:val="none"/>
          <w:u w:val="none"/>
          <w:shd w:val="clear" w:color="auto" w:fill="auto"/>
          <w:lang w:val="en-US" w:eastAsia="zh-CN"/>
        </w:rPr>
        <w:t>联合采取减排措施</w:t>
      </w:r>
      <w:r>
        <w:rPr>
          <w:rFonts w:hint="eastAsia" w:ascii="仿宋_GB2312" w:hAnsi="仿宋_GB2312" w:cs="仿宋_GB2312"/>
          <w:b w:val="0"/>
          <w:bCs w:val="0"/>
          <w:color w:val="auto"/>
          <w:highlight w:val="none"/>
          <w:u w:val="none"/>
          <w:shd w:val="clear" w:color="auto" w:fill="auto"/>
        </w:rPr>
        <w:t>，提升区域协同应对效能</w:t>
      </w:r>
      <w:r>
        <w:rPr>
          <w:rFonts w:hint="eastAsia" w:ascii="Times New Roman" w:hAnsi="Times New Roman" w:cs="Times New Roman"/>
          <w:b w:val="0"/>
          <w:bCs w:val="0"/>
          <w:color w:val="auto"/>
          <w:highlight w:val="none"/>
          <w:u w:val="none"/>
          <w:shd w:val="clear" w:color="auto" w:fill="auto"/>
        </w:rPr>
        <w:t>。</w:t>
      </w:r>
    </w:p>
    <w:p w14:paraId="76E20C1C">
      <w:pPr>
        <w:pStyle w:val="4"/>
        <w:keepNext w:val="0"/>
        <w:keepLines w:val="0"/>
        <w:pageBreakBefore w:val="0"/>
        <w:widowControl w:val="0"/>
        <w:kinsoku/>
        <w:wordWrap/>
        <w:overflowPunct/>
        <w:topLinePunct w:val="0"/>
        <w:bidi w:val="0"/>
        <w:textAlignment w:val="auto"/>
        <w:rPr>
          <w:b w:val="0"/>
          <w:bCs w:val="0"/>
          <w:color w:val="auto"/>
          <w:highlight w:val="none"/>
          <w:u w:val="none"/>
        </w:rPr>
      </w:pPr>
      <w:bookmarkStart w:id="146" w:name="_Toc25943"/>
      <w:bookmarkStart w:id="147" w:name="_Toc21767"/>
      <w:bookmarkStart w:id="148" w:name="_Toc13306"/>
      <w:bookmarkStart w:id="149" w:name="_Toc1518"/>
      <w:bookmarkStart w:id="150" w:name="_Toc14348"/>
      <w:bookmarkStart w:id="151" w:name="_Toc8674"/>
      <w:bookmarkStart w:id="152" w:name="_Toc12316"/>
      <w:bookmarkStart w:id="153" w:name="_Toc32526"/>
      <w:bookmarkStart w:id="154" w:name="_Toc10850"/>
      <w:bookmarkStart w:id="155" w:name="_Toc7303"/>
      <w:r>
        <w:rPr>
          <w:b w:val="0"/>
          <w:bCs w:val="0"/>
          <w:color w:val="auto"/>
          <w:highlight w:val="none"/>
          <w:u w:val="none"/>
        </w:rPr>
        <w:t>（二）</w:t>
      </w:r>
      <w:bookmarkEnd w:id="146"/>
      <w:bookmarkEnd w:id="147"/>
      <w:bookmarkEnd w:id="148"/>
      <w:bookmarkEnd w:id="149"/>
      <w:r>
        <w:rPr>
          <w:rFonts w:hint="eastAsia"/>
          <w:b w:val="0"/>
          <w:bCs w:val="0"/>
          <w:color w:val="auto"/>
          <w:highlight w:val="none"/>
          <w:u w:val="none"/>
          <w:lang w:val="en-US" w:eastAsia="zh-CN"/>
        </w:rPr>
        <w:t>系统推进美丽河湖建设</w:t>
      </w:r>
      <w:bookmarkEnd w:id="150"/>
      <w:bookmarkEnd w:id="151"/>
      <w:bookmarkEnd w:id="152"/>
      <w:bookmarkEnd w:id="153"/>
      <w:bookmarkEnd w:id="154"/>
      <w:bookmarkEnd w:id="155"/>
    </w:p>
    <w:p w14:paraId="0E3CEEEF">
      <w:pPr>
        <w:keepNext w:val="0"/>
        <w:keepLines w:val="0"/>
        <w:pageBreakBefore w:val="0"/>
        <w:widowControl w:val="0"/>
        <w:kinsoku/>
        <w:wordWrap/>
        <w:overflowPunct/>
        <w:topLinePunct w:val="0"/>
        <w:bidi w:val="0"/>
        <w:ind w:firstLine="643"/>
        <w:textAlignment w:val="auto"/>
        <w:rPr>
          <w:rFonts w:hint="eastAsia" w:ascii="仿宋_GB2312" w:hAnsi="仿宋_GB2312" w:eastAsia="仿宋_GB2312" w:cs="仿宋_GB2312"/>
          <w:b w:val="0"/>
          <w:bCs w:val="0"/>
          <w:color w:val="auto"/>
          <w:highlight w:val="none"/>
          <w:u w:val="none"/>
          <w:shd w:val="clear" w:color="auto" w:fill="auto"/>
          <w:lang w:val="en-US" w:eastAsia="zh-CN"/>
        </w:rPr>
      </w:pPr>
      <w:r>
        <w:rPr>
          <w:rFonts w:hint="eastAsia" w:ascii="Times New Roman" w:hAnsi="Times New Roman" w:cs="Times New Roman"/>
          <w:b w:val="0"/>
          <w:bCs w:val="0"/>
          <w:color w:val="auto"/>
          <w:highlight w:val="none"/>
          <w:u w:val="none"/>
          <w:shd w:val="clear" w:color="auto" w:fill="auto"/>
          <w:lang w:eastAsia="zh-CN"/>
        </w:rPr>
        <w:t>以</w:t>
      </w:r>
      <w:r>
        <w:rPr>
          <w:rFonts w:hint="eastAsia" w:ascii="Times New Roman" w:hAnsi="Times New Roman" w:cs="Times New Roman"/>
          <w:b w:val="0"/>
          <w:bCs w:val="0"/>
          <w:color w:val="auto"/>
          <w:highlight w:val="none"/>
          <w:u w:val="none"/>
          <w:shd w:val="clear" w:color="auto" w:fill="auto"/>
        </w:rPr>
        <w:t>美</w:t>
      </w:r>
      <w:r>
        <w:rPr>
          <w:rFonts w:hint="eastAsia" w:ascii="仿宋_GB2312" w:hAnsi="仿宋_GB2312" w:cs="仿宋_GB2312"/>
          <w:b w:val="0"/>
          <w:bCs w:val="0"/>
          <w:color w:val="auto"/>
          <w:highlight w:val="none"/>
          <w:u w:val="none"/>
          <w:shd w:val="clear" w:color="auto" w:fill="auto"/>
        </w:rPr>
        <w:t>丽河湖保护与建设</w:t>
      </w:r>
      <w:r>
        <w:rPr>
          <w:rFonts w:hint="eastAsia" w:ascii="仿宋_GB2312" w:hAnsi="仿宋_GB2312" w:cs="仿宋_GB2312"/>
          <w:b w:val="0"/>
          <w:bCs w:val="0"/>
          <w:color w:val="auto"/>
          <w:highlight w:val="none"/>
          <w:u w:val="none"/>
          <w:shd w:val="clear" w:color="auto" w:fill="auto"/>
          <w:lang w:val="en-US" w:eastAsia="zh-CN"/>
        </w:rPr>
        <w:t>为统领，深入推进</w:t>
      </w:r>
      <w:r>
        <w:rPr>
          <w:rFonts w:hint="eastAsia" w:ascii="仿宋_GB2312" w:hAnsi="仿宋_GB2312" w:cs="仿宋_GB2312"/>
          <w:b w:val="0"/>
          <w:bCs w:val="0"/>
          <w:color w:val="auto"/>
          <w:highlight w:val="none"/>
          <w:u w:val="none"/>
          <w:shd w:val="clear" w:color="auto" w:fill="auto"/>
        </w:rPr>
        <w:t>水生态环境</w:t>
      </w:r>
      <w:r>
        <w:rPr>
          <w:rFonts w:hint="eastAsia" w:ascii="仿宋_GB2312" w:hAnsi="仿宋_GB2312" w:cs="仿宋_GB2312"/>
          <w:b w:val="0"/>
          <w:bCs w:val="0"/>
          <w:color w:val="auto"/>
          <w:highlight w:val="none"/>
          <w:u w:val="none"/>
          <w:shd w:val="clear" w:color="auto" w:fill="auto"/>
          <w:lang w:val="en-US" w:eastAsia="zh-CN"/>
        </w:rPr>
        <w:t>质量全面改善。</w:t>
      </w:r>
      <w:r>
        <w:rPr>
          <w:rFonts w:hint="eastAsia" w:ascii="仿宋_GB2312" w:hAnsi="仿宋_GB2312"/>
          <w:b w:val="0"/>
          <w:bCs w:val="0"/>
          <w:color w:val="auto"/>
          <w:highlight w:val="none"/>
          <w:u w:val="none"/>
          <w:shd w:val="clear" w:color="auto" w:fill="FFFFFF"/>
        </w:rPr>
        <w:t>到2030年，</w:t>
      </w:r>
      <w:r>
        <w:rPr>
          <w:rFonts w:hint="eastAsia" w:ascii="仿宋_GB2312" w:hAnsi="仿宋_GB2312" w:cs="仿宋_GB2312"/>
          <w:b w:val="0"/>
          <w:bCs w:val="0"/>
          <w:color w:val="auto"/>
          <w:highlight w:val="none"/>
          <w:u w:val="none"/>
          <w:shd w:val="clear" w:color="auto" w:fill="auto"/>
        </w:rPr>
        <w:t>地表水</w:t>
      </w:r>
      <w:r>
        <w:rPr>
          <w:rFonts w:hint="eastAsia" w:ascii="仿宋_GB2312" w:hAnsi="仿宋_GB2312" w:cs="仿宋_GB2312"/>
          <w:b w:val="0"/>
          <w:bCs w:val="0"/>
          <w:color w:val="auto"/>
          <w:highlight w:val="none"/>
          <w:u w:val="none"/>
          <w:shd w:val="clear" w:color="auto" w:fill="auto"/>
          <w:lang w:val="en-US" w:eastAsia="zh-CN"/>
        </w:rPr>
        <w:t>优良水体比例</w:t>
      </w:r>
      <w:r>
        <w:rPr>
          <w:rFonts w:hint="eastAsia" w:ascii="仿宋_GB2312" w:hAnsi="仿宋_GB2312" w:cs="仿宋_GB2312"/>
          <w:b w:val="0"/>
          <w:bCs w:val="0"/>
          <w:color w:val="auto"/>
          <w:highlight w:val="none"/>
          <w:u w:val="none"/>
          <w:shd w:val="clear" w:color="auto" w:fill="auto"/>
          <w:lang w:eastAsia="zh-CN"/>
        </w:rPr>
        <w:t>达到北京市要求</w:t>
      </w:r>
      <w:r>
        <w:rPr>
          <w:rFonts w:hint="eastAsia" w:ascii="仿宋_GB2312" w:hAnsi="仿宋_GB2312" w:cs="仿宋_GB2312"/>
          <w:b w:val="0"/>
          <w:bCs w:val="0"/>
          <w:color w:val="auto"/>
          <w:highlight w:val="none"/>
          <w:u w:val="none"/>
          <w:shd w:val="clear" w:color="auto" w:fill="auto"/>
        </w:rPr>
        <w:t>，无劣Ⅴ类水体</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美丽河湖</w:t>
      </w:r>
      <w:r>
        <w:rPr>
          <w:rFonts w:hint="default" w:ascii="仿宋_GB2312" w:hAnsi="仿宋_GB2312" w:cs="仿宋_GB2312"/>
          <w:b w:val="0"/>
          <w:bCs w:val="0"/>
          <w:color w:val="auto"/>
          <w:highlight w:val="none"/>
          <w:u w:val="none"/>
          <w:shd w:val="clear" w:color="auto" w:fill="auto"/>
          <w:lang w:val="en-US" w:eastAsia="zh-CN"/>
        </w:rPr>
        <w:t>建设取得显著成效</w:t>
      </w:r>
      <w:r>
        <w:rPr>
          <w:rFonts w:hint="eastAsia" w:ascii="仿宋_GB2312" w:hAnsi="仿宋_GB2312" w:cs="仿宋_GB2312"/>
          <w:b w:val="0"/>
          <w:bCs w:val="0"/>
          <w:color w:val="auto"/>
          <w:highlight w:val="none"/>
          <w:u w:val="none"/>
          <w:shd w:val="clear" w:color="auto" w:fill="auto"/>
        </w:rPr>
        <w:t>。</w:t>
      </w:r>
    </w:p>
    <w:p w14:paraId="06C0F24B">
      <w:pPr>
        <w:pStyle w:val="5"/>
        <w:keepNext w:val="0"/>
        <w:keepLines w:val="0"/>
        <w:pageBreakBefore w:val="0"/>
        <w:widowControl w:val="0"/>
        <w:numPr>
          <w:ilvl w:val="0"/>
          <w:numId w:val="7"/>
        </w:numPr>
        <w:kinsoku/>
        <w:wordWrap/>
        <w:overflowPunct/>
        <w:topLinePunct w:val="0"/>
        <w:bidi w:val="0"/>
        <w:ind w:left="640" w:firstLineChars="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优化水资源保障</w:t>
      </w:r>
    </w:p>
    <w:p w14:paraId="478B4D17">
      <w:pPr>
        <w:pStyle w:val="19"/>
        <w:keepNext w:val="0"/>
        <w:keepLines w:val="0"/>
        <w:pageBreakBefore w:val="0"/>
        <w:widowControl w:val="0"/>
        <w:kinsoku/>
        <w:wordWrap/>
        <w:overflowPunct/>
        <w:topLinePunct w:val="0"/>
        <w:bidi w:val="0"/>
        <w:spacing w:after="0"/>
        <w:textAlignment w:val="auto"/>
        <w:rPr>
          <w:rFonts w:hint="eastAsia" w:cs="仿宋_GB2312"/>
          <w:b w:val="0"/>
          <w:bCs w:val="0"/>
          <w:color w:val="auto"/>
          <w:highlight w:val="none"/>
          <w:u w:val="none"/>
          <w:shd w:val="clear" w:color="FFFFFF" w:fill="D9D9D9"/>
          <w:lang w:eastAsia="zh-CN"/>
        </w:rPr>
      </w:pPr>
      <w:r>
        <w:rPr>
          <w:rFonts w:hint="eastAsia" w:ascii="仿宋_GB2312" w:hAnsi="仿宋_GB2312" w:cs="仿宋_GB2312"/>
          <w:b w:val="0"/>
          <w:bCs w:val="0"/>
          <w:color w:val="auto"/>
          <w:highlight w:val="none"/>
          <w:u w:val="none"/>
          <w:shd w:val="clear" w:color="auto" w:fill="auto"/>
          <w:lang w:eastAsia="zh-CN"/>
        </w:rPr>
        <w:t>筑牢饮用水水源水质安全防线。</w:t>
      </w:r>
      <w:r>
        <w:rPr>
          <w:rFonts w:hint="eastAsia" w:cs="仿宋_GB2312"/>
          <w:b w:val="0"/>
          <w:bCs w:val="0"/>
          <w:color w:val="auto"/>
          <w:highlight w:val="none"/>
          <w:u w:val="none"/>
          <w:lang w:val="en-US" w:eastAsia="zh-CN"/>
        </w:rPr>
        <w:t>持续开展</w:t>
      </w:r>
      <w:r>
        <w:rPr>
          <w:rFonts w:hint="eastAsia" w:hAnsi="仿宋_GB2312" w:cs="仿宋_GB2312"/>
          <w:b w:val="0"/>
          <w:bCs w:val="0"/>
          <w:color w:val="auto"/>
          <w:highlight w:val="none"/>
          <w:u w:val="none"/>
          <w:lang w:eastAsia="zh-CN"/>
        </w:rPr>
        <w:t>饮用水水源地环境状况调查评估</w:t>
      </w:r>
      <w:r>
        <w:rPr>
          <w:rFonts w:hint="eastAsia" w:cs="仿宋_GB2312"/>
          <w:b w:val="0"/>
          <w:bCs w:val="0"/>
          <w:color w:val="auto"/>
          <w:highlight w:val="none"/>
          <w:u w:val="none"/>
          <w:lang w:eastAsia="zh-CN"/>
        </w:rPr>
        <w:t>，</w:t>
      </w:r>
      <w:r>
        <w:rPr>
          <w:rFonts w:hint="eastAsia" w:cs="仿宋_GB2312"/>
          <w:b w:val="0"/>
          <w:bCs w:val="0"/>
          <w:color w:val="auto"/>
          <w:highlight w:val="none"/>
          <w:u w:val="none"/>
          <w:lang w:val="en-US" w:eastAsia="zh-CN"/>
        </w:rPr>
        <w:t>建立风险源动态清单，</w:t>
      </w:r>
      <w:r>
        <w:rPr>
          <w:rFonts w:hint="eastAsia" w:hAnsi="仿宋_GB2312" w:cs="仿宋_GB2312"/>
          <w:b w:val="0"/>
          <w:bCs w:val="0"/>
          <w:color w:val="auto"/>
          <w:highlight w:val="none"/>
          <w:u w:val="none"/>
          <w:lang w:val="en-US" w:eastAsia="zh-CN"/>
        </w:rPr>
        <w:t>因地制宜推进水源地规范化建设</w:t>
      </w:r>
      <w:r>
        <w:rPr>
          <w:rFonts w:hint="eastAsia" w:cs="仿宋_GB2312"/>
          <w:b w:val="0"/>
          <w:bCs w:val="0"/>
          <w:color w:val="auto"/>
          <w:highlight w:val="none"/>
          <w:u w:val="none"/>
          <w:lang w:val="en-US" w:eastAsia="zh-CN"/>
        </w:rPr>
        <w:t>。聚焦养殖等突出风险源开展专项执法，</w:t>
      </w:r>
      <w:r>
        <w:rPr>
          <w:rFonts w:hint="eastAsia" w:hAnsi="仿宋_GB2312" w:cs="仿宋_GB2312"/>
          <w:b w:val="0"/>
          <w:bCs w:val="0"/>
          <w:color w:val="auto"/>
          <w:highlight w:val="none"/>
          <w:u w:val="none"/>
        </w:rPr>
        <w:t>统筹推进新污染物环境风险管理</w:t>
      </w:r>
      <w:r>
        <w:rPr>
          <w:rFonts w:hint="eastAsia" w:hAnsi="仿宋_GB2312" w:cs="仿宋_GB2312"/>
          <w:b w:val="0"/>
          <w:bCs w:val="0"/>
          <w:color w:val="auto"/>
          <w:highlight w:val="none"/>
          <w:u w:val="none"/>
          <w:lang w:val="en-US" w:eastAsia="zh-CN"/>
        </w:rPr>
        <w:t>。</w:t>
      </w:r>
      <w:r>
        <w:rPr>
          <w:rFonts w:hAnsi="仿宋_GB2312" w:cs="仿宋_GB2312"/>
          <w:b w:val="0"/>
          <w:bCs w:val="0"/>
          <w:color w:val="auto"/>
          <w:highlight w:val="none"/>
          <w:u w:val="none"/>
        </w:rPr>
        <w:t>加强地下水资源保护</w:t>
      </w:r>
      <w:r>
        <w:rPr>
          <w:rFonts w:hint="eastAsia" w:hAnsi="仿宋_GB2312" w:cs="仿宋_GB2312"/>
          <w:b w:val="0"/>
          <w:bCs w:val="0"/>
          <w:color w:val="auto"/>
          <w:highlight w:val="none"/>
          <w:u w:val="none"/>
        </w:rPr>
        <w:t>，</w:t>
      </w:r>
      <w:r>
        <w:rPr>
          <w:rFonts w:hint="eastAsia" w:hAnsi="仿宋_GB2312" w:cs="仿宋_GB2312"/>
          <w:b w:val="0"/>
          <w:bCs w:val="0"/>
          <w:color w:val="auto"/>
          <w:highlight w:val="none"/>
          <w:u w:val="none"/>
          <w:lang w:val="en-US" w:eastAsia="zh-CN"/>
        </w:rPr>
        <w:t>开展填埋场</w:t>
      </w:r>
      <w:r>
        <w:rPr>
          <w:rFonts w:hint="eastAsia" w:cs="仿宋_GB2312"/>
          <w:b w:val="0"/>
          <w:bCs w:val="0"/>
          <w:color w:val="auto"/>
          <w:highlight w:val="none"/>
          <w:u w:val="none"/>
          <w:lang w:val="en-US" w:eastAsia="zh-CN"/>
        </w:rPr>
        <w:t>等重点区域</w:t>
      </w:r>
      <w:r>
        <w:rPr>
          <w:rFonts w:hint="eastAsia" w:hAnsi="仿宋_GB2312" w:cs="仿宋_GB2312"/>
          <w:b w:val="0"/>
          <w:bCs w:val="0"/>
          <w:color w:val="auto"/>
          <w:highlight w:val="none"/>
          <w:u w:val="none"/>
          <w:lang w:val="en-US" w:eastAsia="zh-CN"/>
        </w:rPr>
        <w:t>地下水污染调查评估，</w:t>
      </w:r>
      <w:r>
        <w:rPr>
          <w:rFonts w:hint="eastAsia" w:cs="仿宋_GB2312"/>
          <w:b w:val="0"/>
          <w:bCs w:val="0"/>
          <w:color w:val="auto"/>
          <w:highlight w:val="none"/>
          <w:u w:val="none"/>
          <w:lang w:val="en-US" w:eastAsia="zh-CN"/>
        </w:rPr>
        <w:t>健全取用水规范管理长效机制，严厉打击非法取水行为。</w:t>
      </w:r>
    </w:p>
    <w:p w14:paraId="73B23DF0">
      <w:pPr>
        <w:pStyle w:val="19"/>
        <w:keepNext w:val="0"/>
        <w:keepLines w:val="0"/>
        <w:pageBreakBefore w:val="0"/>
        <w:widowControl w:val="0"/>
        <w:kinsoku/>
        <w:wordWrap/>
        <w:overflowPunct/>
        <w:topLinePunct w:val="0"/>
        <w:bidi w:val="0"/>
        <w:spacing w:after="0"/>
        <w:textAlignment w:val="auto"/>
        <w:rPr>
          <w:rFonts w:hint="eastAsia" w:hAnsi="仿宋_GB2312" w:eastAsia="仿宋_GB2312" w:cs="仿宋_GB2312"/>
          <w:b w:val="0"/>
          <w:bCs w:val="0"/>
          <w:color w:val="auto"/>
          <w:highlight w:val="none"/>
          <w:u w:val="none"/>
          <w:lang w:eastAsia="zh-CN"/>
        </w:rPr>
      </w:pPr>
      <w:r>
        <w:rPr>
          <w:rFonts w:hint="eastAsia" w:cs="仿宋_GB2312"/>
          <w:b w:val="0"/>
          <w:bCs w:val="0"/>
          <w:color w:val="auto"/>
          <w:highlight w:val="none"/>
          <w:u w:val="none"/>
          <w:lang w:val="en-US" w:eastAsia="zh-CN"/>
        </w:rPr>
        <w:t>攻坚</w:t>
      </w:r>
      <w:r>
        <w:rPr>
          <w:rFonts w:hint="eastAsia" w:ascii="仿宋_GB2312" w:hAnsi="仿宋_GB2312" w:cs="仿宋_GB2312"/>
          <w:b w:val="0"/>
          <w:bCs w:val="0"/>
          <w:color w:val="auto"/>
          <w:kern w:val="0"/>
          <w:highlight w:val="none"/>
          <w:u w:val="none"/>
          <w:lang w:val="en-US" w:eastAsia="zh-CN"/>
        </w:rPr>
        <w:t>城乡供水一体化</w:t>
      </w:r>
      <w:r>
        <w:rPr>
          <w:rFonts w:hint="eastAsia" w:cs="仿宋_GB2312"/>
          <w:b w:val="0"/>
          <w:bCs w:val="0"/>
          <w:color w:val="auto"/>
          <w:kern w:val="0"/>
          <w:highlight w:val="none"/>
          <w:u w:val="none"/>
          <w:lang w:val="en-US" w:eastAsia="zh-CN"/>
        </w:rPr>
        <w:t>建设。以规模化供水工程为依托，逐步</w:t>
      </w:r>
      <w:r>
        <w:rPr>
          <w:rFonts w:hint="eastAsia" w:cs="仿宋_GB2312"/>
          <w:b w:val="0"/>
          <w:bCs w:val="0"/>
          <w:color w:val="auto"/>
          <w:kern w:val="0"/>
          <w:highlight w:val="none"/>
          <w:u w:val="none"/>
        </w:rPr>
        <w:t>替代</w:t>
      </w:r>
      <w:r>
        <w:rPr>
          <w:rFonts w:hint="eastAsia" w:cs="仿宋_GB2312"/>
          <w:b w:val="0"/>
          <w:bCs w:val="0"/>
          <w:color w:val="auto"/>
          <w:kern w:val="0"/>
          <w:highlight w:val="none"/>
          <w:u w:val="none"/>
          <w:lang w:val="en-US" w:eastAsia="zh-CN"/>
        </w:rPr>
        <w:t>分散</w:t>
      </w:r>
      <w:r>
        <w:rPr>
          <w:rFonts w:hint="eastAsia" w:cs="仿宋_GB2312"/>
          <w:b w:val="0"/>
          <w:bCs w:val="0"/>
          <w:color w:val="auto"/>
          <w:kern w:val="0"/>
          <w:highlight w:val="none"/>
          <w:u w:val="none"/>
        </w:rPr>
        <w:t>自备井，</w:t>
      </w:r>
      <w:r>
        <w:rPr>
          <w:rFonts w:hint="eastAsia" w:cs="仿宋_GB2312"/>
          <w:b w:val="0"/>
          <w:bCs w:val="0"/>
          <w:color w:val="auto"/>
          <w:kern w:val="0"/>
          <w:highlight w:val="none"/>
          <w:u w:val="none"/>
          <w:lang w:val="en-US" w:eastAsia="zh-CN"/>
        </w:rPr>
        <w:t>加快实现城乡供水同网、同质、同服务。</w:t>
      </w:r>
      <w:r>
        <w:rPr>
          <w:rFonts w:hint="eastAsia" w:cs="仿宋_GB2312"/>
          <w:b w:val="0"/>
          <w:bCs w:val="0"/>
          <w:color w:val="auto"/>
          <w:kern w:val="0"/>
          <w:highlight w:val="none"/>
          <w:u w:val="none"/>
        </w:rPr>
        <w:t>加大市政管网覆盖范围内自备井置换力度，有序推进供水管网更新改造</w:t>
      </w:r>
      <w:r>
        <w:rPr>
          <w:rFonts w:hint="eastAsia" w:cs="仿宋_GB2312"/>
          <w:b w:val="0"/>
          <w:bCs w:val="0"/>
          <w:color w:val="auto"/>
          <w:kern w:val="0"/>
          <w:highlight w:val="none"/>
          <w:u w:val="none"/>
          <w:lang w:eastAsia="zh-CN"/>
        </w:rPr>
        <w:t>，构建“联网、补网、强链”的城乡一体化供水新格局。</w:t>
      </w:r>
      <w:r>
        <w:rPr>
          <w:rFonts w:hint="eastAsia" w:cs="仿宋_GB2312"/>
          <w:b w:val="0"/>
          <w:bCs w:val="0"/>
          <w:color w:val="auto"/>
          <w:kern w:val="0"/>
          <w:highlight w:val="none"/>
          <w:u w:val="none"/>
          <w:lang w:val="en-US" w:eastAsia="zh-CN"/>
        </w:rPr>
        <w:t>提升供水系统智慧化管控水平，</w:t>
      </w:r>
      <w:r>
        <w:rPr>
          <w:rFonts w:hint="eastAsia" w:ascii="仿宋_GB2312" w:hAnsi="仿宋_GB2312" w:cs="仿宋_GB2312"/>
          <w:b w:val="0"/>
          <w:bCs w:val="0"/>
          <w:color w:val="auto"/>
          <w:kern w:val="0"/>
          <w:highlight w:val="none"/>
          <w:u w:val="none"/>
          <w:lang w:val="en-US" w:eastAsia="zh-CN"/>
        </w:rPr>
        <w:t>借助智慧化管理手段，加强从水源到用户的全程监控与调度，实现供水系统安全、高效、低碳运行。</w:t>
      </w:r>
    </w:p>
    <w:p w14:paraId="52BD5FF6">
      <w:pPr>
        <w:pStyle w:val="39"/>
        <w:keepNext w:val="0"/>
        <w:keepLines w:val="0"/>
        <w:pageBreakBefore w:val="0"/>
        <w:widowControl w:val="0"/>
        <w:kinsoku/>
        <w:wordWrap/>
        <w:overflowPunct/>
        <w:topLinePunct w:val="0"/>
        <w:bidi w:val="0"/>
        <w:spacing w:line="560" w:lineRule="exact"/>
        <w:ind w:firstLine="643"/>
        <w:textAlignment w:val="auto"/>
        <w:rPr>
          <w:rFonts w:hint="eastAsia" w:hAnsi="仿宋_GB2312"/>
          <w:b w:val="0"/>
          <w:bCs w:val="0"/>
          <w:color w:val="auto"/>
          <w:highlight w:val="none"/>
          <w:u w:val="none"/>
        </w:rPr>
      </w:pPr>
      <w:r>
        <w:rPr>
          <w:rFonts w:hint="eastAsia" w:hAnsi="仿宋_GB2312" w:cs="仿宋_GB2312"/>
          <w:b w:val="0"/>
          <w:bCs w:val="0"/>
          <w:color w:val="auto"/>
          <w:highlight w:val="none"/>
          <w:u w:val="none"/>
          <w:shd w:val="clear" w:color="auto" w:fill="auto"/>
          <w:lang w:val="en-US" w:eastAsia="zh-CN"/>
        </w:rPr>
        <w:t>深化地下水保护。落实</w:t>
      </w:r>
      <w:r>
        <w:rPr>
          <w:rFonts w:hint="eastAsia" w:hAnsi="仿宋_GB2312" w:cs="仿宋_GB2312"/>
          <w:b w:val="0"/>
          <w:bCs w:val="0"/>
          <w:color w:val="auto"/>
          <w:highlight w:val="none"/>
          <w:u w:val="none"/>
          <w:shd w:val="clear" w:color="auto" w:fill="auto"/>
        </w:rPr>
        <w:t>地下水</w:t>
      </w:r>
      <w:r>
        <w:rPr>
          <w:rFonts w:hint="eastAsia" w:hAnsi="仿宋_GB2312" w:cs="仿宋_GB2312"/>
          <w:b w:val="0"/>
          <w:bCs w:val="0"/>
          <w:color w:val="auto"/>
          <w:highlight w:val="none"/>
          <w:u w:val="none"/>
          <w:shd w:val="clear" w:color="auto" w:fill="auto"/>
          <w:lang w:val="en-US" w:eastAsia="zh-CN"/>
        </w:rPr>
        <w:t>取水总量和水位</w:t>
      </w:r>
      <w:r>
        <w:rPr>
          <w:rFonts w:hint="eastAsia" w:hAnsi="仿宋_GB2312" w:cs="仿宋_GB2312"/>
          <w:b w:val="0"/>
          <w:bCs w:val="0"/>
          <w:color w:val="auto"/>
          <w:highlight w:val="none"/>
          <w:u w:val="none"/>
          <w:shd w:val="clear" w:color="auto" w:fill="auto"/>
        </w:rPr>
        <w:t>“双控”</w:t>
      </w:r>
      <w:r>
        <w:rPr>
          <w:rFonts w:hint="eastAsia" w:hAnsi="仿宋_GB2312" w:cs="仿宋_GB2312"/>
          <w:b w:val="0"/>
          <w:bCs w:val="0"/>
          <w:color w:val="auto"/>
          <w:highlight w:val="none"/>
          <w:u w:val="none"/>
          <w:shd w:val="clear" w:color="auto" w:fill="auto"/>
          <w:lang w:val="en-US" w:eastAsia="zh-CN"/>
        </w:rPr>
        <w:t>刚性约束</w:t>
      </w:r>
      <w:r>
        <w:rPr>
          <w:rFonts w:hint="eastAsia" w:hAnsi="仿宋_GB2312" w:cs="仿宋_GB2312"/>
          <w:b w:val="0"/>
          <w:bCs w:val="0"/>
          <w:color w:val="auto"/>
          <w:highlight w:val="none"/>
          <w:u w:val="none"/>
          <w:shd w:val="clear" w:color="auto" w:fill="auto"/>
          <w:lang w:eastAsia="zh-CN"/>
        </w:rPr>
        <w:t>，</w:t>
      </w:r>
      <w:r>
        <w:rPr>
          <w:rFonts w:hint="eastAsia" w:hAnsi="仿宋_GB2312"/>
          <w:b w:val="0"/>
          <w:bCs w:val="0"/>
          <w:color w:val="auto"/>
          <w:highlight w:val="none"/>
          <w:u w:val="none"/>
        </w:rPr>
        <w:t>严格取用水规范管理，严厉打击非法取用地下水行为。</w:t>
      </w:r>
      <w:r>
        <w:rPr>
          <w:rFonts w:hint="eastAsia" w:hAnsi="仿宋_GB2312"/>
          <w:b w:val="0"/>
          <w:bCs w:val="0"/>
          <w:color w:val="auto"/>
          <w:highlight w:val="none"/>
          <w:u w:val="none"/>
          <w:lang w:val="en-US" w:eastAsia="zh-CN"/>
        </w:rPr>
        <w:t>严格执行新一轮地下水限制开采区管理要求，</w:t>
      </w:r>
      <w:r>
        <w:rPr>
          <w:rFonts w:hint="eastAsia" w:hAnsi="仿宋_GB2312"/>
          <w:b w:val="0"/>
          <w:bCs w:val="0"/>
          <w:color w:val="auto"/>
          <w:highlight w:val="none"/>
          <w:u w:val="none"/>
        </w:rPr>
        <w:t>对李遂-杨镇-大孙各庄一带限制开采区实行最严格管控。持续开展地下水环境状况调查评估，逐步构建符合本区实际的地下水污染源分级管控体系。开展</w:t>
      </w:r>
      <w:r>
        <w:rPr>
          <w:rFonts w:hint="eastAsia" w:hAnsi="仿宋_GB2312"/>
          <w:b w:val="0"/>
          <w:bCs w:val="0"/>
          <w:color w:val="auto"/>
          <w:highlight w:val="none"/>
          <w:u w:val="none"/>
          <w:shd w:val="clear" w:color="auto" w:fill="auto"/>
          <w:lang w:val="en-US" w:eastAsia="zh-CN"/>
        </w:rPr>
        <w:t>重点区域</w:t>
      </w:r>
      <w:r>
        <w:rPr>
          <w:rFonts w:hint="eastAsia" w:hAnsi="仿宋_GB2312"/>
          <w:b w:val="0"/>
          <w:bCs w:val="0"/>
          <w:color w:val="auto"/>
          <w:highlight w:val="none"/>
          <w:u w:val="none"/>
          <w:shd w:val="clear" w:color="auto" w:fill="auto"/>
        </w:rPr>
        <w:t>地</w:t>
      </w:r>
      <w:r>
        <w:rPr>
          <w:rFonts w:hint="eastAsia" w:hAnsi="仿宋_GB2312"/>
          <w:b w:val="0"/>
          <w:bCs w:val="0"/>
          <w:color w:val="auto"/>
          <w:highlight w:val="none"/>
          <w:u w:val="none"/>
        </w:rPr>
        <w:t>下水污染隐患专项排查与整治。结合市级地下水氮污染防控研究部署，在风险较高区域探索适合平原区特点的农业面源氮污染防控路径</w:t>
      </w:r>
      <w:r>
        <w:rPr>
          <w:rFonts w:hint="eastAsia" w:hAnsi="仿宋_GB2312"/>
          <w:b w:val="0"/>
          <w:bCs w:val="0"/>
          <w:color w:val="auto"/>
          <w:highlight w:val="none"/>
          <w:u w:val="none"/>
          <w:lang w:eastAsia="zh-CN"/>
        </w:rPr>
        <w:t>。</w:t>
      </w:r>
    </w:p>
    <w:p w14:paraId="1B7A53C9">
      <w:pPr>
        <w:pStyle w:val="39"/>
        <w:keepNext w:val="0"/>
        <w:keepLines w:val="0"/>
        <w:pageBreakBefore w:val="0"/>
        <w:widowControl w:val="0"/>
        <w:kinsoku/>
        <w:wordWrap/>
        <w:overflowPunct/>
        <w:topLinePunct w:val="0"/>
        <w:bidi w:val="0"/>
        <w:spacing w:line="560" w:lineRule="exact"/>
        <w:ind w:firstLine="643"/>
        <w:textAlignment w:val="auto"/>
        <w:rPr>
          <w:rFonts w:hint="default" w:hAnsi="仿宋_GB2312" w:eastAsia="仿宋_GB2312" w:cs="仿宋_GB2312"/>
          <w:b w:val="0"/>
          <w:bCs w:val="0"/>
          <w:color w:val="auto"/>
          <w:highlight w:val="none"/>
          <w:u w:val="none"/>
          <w:lang w:val="en-US" w:eastAsia="zh-CN"/>
        </w:rPr>
      </w:pPr>
      <w:r>
        <w:rPr>
          <w:rFonts w:hint="eastAsia" w:ascii="仿宋_GB2312" w:hAnsi="仿宋_GB2312" w:cs="仿宋_GB2312"/>
          <w:b w:val="0"/>
          <w:bCs w:val="0"/>
          <w:color w:val="auto"/>
          <w:kern w:val="2"/>
          <w:highlight w:val="none"/>
          <w:u w:val="none"/>
          <w:shd w:val="clear" w:color="auto" w:fill="auto"/>
          <w:lang w:val="en-US" w:eastAsia="zh-CN"/>
        </w:rPr>
        <w:t>深化</w:t>
      </w:r>
      <w:r>
        <w:rPr>
          <w:rFonts w:hint="eastAsia" w:ascii="仿宋_GB2312" w:hAnsi="仿宋_GB2312" w:cs="仿宋_GB2312"/>
          <w:b w:val="0"/>
          <w:bCs w:val="0"/>
          <w:color w:val="auto"/>
          <w:kern w:val="2"/>
          <w:highlight w:val="none"/>
          <w:u w:val="none"/>
          <w:shd w:val="clear" w:color="auto" w:fill="auto"/>
        </w:rPr>
        <w:t>节水型社会建设</w:t>
      </w:r>
      <w:r>
        <w:rPr>
          <w:rFonts w:hint="eastAsia" w:ascii="仿宋_GB2312" w:hAnsi="仿宋_GB2312" w:cs="仿宋_GB2312"/>
          <w:b w:val="0"/>
          <w:bCs w:val="0"/>
          <w:color w:val="auto"/>
          <w:kern w:val="2"/>
          <w:highlight w:val="none"/>
          <w:u w:val="none"/>
          <w:shd w:val="clear" w:color="auto" w:fill="auto"/>
          <w:lang w:eastAsia="zh-CN"/>
        </w:rPr>
        <w:t>。</w:t>
      </w:r>
      <w:r>
        <w:rPr>
          <w:rFonts w:hint="eastAsia" w:hAnsi="仿宋_GB2312"/>
          <w:b w:val="0"/>
          <w:bCs w:val="0"/>
          <w:color w:val="auto"/>
          <w:highlight w:val="none"/>
          <w:u w:val="none"/>
        </w:rPr>
        <w:t>完善再生水利用制度与激励政策，构建分区分类、精准配置的再生水输配体系。拓展再生水多元利用场景，推动市政杂用、园林绿化、工业冷却等领域再生水应替尽替。建立健全再生水利用长效机制，</w:t>
      </w:r>
      <w:r>
        <w:rPr>
          <w:rFonts w:hint="eastAsia" w:hAnsi="仿宋_GB2312"/>
          <w:b w:val="0"/>
          <w:bCs w:val="0"/>
          <w:color w:val="auto"/>
          <w:highlight w:val="none"/>
          <w:u w:val="none"/>
          <w:lang w:val="en-US" w:eastAsia="zh-CN"/>
        </w:rPr>
        <w:t>持续</w:t>
      </w:r>
      <w:r>
        <w:rPr>
          <w:rFonts w:hint="eastAsia" w:hAnsi="仿宋_GB2312"/>
          <w:b w:val="0"/>
          <w:bCs w:val="0"/>
          <w:color w:val="auto"/>
          <w:highlight w:val="none"/>
          <w:u w:val="none"/>
        </w:rPr>
        <w:t>拓宽利用</w:t>
      </w:r>
      <w:r>
        <w:rPr>
          <w:rFonts w:hint="eastAsia" w:hAnsi="仿宋_GB2312"/>
          <w:b w:val="0"/>
          <w:bCs w:val="0"/>
          <w:color w:val="auto"/>
          <w:highlight w:val="none"/>
          <w:u w:val="none"/>
          <w:lang w:val="en-US" w:eastAsia="zh-CN"/>
        </w:rPr>
        <w:t>领域、扩大利用规模</w:t>
      </w:r>
      <w:r>
        <w:rPr>
          <w:rFonts w:hint="eastAsia" w:hAnsi="仿宋_GB2312"/>
          <w:b w:val="0"/>
          <w:bCs w:val="0"/>
          <w:color w:val="auto"/>
          <w:highlight w:val="none"/>
          <w:u w:val="none"/>
        </w:rPr>
        <w:t>，</w:t>
      </w:r>
      <w:r>
        <w:rPr>
          <w:rFonts w:hint="eastAsia" w:hAnsi="仿宋_GB2312"/>
          <w:b w:val="0"/>
          <w:bCs w:val="0"/>
          <w:color w:val="auto"/>
          <w:highlight w:val="none"/>
          <w:u w:val="none"/>
          <w:lang w:val="en-US" w:eastAsia="zh-CN"/>
        </w:rPr>
        <w:t>不断</w:t>
      </w:r>
      <w:r>
        <w:rPr>
          <w:rFonts w:hint="eastAsia" w:hAnsi="仿宋_GB2312"/>
          <w:b w:val="0"/>
          <w:bCs w:val="0"/>
          <w:color w:val="auto"/>
          <w:highlight w:val="none"/>
          <w:u w:val="none"/>
        </w:rPr>
        <w:t>提升</w:t>
      </w:r>
      <w:r>
        <w:rPr>
          <w:rFonts w:hint="eastAsia" w:hAnsi="仿宋_GB2312"/>
          <w:b w:val="0"/>
          <w:bCs w:val="0"/>
          <w:color w:val="auto"/>
          <w:highlight w:val="none"/>
          <w:u w:val="none"/>
          <w:lang w:val="en-US" w:eastAsia="zh-CN"/>
        </w:rPr>
        <w:t>再生水</w:t>
      </w:r>
      <w:r>
        <w:rPr>
          <w:rFonts w:hint="eastAsia" w:hAnsi="仿宋_GB2312"/>
          <w:b w:val="0"/>
          <w:bCs w:val="0"/>
          <w:color w:val="auto"/>
          <w:highlight w:val="none"/>
          <w:u w:val="none"/>
        </w:rPr>
        <w:t>配置效率</w:t>
      </w:r>
      <w:r>
        <w:rPr>
          <w:rFonts w:hint="eastAsia" w:hAnsi="仿宋_GB2312"/>
          <w:b w:val="0"/>
          <w:bCs w:val="0"/>
          <w:color w:val="auto"/>
          <w:highlight w:val="none"/>
          <w:u w:val="none"/>
          <w:lang w:val="en-US" w:eastAsia="zh-CN"/>
        </w:rPr>
        <w:t>和综合利用水平</w:t>
      </w:r>
      <w:r>
        <w:rPr>
          <w:rFonts w:hint="eastAsia" w:hAnsi="仿宋_GB2312"/>
          <w:b w:val="0"/>
          <w:bCs w:val="0"/>
          <w:color w:val="auto"/>
          <w:highlight w:val="none"/>
          <w:u w:val="none"/>
        </w:rPr>
        <w:t>。</w:t>
      </w:r>
    </w:p>
    <w:p w14:paraId="364A592C">
      <w:pPr>
        <w:pStyle w:val="5"/>
        <w:keepNext w:val="0"/>
        <w:keepLines w:val="0"/>
        <w:pageBreakBefore w:val="0"/>
        <w:widowControl w:val="0"/>
        <w:numPr>
          <w:ilvl w:val="0"/>
          <w:numId w:val="7"/>
        </w:numPr>
        <w:kinsoku/>
        <w:wordWrap/>
        <w:overflowPunct/>
        <w:topLinePunct w:val="0"/>
        <w:bidi w:val="0"/>
        <w:ind w:left="640" w:firstLineChars="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提升水环境质量</w:t>
      </w:r>
    </w:p>
    <w:p w14:paraId="2CEF19EB">
      <w:pPr>
        <w:keepNext w:val="0"/>
        <w:keepLines w:val="0"/>
        <w:pageBreakBefore w:val="0"/>
        <w:widowControl w:val="0"/>
        <w:kinsoku/>
        <w:wordWrap/>
        <w:overflowPunct/>
        <w:topLinePunct w:val="0"/>
        <w:bidi w:val="0"/>
        <w:textAlignment w:val="auto"/>
        <w:rPr>
          <w:rFonts w:hint="eastAsia" w:eastAsia="仿宋_GB2312"/>
          <w:b w:val="0"/>
          <w:bCs w:val="0"/>
          <w:color w:val="auto"/>
          <w:highlight w:val="none"/>
          <w:u w:val="none"/>
          <w:lang w:eastAsia="zh-CN"/>
        </w:rPr>
      </w:pPr>
      <w:r>
        <w:rPr>
          <w:rFonts w:hint="eastAsia" w:ascii="仿宋_GB2312" w:hAnsi="仿宋_GB2312" w:cs="仿宋_GB2312"/>
          <w:b w:val="0"/>
          <w:bCs w:val="0"/>
          <w:color w:val="auto"/>
          <w:highlight w:val="none"/>
          <w:u w:val="none"/>
          <w:shd w:val="clear" w:color="auto" w:fill="auto"/>
        </w:rPr>
        <w:t>加强</w:t>
      </w:r>
      <w:r>
        <w:rPr>
          <w:rFonts w:hint="eastAsia" w:ascii="仿宋_GB2312" w:hAnsi="仿宋_GB2312" w:cs="仿宋_GB2312"/>
          <w:b w:val="0"/>
          <w:bCs w:val="0"/>
          <w:color w:val="auto"/>
          <w:highlight w:val="none"/>
          <w:u w:val="none"/>
          <w:shd w:val="clear" w:color="auto" w:fill="auto"/>
          <w:lang w:val="en-US" w:eastAsia="zh-CN"/>
        </w:rPr>
        <w:t>城镇</w:t>
      </w:r>
      <w:r>
        <w:rPr>
          <w:rFonts w:hint="eastAsia" w:ascii="仿宋_GB2312" w:hAnsi="仿宋_GB2312" w:cs="仿宋_GB2312"/>
          <w:b w:val="0"/>
          <w:bCs w:val="0"/>
          <w:color w:val="auto"/>
          <w:highlight w:val="none"/>
          <w:u w:val="none"/>
          <w:shd w:val="clear" w:color="auto" w:fill="auto"/>
        </w:rPr>
        <w:t>污水</w:t>
      </w:r>
      <w:r>
        <w:rPr>
          <w:rFonts w:hint="eastAsia" w:ascii="仿宋_GB2312" w:hAnsi="仿宋_GB2312" w:cs="仿宋_GB2312"/>
          <w:b w:val="0"/>
          <w:bCs w:val="0"/>
          <w:color w:val="auto"/>
          <w:highlight w:val="none"/>
          <w:u w:val="none"/>
          <w:shd w:val="clear" w:color="auto" w:fill="auto"/>
          <w:lang w:val="en-US" w:eastAsia="zh-CN"/>
        </w:rPr>
        <w:t>收集处理。推进污水处理设施建设与提质增效，</w:t>
      </w:r>
      <w:r>
        <w:rPr>
          <w:rFonts w:hint="eastAsia"/>
          <w:b w:val="0"/>
          <w:bCs w:val="0"/>
          <w:color w:val="auto"/>
          <w:highlight w:val="none"/>
          <w:u w:val="none"/>
        </w:rPr>
        <w:t>系统提升污水收集处理能力</w:t>
      </w:r>
      <w:r>
        <w:rPr>
          <w:rFonts w:hint="eastAsia"/>
          <w:b w:val="0"/>
          <w:bCs w:val="0"/>
          <w:color w:val="auto"/>
          <w:highlight w:val="none"/>
          <w:u w:val="none"/>
          <w:lang w:val="en-US" w:eastAsia="zh-CN"/>
        </w:rPr>
        <w:t>。推动既有污水处理设施提标改造，</w:t>
      </w:r>
      <w:r>
        <w:rPr>
          <w:rFonts w:hint="eastAsia"/>
          <w:b w:val="0"/>
          <w:bCs w:val="0"/>
          <w:color w:val="auto"/>
          <w:highlight w:val="none"/>
          <w:u w:val="none"/>
        </w:rPr>
        <w:t>强化工业集聚区污水收集处理，确保园区废水应收尽收、稳定达标。推动重点行业企业污水治理与排放水平绩效分级，配合市级在制药等行业开展试点，引领行业绿色升级</w:t>
      </w:r>
      <w:r>
        <w:rPr>
          <w:rFonts w:hint="eastAsia" w:ascii="仿宋_GB2312" w:hAnsi="仿宋_GB2312" w:cs="仿宋_GB2312"/>
          <w:b w:val="0"/>
          <w:bCs w:val="0"/>
          <w:color w:val="auto"/>
          <w:highlight w:val="none"/>
          <w:u w:val="none"/>
          <w:shd w:val="clear" w:color="auto" w:fill="auto"/>
          <w:lang w:val="en-US" w:eastAsia="zh-CN"/>
        </w:rPr>
        <w:t>。推动污水处理行业绿色低碳转型，强化污水处理过程甲烷收集与处理；推广应用低碳处理工艺及高效节能设备。结合再生水厂新建及改建工程，在屋顶、闲置绿地等空间布局光伏发电设施，持续深化</w:t>
      </w:r>
      <w:r>
        <w:rPr>
          <w:rFonts w:hint="eastAsia" w:ascii="仿宋_GB2312" w:hAnsi="仿宋_GB2312" w:cs="仿宋_GB2312"/>
          <w:b w:val="0"/>
          <w:bCs w:val="0"/>
          <w:color w:val="auto"/>
          <w:highlight w:val="none"/>
          <w:u w:val="none"/>
          <w:shd w:val="clear" w:color="auto" w:fill="auto"/>
        </w:rPr>
        <w:t>“污水处理+光伏”</w:t>
      </w:r>
      <w:r>
        <w:rPr>
          <w:rFonts w:hint="eastAsia" w:ascii="仿宋_GB2312" w:hAnsi="仿宋_GB2312" w:cs="仿宋_GB2312"/>
          <w:b w:val="0"/>
          <w:bCs w:val="0"/>
          <w:color w:val="auto"/>
          <w:highlight w:val="none"/>
          <w:u w:val="none"/>
          <w:shd w:val="clear" w:color="auto" w:fill="auto"/>
          <w:lang w:val="en-US" w:eastAsia="zh-CN"/>
        </w:rPr>
        <w:t>模式应用。全面开展排水管网系统</w:t>
      </w:r>
      <w:r>
        <w:rPr>
          <w:rFonts w:hint="eastAsia"/>
          <w:b w:val="0"/>
          <w:bCs w:val="0"/>
          <w:color w:val="auto"/>
          <w:highlight w:val="none"/>
          <w:u w:val="none"/>
          <w:lang w:val="en-US" w:eastAsia="zh-CN"/>
        </w:rPr>
        <w:t>排查诊断，聚焦老城区、城乡接合部等重点区域，优先推进雨污合流管网分流改造。</w:t>
      </w:r>
      <w:r>
        <w:rPr>
          <w:rFonts w:hint="eastAsia"/>
          <w:b w:val="0"/>
          <w:bCs w:val="0"/>
          <w:color w:val="auto"/>
          <w:highlight w:val="none"/>
          <w:u w:val="none"/>
        </w:rPr>
        <w:t>将工业园区内部管网及与市政管网衔接点位纳入排查重点，严防工业废水通过雨水管网直排</w:t>
      </w:r>
      <w:r>
        <w:rPr>
          <w:rFonts w:hint="eastAsia" w:ascii="仿宋_GB2312" w:hAnsi="仿宋_GB2312" w:cs="仿宋_GB2312"/>
          <w:b w:val="0"/>
          <w:bCs w:val="0"/>
          <w:color w:val="auto"/>
          <w:highlight w:val="none"/>
          <w:u w:val="none"/>
          <w:shd w:val="clear" w:color="auto" w:fill="auto"/>
          <w:lang w:val="en-US" w:eastAsia="zh-CN"/>
        </w:rPr>
        <w:t>。</w:t>
      </w:r>
    </w:p>
    <w:p w14:paraId="53DF457E">
      <w:pPr>
        <w:keepNext w:val="0"/>
        <w:keepLines w:val="0"/>
        <w:pageBreakBefore w:val="0"/>
        <w:widowControl w:val="0"/>
        <w:kinsoku/>
        <w:wordWrap/>
        <w:overflowPunct/>
        <w:topLinePunct w:val="0"/>
        <w:bidi w:val="0"/>
        <w:ind w:firstLine="643"/>
        <w:textAlignment w:val="auto"/>
        <w:rPr>
          <w:rFonts w:hint="eastAsia" w:ascii="仿宋_GB2312" w:hAnsi="仿宋_GB2312" w:cs="仿宋_GB2312"/>
          <w:b w:val="0"/>
          <w:bCs w:val="0"/>
          <w:color w:val="auto"/>
          <w:highlight w:val="none"/>
          <w:u w:val="none"/>
          <w:shd w:val="clear" w:color="auto" w:fill="auto"/>
          <w:lang w:eastAsia="zh-CN"/>
        </w:rPr>
      </w:pPr>
      <w:r>
        <w:rPr>
          <w:rFonts w:hint="eastAsia" w:ascii="仿宋_GB2312" w:hAnsi="仿宋_GB2312" w:cs="仿宋_GB2312"/>
          <w:b w:val="0"/>
          <w:bCs w:val="0"/>
          <w:color w:val="auto"/>
          <w:highlight w:val="none"/>
          <w:u w:val="none"/>
          <w:shd w:val="clear" w:color="auto" w:fill="auto"/>
          <w:lang w:val="en-US" w:eastAsia="zh-CN"/>
        </w:rPr>
        <w:t>加强入河排污口监督管理。</w:t>
      </w:r>
      <w:r>
        <w:rPr>
          <w:rFonts w:hint="eastAsia" w:hAnsi="仿宋_GB2312" w:cs="仿宋_GB2312"/>
          <w:b w:val="0"/>
          <w:bCs w:val="0"/>
          <w:color w:val="auto"/>
          <w:highlight w:val="none"/>
          <w:u w:val="none"/>
          <w:shd w:val="clear" w:color="auto" w:fill="auto"/>
          <w:lang w:val="en-US" w:eastAsia="zh-CN"/>
        </w:rPr>
        <w:t>严格落实《入河排污口监督管理办法》，强化规划与环评的引领作用，严把新增排污口源头准入关，切实执行分级审核与登记管理制度。</w:t>
      </w:r>
      <w:r>
        <w:rPr>
          <w:rFonts w:hint="eastAsia" w:hAnsi="仿宋_GB2312" w:cs="仿宋_GB2312"/>
          <w:b w:val="0"/>
          <w:bCs w:val="0"/>
          <w:color w:val="auto"/>
          <w:highlight w:val="none"/>
          <w:u w:val="none"/>
          <w:shd w:val="clear" w:color="auto" w:fill="auto"/>
        </w:rPr>
        <w:t>健全“受纳水体—排污口—排污通道—排污单位”全链条监管体系，实现对排污口设置、排放行为到受纳水体的全流程管控。</w:t>
      </w:r>
      <w:r>
        <w:rPr>
          <w:rFonts w:hint="eastAsia" w:hAnsi="仿宋_GB2312" w:cs="仿宋_GB2312"/>
          <w:b w:val="0"/>
          <w:bCs w:val="0"/>
          <w:color w:val="auto"/>
          <w:highlight w:val="none"/>
          <w:u w:val="none"/>
          <w:shd w:val="clear" w:color="auto" w:fill="auto"/>
          <w:lang w:val="en-US" w:eastAsia="zh-CN"/>
        </w:rPr>
        <w:t>巩固排污口规范化建设成效，持续做好</w:t>
      </w:r>
      <w:r>
        <w:rPr>
          <w:rFonts w:hint="eastAsia" w:hAnsi="仿宋_GB2312" w:cs="仿宋_GB2312"/>
          <w:b w:val="0"/>
          <w:bCs w:val="0"/>
          <w:color w:val="auto"/>
          <w:highlight w:val="none"/>
          <w:u w:val="none"/>
          <w:shd w:val="clear" w:color="auto" w:fill="auto"/>
        </w:rPr>
        <w:t>排污口分类命名、编码</w:t>
      </w:r>
      <w:r>
        <w:rPr>
          <w:rFonts w:hint="eastAsia" w:hAnsi="仿宋_GB2312" w:cs="仿宋_GB2312"/>
          <w:b w:val="0"/>
          <w:bCs w:val="0"/>
          <w:color w:val="auto"/>
          <w:highlight w:val="none"/>
          <w:u w:val="none"/>
          <w:shd w:val="clear" w:color="auto" w:fill="auto"/>
          <w:lang w:eastAsia="zh-CN"/>
        </w:rPr>
        <w:t>及</w:t>
      </w:r>
      <w:r>
        <w:rPr>
          <w:rFonts w:hint="eastAsia" w:hAnsi="仿宋_GB2312" w:cs="仿宋_GB2312"/>
          <w:b w:val="0"/>
          <w:bCs w:val="0"/>
          <w:color w:val="auto"/>
          <w:highlight w:val="none"/>
          <w:u w:val="none"/>
          <w:shd w:val="clear" w:color="auto" w:fill="auto"/>
        </w:rPr>
        <w:t>档案动态更新，夯实精细化监管基础</w:t>
      </w:r>
      <w:r>
        <w:rPr>
          <w:rFonts w:hint="eastAsia" w:hAnsi="仿宋_GB2312" w:cs="仿宋_GB2312"/>
          <w:b w:val="0"/>
          <w:bCs w:val="0"/>
          <w:color w:val="auto"/>
          <w:highlight w:val="none"/>
          <w:u w:val="none"/>
          <w:shd w:val="clear" w:color="auto" w:fill="auto"/>
          <w:lang w:val="en-US" w:eastAsia="zh-CN"/>
        </w:rPr>
        <w:t>。</w:t>
      </w:r>
      <w:r>
        <w:rPr>
          <w:rFonts w:hint="eastAsia" w:hAnsi="仿宋_GB2312" w:cs="仿宋_GB2312"/>
          <w:b w:val="0"/>
          <w:bCs w:val="0"/>
          <w:color w:val="auto"/>
          <w:highlight w:val="none"/>
          <w:u w:val="none"/>
          <w:shd w:val="clear" w:color="auto" w:fill="auto"/>
        </w:rPr>
        <w:t>加强入河排污口分级分类精细化监管，根据不同排污口类型及受纳水体敏感性，实施差异化管控措施，推动排污口规范化建设</w:t>
      </w:r>
      <w:r>
        <w:rPr>
          <w:rFonts w:hint="eastAsia" w:hAnsi="仿宋_GB2312" w:cs="仿宋_GB2312"/>
          <w:b w:val="0"/>
          <w:bCs w:val="0"/>
          <w:color w:val="auto"/>
          <w:highlight w:val="none"/>
          <w:u w:val="none"/>
          <w:shd w:val="clear" w:color="auto" w:fill="auto"/>
          <w:lang w:eastAsia="zh-CN"/>
        </w:rPr>
        <w:t>。</w:t>
      </w:r>
      <w:r>
        <w:rPr>
          <w:rFonts w:hint="eastAsia" w:hAnsi="仿宋_GB2312" w:cs="仿宋_GB2312"/>
          <w:b w:val="0"/>
          <w:bCs w:val="0"/>
          <w:color w:val="auto"/>
          <w:highlight w:val="none"/>
          <w:u w:val="none"/>
          <w:shd w:val="clear" w:color="auto" w:fill="auto"/>
        </w:rPr>
        <w:t>健全“排查、监测、溯源、整治”长效机制，强化分级分类监管与常态化巡查执法</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推动违规排污口动态清零，持续改善水环境质量。</w:t>
      </w:r>
    </w:p>
    <w:p w14:paraId="727F220D">
      <w:pPr>
        <w:keepNext w:val="0"/>
        <w:keepLines w:val="0"/>
        <w:pageBreakBefore w:val="0"/>
        <w:widowControl w:val="0"/>
        <w:kinsoku/>
        <w:wordWrap/>
        <w:overflowPunct/>
        <w:topLinePunct w:val="0"/>
        <w:bidi w:val="0"/>
        <w:ind w:firstLine="643"/>
        <w:textAlignment w:val="auto"/>
        <w:rPr>
          <w:rFonts w:hint="eastAsia" w:ascii="仿宋_GB2312" w:hAnsi="仿宋_GB2312" w:cs="仿宋_GB2312"/>
          <w:b w:val="0"/>
          <w:bCs w:val="0"/>
          <w:color w:val="auto"/>
          <w:highlight w:val="none"/>
          <w:u w:val="none"/>
          <w:shd w:val="clear" w:color="auto" w:fill="auto"/>
          <w:lang w:eastAsia="zh-CN"/>
        </w:rPr>
      </w:pPr>
      <w:r>
        <w:rPr>
          <w:rFonts w:hint="eastAsia" w:ascii="仿宋_GB2312" w:hAnsi="仿宋_GB2312" w:cs="仿宋_GB2312"/>
          <w:b w:val="0"/>
          <w:bCs w:val="0"/>
          <w:color w:val="auto"/>
          <w:highlight w:val="none"/>
          <w:u w:val="none"/>
          <w:shd w:val="clear" w:color="auto" w:fill="auto"/>
          <w:lang w:eastAsia="zh-CN"/>
        </w:rPr>
        <w:t>加强汛期水环境监管。</w:t>
      </w:r>
      <w:r>
        <w:rPr>
          <w:rFonts w:hint="eastAsia" w:ascii="仿宋_GB2312" w:hAnsi="仿宋_GB2312" w:cs="仿宋_GB2312"/>
          <w:b w:val="0"/>
          <w:bCs w:val="0"/>
          <w:color w:val="auto"/>
          <w:highlight w:val="none"/>
          <w:u w:val="none"/>
          <w:shd w:val="clear" w:color="auto" w:fill="auto"/>
        </w:rPr>
        <w:t>健全“气象+水质”预警与应急响应机制，强化</w:t>
      </w:r>
      <w:r>
        <w:rPr>
          <w:rFonts w:hint="eastAsia" w:ascii="仿宋_GB2312" w:hAnsi="仿宋_GB2312" w:cs="仿宋_GB2312"/>
          <w:b w:val="0"/>
          <w:bCs w:val="0"/>
          <w:color w:val="auto"/>
          <w:highlight w:val="none"/>
          <w:u w:val="none"/>
          <w:shd w:val="clear" w:color="auto" w:fill="auto"/>
          <w:lang w:val="en-US" w:eastAsia="zh-CN"/>
        </w:rPr>
        <w:t>多</w:t>
      </w:r>
      <w:r>
        <w:rPr>
          <w:rFonts w:hint="eastAsia" w:ascii="仿宋_GB2312" w:hAnsi="仿宋_GB2312" w:cs="仿宋_GB2312"/>
          <w:b w:val="0"/>
          <w:bCs w:val="0"/>
          <w:color w:val="auto"/>
          <w:highlight w:val="none"/>
          <w:u w:val="none"/>
          <w:shd w:val="clear" w:color="auto" w:fill="auto"/>
        </w:rPr>
        <w:t>部门联合会商研判，推动雨情、水情、水质数据信息共享与应急联动。充分发挥河长制统筹协调作用，压实各级河长汛期水环境监管责任，确保问题早发现、快处置。</w:t>
      </w:r>
      <w:r>
        <w:rPr>
          <w:rFonts w:hint="eastAsia" w:ascii="仿宋_GB2312" w:hAnsi="仿宋_GB2312" w:cs="仿宋_GB2312"/>
          <w:b w:val="0"/>
          <w:bCs w:val="0"/>
          <w:color w:val="auto"/>
          <w:highlight w:val="none"/>
          <w:u w:val="none"/>
          <w:shd w:val="clear" w:color="auto" w:fill="auto"/>
          <w:lang w:val="en-US" w:eastAsia="zh-CN"/>
        </w:rPr>
        <w:t>深化“清管行动”</w:t>
      </w:r>
      <w:r>
        <w:rPr>
          <w:rFonts w:hint="eastAsia" w:cs="仿宋_GB2312"/>
          <w:b w:val="0"/>
          <w:bCs w:val="0"/>
          <w:color w:val="auto"/>
          <w:highlight w:val="none"/>
          <w:u w:val="none"/>
          <w:shd w:val="clear" w:color="auto" w:fill="auto"/>
          <w:lang w:val="en-US" w:eastAsia="zh-CN"/>
        </w:rPr>
        <w:t>，</w:t>
      </w:r>
      <w:r>
        <w:rPr>
          <w:rFonts w:hint="eastAsia" w:ascii="仿宋_GB2312" w:hAnsi="仿宋_GB2312" w:cs="仿宋_GB2312"/>
          <w:b w:val="0"/>
          <w:bCs w:val="0"/>
          <w:color w:val="auto"/>
          <w:highlight w:val="none"/>
          <w:u w:val="none"/>
          <w:shd w:val="clear" w:color="auto" w:fill="auto"/>
        </w:rPr>
        <w:t>汛前全面开展雨水管网、入河排口排查整治，对雨篦子、边沟、排水口等关键设施实施拉网式清掏，建立问题台账，严厉整治向雨水设施倾倒排污、雨污错接混接等行为</w:t>
      </w:r>
      <w:r>
        <w:rPr>
          <w:rFonts w:hint="eastAsia"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lang w:eastAsia="zh-CN"/>
        </w:rPr>
        <w:t>稳步推进雨污分流改造，强化雨污错接混接问题巡查整治，从源头削减雨天污水直排。实施汛期全过程精细化管控，加强对污水收集处理系统调度。降雨前预先降低管网水位、增强泵站抽升能力，释放管网调蓄空间，最大</w:t>
      </w:r>
      <w:r>
        <w:rPr>
          <w:rFonts w:hint="eastAsia" w:cs="仿宋_GB2312"/>
          <w:b w:val="0"/>
          <w:bCs w:val="0"/>
          <w:color w:val="auto"/>
          <w:highlight w:val="none"/>
          <w:u w:val="none"/>
          <w:shd w:val="clear" w:color="auto" w:fill="auto"/>
          <w:lang w:val="en-US" w:eastAsia="zh-CN"/>
        </w:rPr>
        <w:t>限度</w:t>
      </w:r>
      <w:r>
        <w:rPr>
          <w:rFonts w:hint="eastAsia" w:ascii="仿宋_GB2312" w:hAnsi="仿宋_GB2312" w:cs="仿宋_GB2312"/>
          <w:b w:val="0"/>
          <w:bCs w:val="0"/>
          <w:color w:val="auto"/>
          <w:highlight w:val="none"/>
          <w:u w:val="none"/>
          <w:shd w:val="clear" w:color="auto" w:fill="auto"/>
          <w:lang w:eastAsia="zh-CN"/>
        </w:rPr>
        <w:t>控制雨天溢流污染。</w:t>
      </w:r>
      <w:r>
        <w:rPr>
          <w:rFonts w:hint="eastAsia" w:ascii="仿宋_GB2312" w:hAnsi="仿宋_GB2312" w:cs="仿宋_GB2312"/>
          <w:b w:val="0"/>
          <w:bCs w:val="0"/>
          <w:color w:val="auto"/>
          <w:highlight w:val="none"/>
          <w:u w:val="none"/>
          <w:shd w:val="clear" w:color="auto" w:fill="auto"/>
        </w:rPr>
        <w:t>因地制宜推进重点区域溢流污水调蓄净化设施建设。</w:t>
      </w:r>
    </w:p>
    <w:p w14:paraId="0F54309D">
      <w:pPr>
        <w:pStyle w:val="5"/>
        <w:keepNext w:val="0"/>
        <w:keepLines w:val="0"/>
        <w:pageBreakBefore w:val="0"/>
        <w:widowControl w:val="0"/>
        <w:numPr>
          <w:ilvl w:val="0"/>
          <w:numId w:val="7"/>
        </w:numPr>
        <w:kinsoku/>
        <w:wordWrap/>
        <w:overflowPunct/>
        <w:topLinePunct w:val="0"/>
        <w:bidi w:val="0"/>
        <w:ind w:left="640" w:firstLineChars="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强化水生态保护修复</w:t>
      </w:r>
    </w:p>
    <w:p w14:paraId="5AD179C9">
      <w:pPr>
        <w:pStyle w:val="39"/>
        <w:keepNext w:val="0"/>
        <w:keepLines w:val="0"/>
        <w:pageBreakBefore w:val="0"/>
        <w:widowControl w:val="0"/>
        <w:kinsoku/>
        <w:wordWrap/>
        <w:overflowPunct/>
        <w:topLinePunct w:val="0"/>
        <w:bidi w:val="0"/>
        <w:spacing w:line="560" w:lineRule="exact"/>
        <w:ind w:firstLine="627" w:firstLineChars="196"/>
        <w:textAlignment w:val="auto"/>
        <w:rPr>
          <w:rFonts w:hint="eastAsia" w:ascii="仿宋_GB2312" w:hAnsi="仿宋_GB2312" w:cs="仿宋_GB2312"/>
          <w:b w:val="0"/>
          <w:bCs w:val="0"/>
          <w:color w:val="auto"/>
          <w:highlight w:val="none"/>
          <w:u w:val="none"/>
          <w:shd w:val="clear" w:color="auto" w:fill="auto"/>
        </w:rPr>
      </w:pPr>
      <w:r>
        <w:rPr>
          <w:rFonts w:hint="eastAsia" w:ascii="仿宋_GB2312" w:hAnsi="仿宋_GB2312" w:cs="仿宋_GB2312"/>
          <w:b w:val="0"/>
          <w:bCs w:val="0"/>
          <w:color w:val="auto"/>
          <w:kern w:val="2"/>
          <w:highlight w:val="none"/>
          <w:u w:val="none"/>
          <w:shd w:val="clear" w:color="auto" w:fill="auto"/>
          <w:lang w:val="en-US" w:eastAsia="zh-CN"/>
        </w:rPr>
        <w:t>保障河湖生态流量</w:t>
      </w:r>
      <w:r>
        <w:rPr>
          <w:rFonts w:hint="eastAsia" w:ascii="仿宋_GB2312" w:hAnsi="仿宋_GB2312" w:cs="仿宋_GB2312"/>
          <w:b w:val="0"/>
          <w:bCs w:val="0"/>
          <w:color w:val="auto"/>
          <w:kern w:val="2"/>
          <w:highlight w:val="none"/>
          <w:u w:val="none"/>
          <w:shd w:val="clear" w:color="auto" w:fill="auto"/>
          <w:lang w:eastAsia="zh-CN"/>
        </w:rPr>
        <w:t>。</w:t>
      </w:r>
      <w:r>
        <w:rPr>
          <w:rFonts w:hint="eastAsia" w:ascii="仿宋_GB2312" w:hAnsi="仿宋_GB2312" w:cs="仿宋_GB2312"/>
          <w:b w:val="0"/>
          <w:bCs w:val="0"/>
          <w:color w:val="auto"/>
          <w:kern w:val="2"/>
          <w:highlight w:val="none"/>
          <w:u w:val="none"/>
          <w:shd w:val="clear" w:color="auto" w:fill="auto"/>
          <w:lang w:val="en-US" w:eastAsia="zh-CN"/>
        </w:rPr>
        <w:t>强化河湖生态流量保障，</w:t>
      </w:r>
      <w:r>
        <w:rPr>
          <w:rFonts w:hint="eastAsia" w:ascii="仿宋_GB2312" w:hAnsi="仿宋_GB2312" w:cs="仿宋_GB2312"/>
          <w:b w:val="0"/>
          <w:bCs w:val="0"/>
          <w:color w:val="auto"/>
          <w:kern w:val="2"/>
          <w:highlight w:val="none"/>
          <w:u w:val="none"/>
          <w:shd w:val="clear" w:color="auto" w:fill="auto"/>
        </w:rPr>
        <w:t>落实国家《河湖生态流量管理办法（试行）》要求，分级开展</w:t>
      </w:r>
      <w:r>
        <w:rPr>
          <w:rFonts w:hint="eastAsia" w:hAnsi="仿宋_GB2312" w:cs="仿宋_GB2312"/>
          <w:b w:val="0"/>
          <w:bCs w:val="0"/>
          <w:color w:val="auto"/>
          <w:kern w:val="2"/>
          <w:highlight w:val="none"/>
          <w:u w:val="none"/>
          <w:shd w:val="clear" w:color="auto" w:fill="auto"/>
          <w:lang w:val="en-US" w:eastAsia="zh-CN"/>
        </w:rPr>
        <w:t>重点</w:t>
      </w:r>
      <w:r>
        <w:rPr>
          <w:rFonts w:hint="eastAsia" w:ascii="仿宋_GB2312" w:hAnsi="仿宋_GB2312" w:cs="仿宋_GB2312"/>
          <w:b w:val="0"/>
          <w:bCs w:val="0"/>
          <w:color w:val="auto"/>
          <w:kern w:val="2"/>
          <w:highlight w:val="none"/>
          <w:u w:val="none"/>
          <w:shd w:val="clear" w:color="auto" w:fill="auto"/>
        </w:rPr>
        <w:t>河湖主要控制断面生态流量管控指标确定。</w:t>
      </w:r>
      <w:r>
        <w:rPr>
          <w:rFonts w:hint="eastAsia" w:ascii="仿宋_GB2312" w:hAnsi="仿宋_GB2312" w:cs="仿宋_GB2312"/>
          <w:b w:val="0"/>
          <w:bCs w:val="0"/>
          <w:color w:val="auto"/>
          <w:kern w:val="2"/>
          <w:highlight w:val="none"/>
          <w:u w:val="none"/>
          <w:shd w:val="clear" w:color="auto" w:fill="auto"/>
          <w:lang w:val="en-US" w:eastAsia="zh-CN"/>
        </w:rPr>
        <w:t>健全生态流量监测</w:t>
      </w:r>
      <w:r>
        <w:rPr>
          <w:rFonts w:hint="eastAsia" w:ascii="仿宋_GB2312" w:hAnsi="仿宋_GB2312" w:cs="仿宋_GB2312"/>
          <w:b w:val="0"/>
          <w:bCs w:val="0"/>
          <w:color w:val="auto"/>
          <w:kern w:val="2"/>
          <w:highlight w:val="none"/>
          <w:u w:val="none"/>
          <w:shd w:val="clear" w:color="auto" w:fill="auto"/>
        </w:rPr>
        <w:t>预警</w:t>
      </w:r>
      <w:r>
        <w:rPr>
          <w:rFonts w:hint="eastAsia" w:ascii="仿宋_GB2312" w:hAnsi="仿宋_GB2312" w:cs="仿宋_GB2312"/>
          <w:b w:val="0"/>
          <w:bCs w:val="0"/>
          <w:color w:val="auto"/>
          <w:kern w:val="2"/>
          <w:highlight w:val="none"/>
          <w:u w:val="none"/>
          <w:shd w:val="clear" w:color="auto" w:fill="auto"/>
          <w:lang w:val="en-US" w:eastAsia="zh-CN"/>
        </w:rPr>
        <w:t>与信息共享</w:t>
      </w:r>
      <w:r>
        <w:rPr>
          <w:rFonts w:hint="eastAsia" w:ascii="仿宋_GB2312" w:hAnsi="仿宋_GB2312" w:cs="仿宋_GB2312"/>
          <w:b w:val="0"/>
          <w:bCs w:val="0"/>
          <w:color w:val="auto"/>
          <w:kern w:val="2"/>
          <w:highlight w:val="none"/>
          <w:u w:val="none"/>
          <w:shd w:val="clear" w:color="auto" w:fill="auto"/>
        </w:rPr>
        <w:t>机制</w:t>
      </w:r>
      <w:r>
        <w:rPr>
          <w:rFonts w:hint="eastAsia" w:hAnsi="仿宋_GB2312" w:cs="仿宋_GB2312"/>
          <w:b w:val="0"/>
          <w:bCs w:val="0"/>
          <w:color w:val="auto"/>
          <w:kern w:val="2"/>
          <w:highlight w:val="none"/>
          <w:u w:val="none"/>
          <w:shd w:val="clear" w:color="auto" w:fill="auto"/>
          <w:lang w:eastAsia="zh-CN"/>
        </w:rPr>
        <w:t>，</w:t>
      </w:r>
      <w:r>
        <w:rPr>
          <w:rFonts w:hint="eastAsia" w:hAnsi="仿宋_GB2312" w:cs="仿宋_GB2312"/>
          <w:b w:val="0"/>
          <w:bCs w:val="0"/>
          <w:color w:val="auto"/>
          <w:kern w:val="2"/>
          <w:highlight w:val="none"/>
          <w:u w:val="none"/>
          <w:shd w:val="clear" w:color="auto" w:fill="auto"/>
          <w:lang w:val="en-US" w:eastAsia="zh-CN"/>
        </w:rPr>
        <w:t>强化</w:t>
      </w:r>
      <w:r>
        <w:rPr>
          <w:rFonts w:hint="eastAsia" w:ascii="仿宋_GB2312" w:hAnsi="仿宋_GB2312" w:cs="仿宋_GB2312"/>
          <w:b w:val="0"/>
          <w:bCs w:val="0"/>
          <w:color w:val="auto"/>
          <w:kern w:val="2"/>
          <w:highlight w:val="none"/>
          <w:u w:val="none"/>
          <w:shd w:val="clear" w:color="auto" w:fill="auto"/>
        </w:rPr>
        <w:t>重点水利工程生态流量泄放设施改造与运行监管</w:t>
      </w:r>
      <w:r>
        <w:rPr>
          <w:rFonts w:hint="eastAsia" w:hAnsi="仿宋_GB2312" w:cs="仿宋_GB2312"/>
          <w:b w:val="0"/>
          <w:bCs w:val="0"/>
          <w:color w:val="auto"/>
          <w:kern w:val="2"/>
          <w:highlight w:val="none"/>
          <w:u w:val="none"/>
          <w:shd w:val="clear" w:color="auto" w:fill="auto"/>
          <w:lang w:eastAsia="zh-CN"/>
        </w:rPr>
        <w:t>，</w:t>
      </w:r>
      <w:r>
        <w:rPr>
          <w:rFonts w:hint="eastAsia" w:ascii="仿宋_GB2312" w:hAnsi="仿宋_GB2312" w:cs="仿宋_GB2312"/>
          <w:b w:val="0"/>
          <w:bCs w:val="0"/>
          <w:color w:val="auto"/>
          <w:kern w:val="2"/>
          <w:highlight w:val="none"/>
          <w:u w:val="none"/>
          <w:shd w:val="clear" w:color="auto" w:fill="auto"/>
          <w:lang w:val="en-US" w:eastAsia="zh-CN"/>
        </w:rPr>
        <w:t>完善</w:t>
      </w:r>
      <w:r>
        <w:rPr>
          <w:rFonts w:hint="eastAsia" w:ascii="仿宋_GB2312" w:hAnsi="仿宋_GB2312" w:cs="仿宋_GB2312"/>
          <w:b w:val="0"/>
          <w:bCs w:val="0"/>
          <w:color w:val="auto"/>
          <w:kern w:val="2"/>
          <w:highlight w:val="none"/>
          <w:u w:val="none"/>
          <w:shd w:val="clear" w:color="auto" w:fill="auto"/>
        </w:rPr>
        <w:t>重点河湖生态流量监测网络。</w:t>
      </w:r>
      <w:r>
        <w:rPr>
          <w:rFonts w:hint="eastAsia" w:hAnsi="仿宋_GB2312"/>
          <w:b w:val="0"/>
          <w:bCs w:val="0"/>
          <w:color w:val="auto"/>
          <w:highlight w:val="none"/>
          <w:u w:val="none"/>
          <w:shd w:val="clear" w:color="auto" w:fill="auto"/>
        </w:rPr>
        <w:t>加强</w:t>
      </w:r>
      <w:r>
        <w:rPr>
          <w:rFonts w:hint="eastAsia" w:hAnsi="仿宋_GB2312"/>
          <w:b w:val="0"/>
          <w:bCs w:val="0"/>
          <w:color w:val="auto"/>
          <w:highlight w:val="none"/>
          <w:u w:val="none"/>
        </w:rPr>
        <w:t>潮白河重要水源涵养区生态保护，建立健全多部门联动、多水源互补的生态补水长效机制。到2030年</w:t>
      </w:r>
      <w:r>
        <w:rPr>
          <w:rFonts w:hint="eastAsia" w:ascii="仿宋_GB2312" w:hAnsi="仿宋_GB2312" w:cs="仿宋_GB2312"/>
          <w:b w:val="0"/>
          <w:bCs w:val="0"/>
          <w:color w:val="auto"/>
          <w:highlight w:val="none"/>
          <w:u w:val="none"/>
          <w:shd w:val="clear" w:color="auto" w:fill="auto"/>
          <w:lang w:val="en-US" w:eastAsia="zh-CN"/>
        </w:rPr>
        <w:t>，</w:t>
      </w:r>
      <w:r>
        <w:rPr>
          <w:rFonts w:hint="eastAsia" w:hAnsi="仿宋_GB2312" w:cs="仿宋_GB2312"/>
          <w:b w:val="0"/>
          <w:bCs w:val="0"/>
          <w:color w:val="auto"/>
          <w:highlight w:val="none"/>
          <w:u w:val="none"/>
          <w:shd w:val="clear" w:color="auto" w:fill="auto"/>
          <w:lang w:val="en-US" w:eastAsia="zh-CN"/>
        </w:rPr>
        <w:t>潮白河干流</w:t>
      </w:r>
      <w:r>
        <w:rPr>
          <w:rFonts w:hint="eastAsia" w:ascii="仿宋_GB2312" w:hAnsi="仿宋_GB2312" w:cs="仿宋_GB2312"/>
          <w:b w:val="0"/>
          <w:bCs w:val="0"/>
          <w:color w:val="auto"/>
          <w:highlight w:val="none"/>
          <w:u w:val="none"/>
          <w:shd w:val="clear" w:color="auto" w:fill="auto"/>
        </w:rPr>
        <w:t>基本实现全年有水</w:t>
      </w:r>
      <w:r>
        <w:rPr>
          <w:rFonts w:hint="eastAsia" w:ascii="仿宋_GB2312" w:hAnsi="仿宋_GB2312" w:cs="仿宋_GB2312"/>
          <w:b w:val="0"/>
          <w:bCs w:val="0"/>
          <w:color w:val="auto"/>
          <w:highlight w:val="none"/>
          <w:u w:val="none"/>
          <w:shd w:val="clear" w:color="auto" w:fill="auto"/>
          <w:lang w:val="en-US" w:eastAsia="zh-CN"/>
        </w:rPr>
        <w:t>不断流</w:t>
      </w:r>
      <w:r>
        <w:rPr>
          <w:rFonts w:hint="eastAsia" w:ascii="仿宋_GB2312" w:hAnsi="仿宋_GB2312" w:cs="仿宋_GB2312"/>
          <w:b w:val="0"/>
          <w:bCs w:val="0"/>
          <w:color w:val="auto"/>
          <w:highlight w:val="none"/>
          <w:u w:val="none"/>
          <w:shd w:val="clear" w:color="auto" w:fill="auto"/>
        </w:rPr>
        <w:t>。</w:t>
      </w:r>
    </w:p>
    <w:p w14:paraId="6C069C4D">
      <w:pPr>
        <w:pStyle w:val="19"/>
        <w:keepNext w:val="0"/>
        <w:keepLines w:val="0"/>
        <w:pageBreakBefore w:val="0"/>
        <w:widowControl w:val="0"/>
        <w:kinsoku/>
        <w:wordWrap/>
        <w:overflowPunct/>
        <w:topLinePunct w:val="0"/>
        <w:bidi w:val="0"/>
        <w:spacing w:after="0"/>
        <w:textAlignment w:val="auto"/>
        <w:rPr>
          <w:rFonts w:hint="eastAsia"/>
          <w:b w:val="0"/>
          <w:bCs w:val="0"/>
          <w:color w:val="auto"/>
          <w:highlight w:val="none"/>
          <w:u w:val="none"/>
          <w:lang w:val="en-US" w:eastAsia="zh-CN"/>
        </w:rPr>
      </w:pPr>
      <w:r>
        <w:rPr>
          <w:rFonts w:hint="eastAsia" w:hAnsi="仿宋_GB2312" w:cs="仿宋_GB2312"/>
          <w:b w:val="0"/>
          <w:bCs w:val="0"/>
          <w:color w:val="auto"/>
          <w:kern w:val="2"/>
          <w:highlight w:val="none"/>
          <w:u w:val="none"/>
          <w:shd w:val="clear" w:color="auto" w:fill="auto"/>
          <w:lang w:val="en-US" w:eastAsia="zh-CN"/>
        </w:rPr>
        <w:t>强化河湖生境保护与生物多样性修复。落实</w:t>
      </w:r>
      <w:r>
        <w:rPr>
          <w:rFonts w:hint="eastAsia" w:hAnsi="仿宋_GB2312"/>
          <w:b w:val="0"/>
          <w:bCs w:val="0"/>
          <w:kern w:val="2"/>
          <w:highlight w:val="none"/>
          <w:u w:val="none"/>
          <w:shd w:val="clear" w:color="auto" w:fill="auto"/>
        </w:rPr>
        <w:t>国家及北京市水生态保护与修复相关部署，配合市级开展重点河湖水生态调查评估与健康评价。深化水生态智慧监测体系建设，优化河湖水质监测网络布局</w:t>
      </w:r>
      <w:r>
        <w:rPr>
          <w:rFonts w:hint="eastAsia" w:hAnsi="仿宋_GB2312"/>
          <w:b w:val="0"/>
          <w:bCs w:val="0"/>
          <w:kern w:val="2"/>
          <w:highlight w:val="none"/>
          <w:u w:val="none"/>
          <w:shd w:val="clear" w:color="auto" w:fill="auto"/>
          <w:lang w:eastAsia="zh-CN"/>
        </w:rPr>
        <w:t>，</w:t>
      </w:r>
      <w:r>
        <w:rPr>
          <w:rFonts w:hint="eastAsia" w:hAnsi="仿宋_GB2312"/>
          <w:b w:val="0"/>
          <w:bCs w:val="0"/>
          <w:kern w:val="2"/>
          <w:highlight w:val="none"/>
          <w:u w:val="none"/>
          <w:shd w:val="clear" w:color="auto" w:fill="auto"/>
        </w:rPr>
        <w:t>在唐指山水库、潮白河、温榆河等重点区域，</w:t>
      </w:r>
      <w:r>
        <w:rPr>
          <w:rFonts w:hint="eastAsia" w:hAnsi="仿宋_GB2312"/>
          <w:b w:val="0"/>
          <w:bCs w:val="0"/>
          <w:kern w:val="2"/>
          <w:highlight w:val="none"/>
          <w:u w:val="none"/>
          <w:shd w:val="clear" w:color="auto" w:fill="auto"/>
          <w:lang w:val="en-US" w:eastAsia="zh-CN"/>
        </w:rPr>
        <w:t>结合</w:t>
      </w:r>
      <w:r>
        <w:rPr>
          <w:rFonts w:hint="eastAsia" w:hAnsi="仿宋_GB2312"/>
          <w:b w:val="0"/>
          <w:bCs w:val="0"/>
          <w:kern w:val="2"/>
          <w:highlight w:val="none"/>
          <w:u w:val="none"/>
          <w:shd w:val="clear" w:color="auto" w:fill="auto"/>
        </w:rPr>
        <w:t>生态补水</w:t>
      </w:r>
      <w:r>
        <w:rPr>
          <w:rFonts w:hint="eastAsia" w:hAnsi="仿宋_GB2312"/>
          <w:b w:val="0"/>
          <w:bCs w:val="0"/>
          <w:kern w:val="2"/>
          <w:highlight w:val="none"/>
          <w:u w:val="none"/>
          <w:shd w:val="clear" w:color="auto" w:fill="auto"/>
          <w:lang w:val="en-US" w:eastAsia="zh-CN"/>
        </w:rPr>
        <w:t>时序，因地制宜开展河湖生境复苏</w:t>
      </w:r>
      <w:r>
        <w:rPr>
          <w:rFonts w:hint="eastAsia"/>
          <w:b w:val="0"/>
          <w:bCs w:val="0"/>
          <w:highlight w:val="none"/>
          <w:u w:val="none"/>
        </w:rPr>
        <w:t>。严格实施水生态空间管控，</w:t>
      </w:r>
      <w:r>
        <w:rPr>
          <w:rFonts w:hint="eastAsia" w:hAnsi="仿宋_GB2312"/>
          <w:b w:val="0"/>
          <w:bCs w:val="0"/>
          <w:kern w:val="2"/>
          <w:highlight w:val="none"/>
          <w:u w:val="none"/>
          <w:shd w:val="clear" w:color="auto" w:fill="auto"/>
        </w:rPr>
        <w:t>因地制宜推进重点河段硬质岸线生态化改造，优化生态缓冲带建设。</w:t>
      </w:r>
    </w:p>
    <w:p w14:paraId="1F60B08B">
      <w:pPr>
        <w:pStyle w:val="19"/>
        <w:keepNext w:val="0"/>
        <w:keepLines w:val="0"/>
        <w:pageBreakBefore w:val="0"/>
        <w:widowControl w:val="0"/>
        <w:kinsoku/>
        <w:wordWrap/>
        <w:overflowPunct/>
        <w:topLinePunct w:val="0"/>
        <w:bidi w:val="0"/>
        <w:spacing w:after="0"/>
        <w:textAlignment w:val="auto"/>
        <w:rPr>
          <w:rFonts w:hint="eastAsia" w:cs="仿宋_GB2312"/>
          <w:b w:val="0"/>
          <w:bCs w:val="0"/>
          <w:color w:val="auto"/>
          <w:highlight w:val="none"/>
          <w:u w:val="none"/>
          <w:shd w:val="clear" w:color="auto" w:fill="auto"/>
          <w:lang w:val="en-US" w:eastAsia="zh-CN"/>
        </w:rPr>
      </w:pPr>
      <w:r>
        <w:rPr>
          <w:rFonts w:hint="eastAsia" w:ascii="仿宋_GB2312" w:hAnsi="仿宋_GB2312" w:cs="仿宋_GB2312"/>
          <w:b w:val="0"/>
          <w:bCs w:val="0"/>
          <w:color w:val="auto"/>
          <w:highlight w:val="none"/>
          <w:u w:val="none"/>
          <w:shd w:val="clear" w:color="auto" w:fill="auto"/>
          <w:lang w:val="en-US" w:eastAsia="zh-CN"/>
        </w:rPr>
        <w:t>加快推进美丽河湖保护与建设</w:t>
      </w:r>
      <w:r>
        <w:rPr>
          <w:rFonts w:hint="eastAsia" w:ascii="仿宋_GB2312" w:hAnsi="仿宋_GB2312" w:cs="仿宋_GB2312"/>
          <w:b w:val="0"/>
          <w:bCs w:val="0"/>
          <w:color w:val="auto"/>
          <w:highlight w:val="none"/>
          <w:u w:val="none"/>
          <w:shd w:val="clear" w:color="auto" w:fill="auto"/>
        </w:rPr>
        <w:t>。</w:t>
      </w:r>
      <w:r>
        <w:rPr>
          <w:rFonts w:hint="eastAsia" w:cs="仿宋_GB2312"/>
          <w:b w:val="0"/>
          <w:bCs w:val="0"/>
          <w:color w:val="auto"/>
          <w:highlight w:val="none"/>
          <w:u w:val="none"/>
          <w:shd w:val="clear" w:color="auto" w:fill="auto"/>
          <w:lang w:val="en-US" w:eastAsia="zh-CN"/>
        </w:rPr>
        <w:t>推动</w:t>
      </w:r>
      <w:r>
        <w:rPr>
          <w:rFonts w:hint="default" w:ascii="仿宋_GB2312" w:hAnsi="仿宋_GB2312" w:cs="仿宋_GB2312"/>
          <w:b w:val="0"/>
          <w:bCs w:val="0"/>
          <w:color w:val="auto"/>
          <w:highlight w:val="none"/>
          <w:u w:val="none"/>
          <w:shd w:val="clear" w:color="auto" w:fill="auto"/>
          <w:lang w:val="en-US" w:eastAsia="zh-CN"/>
        </w:rPr>
        <w:t>实施潮白河美丽河湖保护与建设</w:t>
      </w:r>
      <w:r>
        <w:rPr>
          <w:rFonts w:hint="eastAsia" w:cs="仿宋_GB2312"/>
          <w:b w:val="0"/>
          <w:bCs w:val="0"/>
          <w:color w:val="auto"/>
          <w:highlight w:val="none"/>
          <w:u w:val="none"/>
          <w:shd w:val="clear" w:color="auto" w:fill="auto"/>
          <w:lang w:val="en-US" w:eastAsia="zh-CN"/>
        </w:rPr>
        <w:t>，打造人水和谐的</w:t>
      </w:r>
      <w:r>
        <w:rPr>
          <w:rFonts w:hint="default" w:cs="仿宋_GB2312"/>
          <w:b w:val="0"/>
          <w:bCs w:val="0"/>
          <w:color w:val="auto"/>
          <w:highlight w:val="none"/>
          <w:u w:val="none"/>
          <w:shd w:val="clear" w:color="auto" w:fill="auto"/>
        </w:rPr>
        <w:t>滨水空间</w:t>
      </w:r>
      <w:r>
        <w:rPr>
          <w:rFonts w:hint="eastAsia" w:cs="仿宋_GB2312"/>
          <w:b w:val="0"/>
          <w:bCs w:val="0"/>
          <w:color w:val="auto"/>
          <w:highlight w:val="none"/>
          <w:u w:val="none"/>
          <w:shd w:val="clear" w:color="auto" w:fill="auto"/>
          <w:lang w:eastAsia="zh-CN"/>
        </w:rPr>
        <w:t>。</w:t>
      </w:r>
      <w:r>
        <w:rPr>
          <w:rFonts w:hint="default" w:cs="仿宋_GB2312"/>
          <w:b w:val="0"/>
          <w:bCs w:val="0"/>
          <w:color w:val="auto"/>
          <w:highlight w:val="none"/>
          <w:u w:val="none"/>
          <w:shd w:val="clear" w:color="auto" w:fill="auto"/>
        </w:rPr>
        <w:t>推广生态护岸、构建水生植物群落、建设生态缓冲带等近自然手法，着力打造连续完整、功能复合的蓝绿生态廊道</w:t>
      </w:r>
      <w:r>
        <w:rPr>
          <w:rFonts w:hint="eastAsia" w:cs="仿宋_GB2312"/>
          <w:b w:val="0"/>
          <w:bCs w:val="0"/>
          <w:color w:val="auto"/>
          <w:highlight w:val="none"/>
          <w:u w:val="none"/>
          <w:shd w:val="clear" w:color="auto" w:fill="auto"/>
          <w:lang w:eastAsia="zh-CN"/>
        </w:rPr>
        <w:t>，</w:t>
      </w:r>
      <w:r>
        <w:rPr>
          <w:rFonts w:hint="default" w:cs="仿宋_GB2312"/>
          <w:b w:val="0"/>
          <w:bCs w:val="0"/>
          <w:color w:val="auto"/>
          <w:highlight w:val="none"/>
          <w:u w:val="none"/>
          <w:shd w:val="clear" w:color="auto" w:fill="auto"/>
        </w:rPr>
        <w:t>构建贯通新老城区、衔接森林公园与城市组团的亲水网络。</w:t>
      </w:r>
      <w:r>
        <w:rPr>
          <w:rFonts w:hint="eastAsia" w:cs="仿宋_GB2312"/>
          <w:b w:val="0"/>
          <w:bCs w:val="0"/>
          <w:color w:val="auto"/>
          <w:highlight w:val="none"/>
          <w:u w:val="none"/>
          <w:shd w:val="clear" w:color="auto" w:fill="auto"/>
        </w:rPr>
        <w:t>构建贯通滨水的慢行系统、观景平台</w:t>
      </w:r>
      <w:r>
        <w:rPr>
          <w:rFonts w:hint="eastAsia" w:cs="仿宋_GB2312"/>
          <w:b w:val="0"/>
          <w:bCs w:val="0"/>
          <w:color w:val="auto"/>
          <w:highlight w:val="none"/>
          <w:u w:val="none"/>
          <w:shd w:val="clear" w:color="auto" w:fill="auto"/>
          <w:lang w:eastAsia="zh-CN"/>
        </w:rPr>
        <w:t>和</w:t>
      </w:r>
      <w:r>
        <w:rPr>
          <w:rFonts w:hint="eastAsia" w:cs="仿宋_GB2312"/>
          <w:b w:val="0"/>
          <w:bCs w:val="0"/>
          <w:color w:val="auto"/>
          <w:highlight w:val="none"/>
          <w:u w:val="none"/>
          <w:shd w:val="clear" w:color="auto" w:fill="auto"/>
        </w:rPr>
        <w:t>休憩设施，优先选用乡土植物营造特色景观，推动滨水空间开放共享与城景融合</w:t>
      </w:r>
      <w:r>
        <w:rPr>
          <w:rFonts w:hint="eastAsia" w:cs="仿宋_GB2312"/>
          <w:b w:val="0"/>
          <w:bCs w:val="0"/>
          <w:color w:val="auto"/>
          <w:highlight w:val="none"/>
          <w:u w:val="none"/>
          <w:shd w:val="clear" w:color="auto" w:fill="auto"/>
          <w:lang w:eastAsia="zh-CN"/>
        </w:rPr>
        <w:t>，</w:t>
      </w:r>
      <w:r>
        <w:rPr>
          <w:rFonts w:hint="eastAsia" w:cs="仿宋_GB2312"/>
          <w:b w:val="0"/>
          <w:bCs w:val="0"/>
          <w:color w:val="auto"/>
          <w:highlight w:val="none"/>
          <w:u w:val="none"/>
          <w:shd w:val="clear" w:color="auto" w:fill="auto"/>
        </w:rPr>
        <w:t>有序推进绿道连通工程</w:t>
      </w:r>
      <w:r>
        <w:rPr>
          <w:rFonts w:hint="eastAsia" w:cs="仿宋_GB2312"/>
          <w:b w:val="0"/>
          <w:bCs w:val="0"/>
          <w:color w:val="auto"/>
          <w:highlight w:val="none"/>
          <w:u w:val="none"/>
          <w:shd w:val="clear" w:color="auto" w:fill="auto"/>
          <w:lang w:eastAsia="zh-CN"/>
        </w:rPr>
        <w:t>。</w:t>
      </w:r>
      <w:r>
        <w:rPr>
          <w:rFonts w:hint="eastAsia" w:cs="仿宋_GB2312"/>
          <w:b w:val="0"/>
          <w:bCs w:val="0"/>
          <w:color w:val="auto"/>
          <w:highlight w:val="none"/>
          <w:u w:val="none"/>
          <w:shd w:val="clear" w:color="auto" w:fill="auto"/>
          <w:lang w:val="en-US" w:eastAsia="zh-CN"/>
        </w:rPr>
        <w:t>到2030年，美丽河湖建成率达到70%。</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23A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141B8F08">
            <w:pPr>
              <w:widowControl/>
              <w:ind w:firstLine="560" w:firstLineChars="200"/>
              <w:jc w:val="center"/>
              <w:rPr>
                <w:rFonts w:hint="eastAsia"/>
                <w:b w:val="0"/>
                <w:bCs w:val="0"/>
                <w:sz w:val="28"/>
                <w:szCs w:val="28"/>
                <w:highlight w:val="none"/>
                <w:u w:val="none"/>
              </w:rPr>
            </w:pPr>
            <w:r>
              <w:rPr>
                <w:rFonts w:hint="eastAsia" w:cs="仿宋_GB2312"/>
                <w:b w:val="0"/>
                <w:bCs w:val="0"/>
                <w:sz w:val="28"/>
                <w:szCs w:val="28"/>
                <w:highlight w:val="none"/>
                <w:u w:val="none"/>
                <w:lang w:val="en-US" w:eastAsia="zh-CN"/>
              </w:rPr>
              <w:t>专栏3  美丽河湖保护与建设</w:t>
            </w:r>
          </w:p>
        </w:tc>
      </w:tr>
      <w:tr w14:paraId="1541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5F75A9BC">
            <w:pPr>
              <w:widowControl/>
              <w:jc w:val="left"/>
              <w:rPr>
                <w:rFonts w:hint="eastAsia"/>
                <w:b w:val="0"/>
                <w:bCs w:val="0"/>
                <w:sz w:val="28"/>
                <w:szCs w:val="28"/>
                <w:highlight w:val="none"/>
                <w:u w:val="none"/>
              </w:rPr>
            </w:pPr>
            <w:r>
              <w:rPr>
                <w:rFonts w:hint="default"/>
                <w:b w:val="0"/>
                <w:bCs w:val="0"/>
                <w:sz w:val="28"/>
                <w:szCs w:val="28"/>
                <w:highlight w:val="none"/>
                <w:u w:val="none"/>
              </w:rPr>
              <w:t>供水保障与城乡供水一体化</w:t>
            </w:r>
            <w:r>
              <w:rPr>
                <w:rFonts w:hint="eastAsia"/>
                <w:b w:val="0"/>
                <w:bCs w:val="0"/>
                <w:sz w:val="28"/>
                <w:szCs w:val="28"/>
                <w:highlight w:val="none"/>
                <w:u w:val="none"/>
                <w:lang w:val="en-US" w:eastAsia="zh-CN"/>
              </w:rPr>
              <w:t>行动</w:t>
            </w:r>
            <w:r>
              <w:rPr>
                <w:rFonts w:hint="eastAsia"/>
                <w:b w:val="0"/>
                <w:bCs w:val="0"/>
                <w:sz w:val="28"/>
                <w:szCs w:val="28"/>
                <w:highlight w:val="none"/>
                <w:u w:val="none"/>
                <w:lang w:eastAsia="zh-CN"/>
              </w:rPr>
              <w:t>。</w:t>
            </w:r>
            <w:r>
              <w:rPr>
                <w:rFonts w:hint="eastAsia"/>
                <w:b w:val="0"/>
                <w:bCs w:val="0"/>
                <w:sz w:val="28"/>
                <w:szCs w:val="28"/>
                <w:highlight w:val="none"/>
                <w:u w:val="none"/>
                <w:lang w:val="en-US" w:eastAsia="zh-CN"/>
              </w:rPr>
              <w:t>建成</w:t>
            </w:r>
            <w:r>
              <w:rPr>
                <w:rFonts w:hint="default"/>
                <w:b w:val="0"/>
                <w:bCs w:val="0"/>
                <w:sz w:val="28"/>
                <w:szCs w:val="28"/>
                <w:highlight w:val="none"/>
                <w:u w:val="none"/>
              </w:rPr>
              <w:t>龙湾屯供水厂及配套管线，推进顺义地表水厂及配套输水管线建设。实施供水管网更新改造，加大自备井置换力度。</w:t>
            </w:r>
            <w:r>
              <w:rPr>
                <w:rFonts w:hint="eastAsia"/>
                <w:b w:val="0"/>
                <w:bCs w:val="0"/>
                <w:sz w:val="28"/>
                <w:szCs w:val="28"/>
                <w:highlight w:val="none"/>
                <w:u w:val="none"/>
                <w:lang w:val="en-US" w:eastAsia="zh-CN"/>
              </w:rPr>
              <w:t>完善</w:t>
            </w:r>
            <w:r>
              <w:rPr>
                <w:rFonts w:hint="default"/>
                <w:b w:val="0"/>
                <w:bCs w:val="0"/>
                <w:sz w:val="28"/>
                <w:szCs w:val="28"/>
                <w:highlight w:val="none"/>
                <w:u w:val="none"/>
              </w:rPr>
              <w:t>再生水管网互联互通</w:t>
            </w:r>
            <w:r>
              <w:rPr>
                <w:rFonts w:hint="eastAsia"/>
                <w:b w:val="0"/>
                <w:bCs w:val="0"/>
                <w:sz w:val="28"/>
                <w:szCs w:val="28"/>
                <w:highlight w:val="none"/>
                <w:u w:val="none"/>
                <w:lang w:eastAsia="zh-CN"/>
              </w:rPr>
              <w:t>，</w:t>
            </w:r>
            <w:r>
              <w:rPr>
                <w:rFonts w:hint="default"/>
                <w:b w:val="0"/>
                <w:bCs w:val="0"/>
                <w:sz w:val="28"/>
                <w:szCs w:val="28"/>
                <w:highlight w:val="none"/>
                <w:u w:val="none"/>
              </w:rPr>
              <w:t>实施顺义再生水厂新建中水输水管线工程、南彩再生水厂配套管线工程。</w:t>
            </w:r>
            <w:r>
              <w:rPr>
                <w:rFonts w:hint="eastAsia"/>
                <w:b w:val="0"/>
                <w:bCs w:val="0"/>
                <w:sz w:val="28"/>
                <w:szCs w:val="28"/>
                <w:highlight w:val="none"/>
                <w:u w:val="none"/>
                <w:lang w:val="en-US" w:eastAsia="zh-CN"/>
              </w:rPr>
              <w:t>开展饮用水源地规范化建设。</w:t>
            </w:r>
            <w:r>
              <w:rPr>
                <w:rFonts w:hint="eastAsia"/>
                <w:b w:val="0"/>
                <w:bCs w:val="0"/>
                <w:sz w:val="28"/>
                <w:szCs w:val="28"/>
                <w:highlight w:val="none"/>
                <w:u w:val="none"/>
              </w:rPr>
              <w:t>推进生活垃圾填埋场、工业集聚区等重点区域地下水污染隐患排查与整治</w:t>
            </w:r>
            <w:r>
              <w:rPr>
                <w:rFonts w:hint="eastAsia"/>
                <w:b w:val="0"/>
                <w:bCs w:val="0"/>
                <w:sz w:val="28"/>
                <w:szCs w:val="28"/>
                <w:highlight w:val="none"/>
                <w:u w:val="none"/>
                <w:lang w:eastAsia="zh-CN"/>
              </w:rPr>
              <w:t>。</w:t>
            </w:r>
          </w:p>
          <w:p w14:paraId="065218F1">
            <w:pPr>
              <w:widowControl/>
              <w:jc w:val="left"/>
              <w:rPr>
                <w:rFonts w:hint="eastAsia"/>
                <w:b w:val="0"/>
                <w:bCs w:val="0"/>
                <w:sz w:val="28"/>
                <w:szCs w:val="28"/>
                <w:highlight w:val="none"/>
                <w:u w:val="none"/>
                <w:lang w:val="en-US" w:eastAsia="zh-CN"/>
              </w:rPr>
            </w:pPr>
            <w:r>
              <w:rPr>
                <w:rFonts w:hint="default"/>
                <w:b w:val="0"/>
                <w:bCs w:val="0"/>
                <w:sz w:val="28"/>
                <w:szCs w:val="28"/>
                <w:highlight w:val="none"/>
                <w:u w:val="none"/>
              </w:rPr>
              <w:t>生态补水与水系连通</w:t>
            </w:r>
            <w:r>
              <w:rPr>
                <w:rFonts w:hint="eastAsia"/>
                <w:b w:val="0"/>
                <w:bCs w:val="0"/>
                <w:sz w:val="28"/>
                <w:szCs w:val="28"/>
                <w:highlight w:val="none"/>
                <w:u w:val="none"/>
                <w:lang w:val="en-US" w:eastAsia="zh-CN"/>
              </w:rPr>
              <w:t>行动</w:t>
            </w:r>
            <w:r>
              <w:rPr>
                <w:rFonts w:hint="eastAsia"/>
                <w:b w:val="0"/>
                <w:bCs w:val="0"/>
                <w:sz w:val="28"/>
                <w:szCs w:val="28"/>
                <w:highlight w:val="none"/>
                <w:u w:val="none"/>
                <w:lang w:eastAsia="zh-CN"/>
              </w:rPr>
              <w:t>。</w:t>
            </w:r>
            <w:r>
              <w:rPr>
                <w:rFonts w:hint="default"/>
                <w:b w:val="0"/>
                <w:bCs w:val="0"/>
                <w:sz w:val="28"/>
                <w:szCs w:val="28"/>
                <w:highlight w:val="none"/>
                <w:u w:val="none"/>
              </w:rPr>
              <w:t>以潮白河顺义段为重点，持续实施生态补水</w:t>
            </w:r>
            <w:r>
              <w:rPr>
                <w:rFonts w:hint="eastAsia"/>
                <w:b w:val="0"/>
                <w:bCs w:val="0"/>
                <w:sz w:val="28"/>
                <w:szCs w:val="28"/>
                <w:highlight w:val="none"/>
                <w:u w:val="none"/>
                <w:lang w:eastAsia="zh-CN"/>
              </w:rPr>
              <w:t>，</w:t>
            </w:r>
            <w:r>
              <w:rPr>
                <w:rFonts w:hint="eastAsia"/>
                <w:b w:val="0"/>
                <w:bCs w:val="0"/>
                <w:sz w:val="28"/>
                <w:szCs w:val="28"/>
                <w:highlight w:val="none"/>
                <w:u w:val="none"/>
                <w:lang w:val="en-US" w:eastAsia="zh-CN"/>
              </w:rPr>
              <w:t>优化多水源配置</w:t>
            </w:r>
            <w:r>
              <w:rPr>
                <w:rFonts w:hint="default"/>
                <w:b w:val="0"/>
                <w:bCs w:val="0"/>
                <w:sz w:val="28"/>
                <w:szCs w:val="28"/>
                <w:highlight w:val="none"/>
                <w:u w:val="none"/>
              </w:rPr>
              <w:t>。完善重点河湖生态流量监测网络。</w:t>
            </w:r>
          </w:p>
          <w:p w14:paraId="049CF0B8">
            <w:pPr>
              <w:widowControl/>
              <w:ind w:firstLine="560" w:firstLineChars="200"/>
              <w:jc w:val="left"/>
              <w:rPr>
                <w:rFonts w:hint="eastAsia"/>
                <w:b w:val="0"/>
                <w:bCs w:val="0"/>
                <w:sz w:val="28"/>
                <w:szCs w:val="28"/>
                <w:highlight w:val="none"/>
                <w:u w:val="none"/>
                <w:lang w:val="en-US" w:eastAsia="zh-CN"/>
              </w:rPr>
            </w:pPr>
            <w:r>
              <w:rPr>
                <w:rFonts w:hint="eastAsia"/>
                <w:b w:val="0"/>
                <w:bCs w:val="0"/>
                <w:sz w:val="28"/>
                <w:szCs w:val="28"/>
                <w:highlight w:val="none"/>
                <w:u w:val="none"/>
                <w:lang w:val="en-US" w:eastAsia="zh-CN"/>
              </w:rPr>
              <w:t>污染治理与排口管控</w:t>
            </w:r>
            <w:r>
              <w:rPr>
                <w:rFonts w:hint="eastAsia"/>
                <w:b w:val="0"/>
                <w:bCs w:val="0"/>
                <w:sz w:val="28"/>
                <w:szCs w:val="28"/>
                <w:highlight w:val="none"/>
                <w:u w:val="none"/>
              </w:rPr>
              <w:t>提质增效行动。</w:t>
            </w:r>
            <w:r>
              <w:rPr>
                <w:rFonts w:hint="default"/>
                <w:b w:val="0"/>
                <w:bCs w:val="0"/>
                <w:sz w:val="28"/>
                <w:szCs w:val="28"/>
                <w:highlight w:val="none"/>
                <w:u w:val="none"/>
              </w:rPr>
              <w:t>建</w:t>
            </w:r>
            <w:r>
              <w:rPr>
                <w:rFonts w:hint="eastAsia"/>
                <w:b w:val="0"/>
                <w:bCs w:val="0"/>
                <w:sz w:val="28"/>
                <w:szCs w:val="28"/>
                <w:highlight w:val="none"/>
                <w:u w:val="none"/>
                <w:lang w:val="en-US" w:eastAsia="zh-CN"/>
              </w:rPr>
              <w:t>成</w:t>
            </w:r>
            <w:r>
              <w:rPr>
                <w:rFonts w:hint="default"/>
                <w:b w:val="0"/>
                <w:bCs w:val="0"/>
                <w:sz w:val="28"/>
                <w:szCs w:val="28"/>
                <w:highlight w:val="none"/>
                <w:u w:val="none"/>
              </w:rPr>
              <w:t>李遂再生水厂（二期）及配套管线，完成既有设施提标改造</w:t>
            </w:r>
            <w:r>
              <w:rPr>
                <w:rFonts w:hint="eastAsia"/>
                <w:b w:val="0"/>
                <w:bCs w:val="0"/>
                <w:sz w:val="28"/>
                <w:szCs w:val="28"/>
                <w:highlight w:val="none"/>
                <w:u w:val="none"/>
                <w:lang w:eastAsia="zh-CN"/>
              </w:rPr>
              <w:t>。</w:t>
            </w:r>
            <w:r>
              <w:rPr>
                <w:rFonts w:hint="eastAsia"/>
                <w:b w:val="0"/>
                <w:bCs w:val="0"/>
                <w:sz w:val="28"/>
                <w:szCs w:val="28"/>
                <w:highlight w:val="none"/>
                <w:u w:val="none"/>
                <w:lang w:val="en-US" w:eastAsia="zh-CN"/>
              </w:rPr>
              <w:t>推进制药行业率先开展</w:t>
            </w:r>
            <w:r>
              <w:rPr>
                <w:rFonts w:hint="default"/>
                <w:b w:val="0"/>
                <w:bCs w:val="0"/>
                <w:sz w:val="28"/>
                <w:szCs w:val="28"/>
                <w:highlight w:val="none"/>
                <w:u w:val="none"/>
              </w:rPr>
              <w:t>污水治理与排放水平绩效分级</w:t>
            </w:r>
            <w:r>
              <w:rPr>
                <w:rFonts w:hint="eastAsia"/>
                <w:b w:val="0"/>
                <w:bCs w:val="0"/>
                <w:sz w:val="28"/>
                <w:szCs w:val="28"/>
                <w:highlight w:val="none"/>
                <w:u w:val="none"/>
                <w:lang w:val="en-US" w:eastAsia="zh-CN"/>
              </w:rPr>
              <w:t>试点。</w:t>
            </w:r>
            <w:r>
              <w:rPr>
                <w:rFonts w:hint="eastAsia"/>
                <w:b w:val="0"/>
                <w:bCs w:val="0"/>
                <w:sz w:val="28"/>
                <w:szCs w:val="28"/>
                <w:highlight w:val="none"/>
                <w:u w:val="none"/>
              </w:rPr>
              <w:t>实施通顺路雨污分流改造及中水管线建设工程、白马路（马坡桥东-小中河）雨水管线工程，</w:t>
            </w:r>
            <w:r>
              <w:rPr>
                <w:rFonts w:hint="eastAsia"/>
                <w:b w:val="0"/>
                <w:bCs w:val="0"/>
                <w:sz w:val="28"/>
                <w:szCs w:val="28"/>
                <w:highlight w:val="none"/>
                <w:u w:val="none"/>
                <w:lang w:val="en-US" w:eastAsia="zh-CN"/>
              </w:rPr>
              <w:t>提升</w:t>
            </w:r>
            <w:r>
              <w:rPr>
                <w:rFonts w:hint="eastAsia"/>
                <w:b w:val="0"/>
                <w:bCs w:val="0"/>
                <w:sz w:val="28"/>
                <w:szCs w:val="28"/>
                <w:highlight w:val="none"/>
                <w:u w:val="none"/>
              </w:rPr>
              <w:t>管网收集、排放与利用效能。</w:t>
            </w:r>
            <w:r>
              <w:rPr>
                <w:rFonts w:hint="eastAsia"/>
                <w:b w:val="0"/>
                <w:bCs w:val="0"/>
                <w:sz w:val="28"/>
                <w:szCs w:val="28"/>
                <w:highlight w:val="none"/>
                <w:u w:val="none"/>
                <w:lang w:val="en-US" w:eastAsia="zh-CN"/>
              </w:rPr>
              <w:t>实施重点排污口“一口一策”规范化建设。</w:t>
            </w:r>
          </w:p>
          <w:p w14:paraId="2AD8E408">
            <w:pPr>
              <w:widowControl/>
              <w:ind w:firstLine="560" w:firstLineChars="200"/>
              <w:jc w:val="left"/>
              <w:rPr>
                <w:rFonts w:hint="eastAsia"/>
                <w:b w:val="0"/>
                <w:bCs w:val="0"/>
                <w:sz w:val="28"/>
                <w:szCs w:val="28"/>
                <w:highlight w:val="none"/>
                <w:u w:val="none"/>
              </w:rPr>
            </w:pPr>
            <w:r>
              <w:rPr>
                <w:rFonts w:hint="eastAsia"/>
                <w:b w:val="0"/>
                <w:bCs w:val="0"/>
                <w:sz w:val="28"/>
                <w:szCs w:val="28"/>
                <w:highlight w:val="none"/>
                <w:u w:val="none"/>
                <w:lang w:val="en-US" w:eastAsia="zh-CN"/>
              </w:rPr>
              <w:t>汛期水环境风险防控能力提升行动。</w:t>
            </w:r>
            <w:r>
              <w:rPr>
                <w:rFonts w:hint="default"/>
                <w:b w:val="0"/>
                <w:bCs w:val="0"/>
                <w:sz w:val="28"/>
                <w:szCs w:val="28"/>
                <w:highlight w:val="none"/>
                <w:u w:val="none"/>
              </w:rPr>
              <w:t>健全“气象—水质”预警联动机制，压实河长汛期监管责任。</w:t>
            </w:r>
            <w:r>
              <w:rPr>
                <w:rFonts w:hint="eastAsia"/>
                <w:b w:val="0"/>
                <w:bCs w:val="0"/>
                <w:sz w:val="28"/>
                <w:szCs w:val="28"/>
                <w:highlight w:val="none"/>
                <w:u w:val="none"/>
              </w:rPr>
              <w:t>深化“清管行动”，强化</w:t>
            </w:r>
            <w:r>
              <w:rPr>
                <w:rFonts w:hint="default"/>
                <w:b w:val="0"/>
                <w:bCs w:val="0"/>
                <w:sz w:val="28"/>
                <w:szCs w:val="28"/>
                <w:highlight w:val="none"/>
                <w:u w:val="none"/>
                <w:lang w:val="en-US" w:eastAsia="zh-CN"/>
              </w:rPr>
              <w:t>雨污</w:t>
            </w:r>
            <w:r>
              <w:rPr>
                <w:rFonts w:hint="eastAsia"/>
                <w:b w:val="0"/>
                <w:bCs w:val="0"/>
                <w:sz w:val="28"/>
                <w:szCs w:val="28"/>
                <w:highlight w:val="none"/>
                <w:u w:val="none"/>
              </w:rPr>
              <w:t>错接混接</w:t>
            </w:r>
            <w:r>
              <w:rPr>
                <w:rFonts w:hint="default"/>
                <w:b w:val="0"/>
                <w:bCs w:val="0"/>
                <w:sz w:val="28"/>
                <w:szCs w:val="28"/>
                <w:highlight w:val="none"/>
                <w:u w:val="none"/>
                <w:lang w:val="en-US" w:eastAsia="zh-CN"/>
              </w:rPr>
              <w:t>排查</w:t>
            </w:r>
            <w:r>
              <w:rPr>
                <w:rFonts w:hint="eastAsia"/>
                <w:b w:val="0"/>
                <w:bCs w:val="0"/>
                <w:sz w:val="28"/>
                <w:szCs w:val="28"/>
                <w:highlight w:val="none"/>
                <w:u w:val="none"/>
              </w:rPr>
              <w:t>整治</w:t>
            </w:r>
            <w:r>
              <w:rPr>
                <w:rFonts w:hint="default"/>
                <w:b w:val="0"/>
                <w:bCs w:val="0"/>
                <w:sz w:val="28"/>
                <w:szCs w:val="28"/>
                <w:highlight w:val="none"/>
                <w:u w:val="none"/>
                <w:lang w:eastAsia="zh-CN"/>
              </w:rPr>
              <w:t>，</w:t>
            </w:r>
            <w:r>
              <w:rPr>
                <w:rFonts w:hint="default"/>
                <w:b w:val="0"/>
                <w:bCs w:val="0"/>
                <w:sz w:val="28"/>
                <w:szCs w:val="28"/>
                <w:highlight w:val="none"/>
                <w:u w:val="none"/>
                <w:lang w:val="en-US" w:eastAsia="zh-CN"/>
              </w:rPr>
              <w:t>因地制宜</w:t>
            </w:r>
            <w:r>
              <w:rPr>
                <w:rFonts w:hint="eastAsia"/>
                <w:b w:val="0"/>
                <w:bCs w:val="0"/>
                <w:sz w:val="28"/>
                <w:szCs w:val="28"/>
                <w:highlight w:val="none"/>
                <w:u w:val="none"/>
              </w:rPr>
              <w:t>建设重点区域溢流调蓄净化设施。</w:t>
            </w:r>
          </w:p>
          <w:p w14:paraId="160C8739">
            <w:pPr>
              <w:widowControl/>
              <w:ind w:firstLine="0"/>
              <w:jc w:val="left"/>
              <w:rPr>
                <w:rFonts w:hint="eastAsia" w:eastAsia="仿宋_GB2312"/>
                <w:b w:val="0"/>
                <w:bCs w:val="0"/>
                <w:highlight w:val="none"/>
                <w:u w:val="none"/>
                <w:lang w:eastAsia="zh-CN"/>
              </w:rPr>
            </w:pPr>
            <w:r>
              <w:rPr>
                <w:rFonts w:hint="eastAsia"/>
                <w:b w:val="0"/>
                <w:bCs w:val="0"/>
                <w:sz w:val="28"/>
                <w:szCs w:val="28"/>
                <w:highlight w:val="none"/>
                <w:u w:val="none"/>
                <w:shd w:val="clear" w:color="auto" w:fill="auto"/>
                <w:lang w:val="en-US" w:eastAsia="zh-CN"/>
              </w:rPr>
              <w:t>河湖生态</w:t>
            </w:r>
            <w:r>
              <w:rPr>
                <w:rFonts w:hint="eastAsia"/>
                <w:b w:val="0"/>
                <w:bCs w:val="0"/>
                <w:sz w:val="28"/>
                <w:szCs w:val="28"/>
                <w:highlight w:val="none"/>
                <w:u w:val="none"/>
                <w:shd w:val="clear" w:color="auto" w:fill="auto"/>
              </w:rPr>
              <w:t>修复</w:t>
            </w:r>
            <w:r>
              <w:rPr>
                <w:rFonts w:hint="eastAsia"/>
                <w:b w:val="0"/>
                <w:bCs w:val="0"/>
                <w:sz w:val="28"/>
                <w:szCs w:val="28"/>
                <w:highlight w:val="none"/>
                <w:u w:val="none"/>
                <w:shd w:val="clear" w:color="auto" w:fill="auto"/>
                <w:lang w:val="en-US" w:eastAsia="zh-CN"/>
              </w:rPr>
              <w:t>与滨水空间建设工程。配合市级推进</w:t>
            </w:r>
            <w:r>
              <w:rPr>
                <w:rFonts w:hint="eastAsia"/>
                <w:b w:val="0"/>
                <w:bCs w:val="0"/>
                <w:sz w:val="28"/>
                <w:szCs w:val="28"/>
                <w:highlight w:val="none"/>
                <w:u w:val="none"/>
                <w:shd w:val="clear" w:color="auto" w:fill="auto"/>
              </w:rPr>
              <w:t>潮白河</w:t>
            </w:r>
            <w:r>
              <w:rPr>
                <w:rFonts w:hint="eastAsia"/>
                <w:b w:val="0"/>
                <w:bCs w:val="0"/>
                <w:sz w:val="28"/>
                <w:szCs w:val="28"/>
                <w:highlight w:val="none"/>
                <w:u w:val="none"/>
                <w:shd w:val="clear" w:color="auto" w:fill="auto"/>
                <w:lang w:val="en-US" w:eastAsia="zh-CN"/>
              </w:rPr>
              <w:t>密怀顺段综合治理工程</w:t>
            </w:r>
            <w:r>
              <w:rPr>
                <w:rFonts w:hint="eastAsia"/>
                <w:b w:val="0"/>
                <w:bCs w:val="0"/>
                <w:sz w:val="28"/>
                <w:szCs w:val="28"/>
                <w:highlight w:val="none"/>
                <w:u w:val="none"/>
                <w:shd w:val="clear" w:color="auto" w:fill="auto"/>
                <w:lang w:eastAsia="zh-CN"/>
              </w:rPr>
              <w:t>（</w:t>
            </w:r>
            <w:r>
              <w:rPr>
                <w:rFonts w:hint="eastAsia"/>
                <w:b w:val="0"/>
                <w:bCs w:val="0"/>
                <w:sz w:val="28"/>
                <w:szCs w:val="28"/>
                <w:highlight w:val="none"/>
                <w:u w:val="none"/>
                <w:shd w:val="clear" w:color="auto" w:fill="auto"/>
                <w:lang w:val="en-US" w:eastAsia="zh-CN"/>
              </w:rPr>
              <w:t>一期</w:t>
            </w:r>
            <w:r>
              <w:rPr>
                <w:rFonts w:hint="eastAsia"/>
                <w:b w:val="0"/>
                <w:bCs w:val="0"/>
                <w:sz w:val="28"/>
                <w:szCs w:val="28"/>
                <w:highlight w:val="none"/>
                <w:u w:val="none"/>
                <w:shd w:val="clear" w:color="auto" w:fill="auto"/>
                <w:lang w:eastAsia="zh-CN"/>
              </w:rPr>
              <w:t>）。</w:t>
            </w:r>
            <w:r>
              <w:rPr>
                <w:rFonts w:hint="eastAsia"/>
                <w:b w:val="0"/>
                <w:bCs w:val="0"/>
                <w:sz w:val="28"/>
                <w:szCs w:val="28"/>
                <w:highlight w:val="none"/>
                <w:u w:val="none"/>
                <w:shd w:val="clear" w:color="auto" w:fill="auto"/>
              </w:rPr>
              <w:t>系统排查丧失功能的塘坝等设施并依法拆除，对确需保留的闸坝加设生物连通设施。配合温潮减河工程建设，协同推进滨水慢行系统及两岸景观绿化，打造人水和谐的滨水空间示范段。</w:t>
            </w:r>
          </w:p>
        </w:tc>
      </w:tr>
    </w:tbl>
    <w:p w14:paraId="7A32D2E2">
      <w:pPr>
        <w:pStyle w:val="4"/>
        <w:numPr>
          <w:ilvl w:val="0"/>
          <w:numId w:val="8"/>
        </w:numPr>
        <w:ind w:left="640" w:leftChars="0" w:firstLineChars="0"/>
        <w:rPr>
          <w:b w:val="0"/>
          <w:bCs w:val="0"/>
          <w:color w:val="auto"/>
          <w:highlight w:val="none"/>
          <w:u w:val="none"/>
        </w:rPr>
      </w:pPr>
      <w:bookmarkStart w:id="156" w:name="_Toc2210"/>
      <w:bookmarkStart w:id="157" w:name="_Toc4317"/>
      <w:bookmarkStart w:id="158" w:name="_Toc22877"/>
      <w:bookmarkStart w:id="159" w:name="_Toc30795"/>
      <w:bookmarkStart w:id="160" w:name="_Toc22916"/>
      <w:bookmarkStart w:id="161" w:name="_Toc28805"/>
      <w:bookmarkStart w:id="162" w:name="_Toc2892"/>
      <w:bookmarkStart w:id="163" w:name="_Toc16592"/>
      <w:bookmarkStart w:id="164" w:name="_Toc31420"/>
      <w:bookmarkStart w:id="165" w:name="_Toc1903"/>
      <w:r>
        <w:rPr>
          <w:rFonts w:hint="eastAsia"/>
          <w:b w:val="0"/>
          <w:bCs w:val="0"/>
          <w:color w:val="auto"/>
          <w:highlight w:val="none"/>
          <w:u w:val="none"/>
          <w:lang w:val="en-US" w:eastAsia="zh-CN"/>
        </w:rPr>
        <w:t>科学守护净土沃壤</w:t>
      </w:r>
      <w:bookmarkEnd w:id="156"/>
      <w:bookmarkEnd w:id="157"/>
      <w:bookmarkEnd w:id="158"/>
      <w:bookmarkEnd w:id="159"/>
      <w:bookmarkEnd w:id="160"/>
      <w:bookmarkEnd w:id="161"/>
      <w:bookmarkEnd w:id="162"/>
      <w:bookmarkEnd w:id="163"/>
      <w:bookmarkEnd w:id="164"/>
      <w:bookmarkEnd w:id="165"/>
    </w:p>
    <w:p w14:paraId="55AD8897">
      <w:pPr>
        <w:keepNext w:val="0"/>
        <w:keepLines w:val="0"/>
        <w:pageBreakBefore w:val="0"/>
        <w:widowControl w:val="0"/>
        <w:numPr>
          <w:ilvl w:val="-1"/>
          <w:numId w:val="0"/>
        </w:numPr>
        <w:kinsoku/>
        <w:wordWrap/>
        <w:overflowPunct/>
        <w:topLinePunct w:val="0"/>
        <w:autoSpaceDE/>
        <w:autoSpaceDN/>
        <w:bidi w:val="0"/>
        <w:adjustRightInd/>
        <w:snapToGrid/>
        <w:ind w:firstLine="640"/>
        <w:textAlignment w:val="auto"/>
        <w:rPr>
          <w:rFonts w:hint="default"/>
          <w:b w:val="0"/>
          <w:bCs w:val="0"/>
          <w:color w:val="auto"/>
          <w:highlight w:val="none"/>
          <w:u w:val="none"/>
        </w:rPr>
      </w:pPr>
      <w:r>
        <w:rPr>
          <w:rFonts w:hint="eastAsia"/>
          <w:b w:val="0"/>
          <w:bCs w:val="0"/>
          <w:color w:val="auto"/>
          <w:highlight w:val="none"/>
          <w:u w:val="none"/>
        </w:rPr>
        <w:t>坚持精准、科学、依法治污方针，统筹建设用地、农用地、未利用地“三地”协同治理，聚焦防新增、去存量、控风险三大攻坚方向，全面提升土壤环境治理能力和安全利用水平。</w:t>
      </w:r>
      <w:r>
        <w:rPr>
          <w:rFonts w:hint="eastAsia"/>
          <w:b w:val="0"/>
          <w:bCs w:val="0"/>
          <w:color w:val="auto"/>
          <w:highlight w:val="none"/>
          <w:u w:val="none"/>
          <w:lang w:val="en-US" w:eastAsia="zh-CN"/>
        </w:rPr>
        <w:t>到2030年，</w:t>
      </w:r>
      <w:r>
        <w:rPr>
          <w:rFonts w:hint="eastAsia" w:cs="仿宋_GB2312"/>
          <w:b w:val="0"/>
          <w:bCs w:val="0"/>
          <w:color w:val="auto"/>
          <w:highlight w:val="none"/>
          <w:u w:val="none"/>
        </w:rPr>
        <w:t>重点建设用地</w:t>
      </w:r>
      <w:r>
        <w:rPr>
          <w:rFonts w:hint="eastAsia" w:cs="仿宋_GB2312"/>
          <w:b w:val="0"/>
          <w:bCs w:val="0"/>
          <w:color w:val="auto"/>
          <w:highlight w:val="none"/>
          <w:u w:val="none"/>
          <w:lang w:eastAsia="zh-CN"/>
        </w:rPr>
        <w:t>有效保障，</w:t>
      </w:r>
      <w:r>
        <w:rPr>
          <w:rFonts w:hint="eastAsia" w:cs="仿宋_GB2312"/>
          <w:b w:val="0"/>
          <w:bCs w:val="0"/>
          <w:color w:val="auto"/>
          <w:highlight w:val="none"/>
          <w:u w:val="none"/>
          <w:lang w:val="en-US" w:eastAsia="zh-CN"/>
        </w:rPr>
        <w:t>受污染耕地</w:t>
      </w:r>
      <w:r>
        <w:rPr>
          <w:rFonts w:hint="eastAsia" w:cs="仿宋_GB2312"/>
          <w:b w:val="0"/>
          <w:bCs w:val="0"/>
          <w:color w:val="auto"/>
          <w:highlight w:val="none"/>
          <w:u w:val="none"/>
        </w:rPr>
        <w:t>安全利用率</w:t>
      </w:r>
      <w:r>
        <w:rPr>
          <w:rFonts w:hint="eastAsia" w:cs="仿宋_GB2312"/>
          <w:b w:val="0"/>
          <w:bCs w:val="0"/>
          <w:color w:val="auto"/>
          <w:highlight w:val="none"/>
          <w:u w:val="none"/>
          <w:lang w:val="en-US" w:eastAsia="zh-CN"/>
        </w:rPr>
        <w:t>达到北京市要求。</w:t>
      </w:r>
    </w:p>
    <w:p w14:paraId="6C4BC05E">
      <w:pPr>
        <w:pStyle w:val="5"/>
        <w:keepNext w:val="0"/>
        <w:keepLines w:val="0"/>
        <w:pageBreakBefore w:val="0"/>
        <w:widowControl w:val="0"/>
        <w:numPr>
          <w:ilvl w:val="0"/>
          <w:numId w:val="9"/>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z w:val="32"/>
          <w:szCs w:val="32"/>
          <w:u w:val="none"/>
          <w:shd w:val="clear" w:color="auto" w:fill="auto"/>
          <w:lang w:val="en-US" w:eastAsia="zh-CN"/>
        </w:rPr>
      </w:pPr>
      <w:r>
        <w:rPr>
          <w:rFonts w:hint="eastAsia" w:ascii="仿宋_GB2312" w:hAnsi="仿宋_GB2312" w:eastAsia="仿宋_GB2312" w:cs="仿宋_GB2312"/>
          <w:b w:val="0"/>
          <w:bCs w:val="0"/>
          <w:color w:val="auto"/>
          <w:sz w:val="32"/>
          <w:szCs w:val="32"/>
          <w:u w:val="none"/>
          <w:shd w:val="clear" w:color="auto" w:fill="auto"/>
          <w:lang w:val="en-US" w:eastAsia="zh-CN"/>
        </w:rPr>
        <w:t>严格建设用地风险管控</w:t>
      </w:r>
    </w:p>
    <w:p w14:paraId="5CA9C6C7">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cs="仿宋_GB2312"/>
          <w:b w:val="0"/>
          <w:bCs w:val="0"/>
          <w:color w:val="auto"/>
          <w:highlight w:val="none"/>
          <w:u w:val="none"/>
        </w:rPr>
      </w:pPr>
      <w:r>
        <w:rPr>
          <w:rFonts w:hint="eastAsia" w:cs="仿宋_GB2312"/>
          <w:b w:val="0"/>
          <w:bCs w:val="0"/>
          <w:color w:val="auto"/>
          <w:highlight w:val="none"/>
          <w:u w:val="none"/>
        </w:rPr>
        <w:t>深化重点单位全过程监管。动态更新土壤污染重点监管单位及地下水污染防治重点排污单位名录，确保应纳尽纳。对重点监管单位周边土壤和地下水开展系统性环境监测</w:t>
      </w:r>
      <w:r>
        <w:rPr>
          <w:rFonts w:hint="eastAsia" w:cs="仿宋_GB2312"/>
          <w:b w:val="0"/>
          <w:bCs w:val="0"/>
          <w:color w:val="auto"/>
          <w:highlight w:val="none"/>
          <w:u w:val="none"/>
          <w:lang w:eastAsia="zh-CN"/>
        </w:rPr>
        <w:t>。</w:t>
      </w:r>
      <w:r>
        <w:rPr>
          <w:rFonts w:hint="eastAsia" w:cs="仿宋_GB2312"/>
          <w:b w:val="0"/>
          <w:bCs w:val="0"/>
          <w:color w:val="auto"/>
          <w:highlight w:val="none"/>
          <w:u w:val="none"/>
        </w:rPr>
        <w:t>完善重点场所和设施设备动态清单，系统排查整治环境安全隐患。督促重点行业企业落实防腐防渗改造、存储转运密闭化、管道可视化等绿色化改造措施。强化加油站、储油库埋地设施防渗漏管理，健全定期巡查和地下水监测制度。</w:t>
      </w:r>
    </w:p>
    <w:p w14:paraId="0EE1725F">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cs="仿宋_GB2312"/>
          <w:b w:val="0"/>
          <w:bCs w:val="0"/>
          <w:color w:val="auto"/>
          <w:highlight w:val="none"/>
          <w:u w:val="none"/>
        </w:rPr>
      </w:pPr>
      <w:r>
        <w:rPr>
          <w:rFonts w:hint="eastAsia" w:cs="仿宋_GB2312"/>
          <w:b w:val="0"/>
          <w:bCs w:val="0"/>
          <w:color w:val="auto"/>
          <w:highlight w:val="none"/>
          <w:u w:val="none"/>
        </w:rPr>
        <w:t>严格重点建设用地安全利用。以用途变更为住宅、公共管理与公共服务用地为重点，严格落实“先调查、先治理、再供地”原则，保障“净地”供应。开展关停退出工业企业原址用地筛查和土壤、地下水重点监测，督促责任主体落实风险管控措施。探索建设用地“环境修复+开发建设”模式，推进土壤污染治理与土地开发利用协同。深化“多规合一”平台应用</w:t>
      </w:r>
      <w:r>
        <w:rPr>
          <w:rFonts w:hint="eastAsia" w:cs="仿宋_GB2312"/>
          <w:b w:val="0"/>
          <w:bCs w:val="0"/>
          <w:color w:val="auto"/>
          <w:highlight w:val="none"/>
          <w:u w:val="none"/>
          <w:lang w:eastAsia="zh-CN"/>
        </w:rPr>
        <w:t>，</w:t>
      </w:r>
      <w:r>
        <w:rPr>
          <w:rFonts w:hint="eastAsia" w:cs="仿宋_GB2312"/>
          <w:b w:val="0"/>
          <w:bCs w:val="0"/>
          <w:color w:val="auto"/>
          <w:highlight w:val="none"/>
          <w:u w:val="none"/>
        </w:rPr>
        <w:t>推动国土空间规划、土地用途管制、土壤环境管理等数据共享，逐步形成土壤污染源头防控“一张图”。</w:t>
      </w:r>
    </w:p>
    <w:p w14:paraId="5362CC01">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hAnsi="仿宋_GB2312" w:cs="仿宋_GB2312"/>
          <w:b w:val="0"/>
          <w:bCs w:val="0"/>
          <w:color w:val="auto"/>
          <w:sz w:val="32"/>
          <w:szCs w:val="32"/>
          <w:highlight w:val="none"/>
          <w:u w:val="none"/>
          <w:lang w:val="en-US" w:eastAsia="zh-CN"/>
        </w:rPr>
      </w:pPr>
      <w:r>
        <w:rPr>
          <w:rFonts w:hint="eastAsia" w:cs="仿宋_GB2312"/>
          <w:b w:val="0"/>
          <w:bCs w:val="0"/>
          <w:color w:val="auto"/>
          <w:highlight w:val="none"/>
          <w:u w:val="none"/>
          <w:lang w:val="en-US" w:eastAsia="zh-CN"/>
        </w:rPr>
        <w:t>强</w:t>
      </w:r>
      <w:r>
        <w:rPr>
          <w:rFonts w:hint="eastAsia" w:cs="仿宋_GB2312"/>
          <w:b w:val="0"/>
          <w:bCs w:val="0"/>
          <w:color w:val="auto"/>
          <w:highlight w:val="none"/>
          <w:u w:val="none"/>
        </w:rPr>
        <w:t>化</w:t>
      </w:r>
      <w:r>
        <w:rPr>
          <w:rFonts w:hint="eastAsia" w:cs="仿宋_GB2312"/>
          <w:b w:val="0"/>
          <w:bCs w:val="0"/>
          <w:color w:val="auto"/>
          <w:highlight w:val="none"/>
          <w:u w:val="none"/>
          <w:lang w:val="en-US" w:eastAsia="zh-CN"/>
        </w:rPr>
        <w:t>遗留地块管控修复</w:t>
      </w:r>
      <w:r>
        <w:rPr>
          <w:rFonts w:hint="eastAsia" w:cs="仿宋_GB2312"/>
          <w:b w:val="0"/>
          <w:bCs w:val="0"/>
          <w:color w:val="auto"/>
          <w:highlight w:val="none"/>
          <w:u w:val="none"/>
        </w:rPr>
        <w:t>。聚焦调查评估、修复施工、效果评估等关键环节，加强土壤调查质量监督检查，规范污染土壤转运、暂存、处置全过程管理。对重点监管单位、潜在污染企业、历史遗留重点地块开展隐患排查，着力填补历史遗留地块风险排查盲区。督促落实制度控制、长期监测、定期报告等后期管理要求。探索绿色风险管控和修复路径，开展多污染物、多介质协同治理，科学安排受污染建设用地周边土地开发时序。</w:t>
      </w:r>
    </w:p>
    <w:p w14:paraId="7D32D039">
      <w:pPr>
        <w:pStyle w:val="5"/>
        <w:keepNext w:val="0"/>
        <w:keepLines w:val="0"/>
        <w:pageBreakBefore w:val="0"/>
        <w:widowControl w:val="0"/>
        <w:numPr>
          <w:ilvl w:val="0"/>
          <w:numId w:val="9"/>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z w:val="32"/>
          <w:szCs w:val="32"/>
          <w:highlight w:val="none"/>
          <w:u w:val="none"/>
          <w:shd w:val="clear" w:color="auto" w:fill="auto"/>
          <w:lang w:val="en-US" w:eastAsia="zh-CN"/>
        </w:rPr>
        <w:t>加强农用地土壤保护</w:t>
      </w:r>
    </w:p>
    <w:p w14:paraId="47A5A5CE">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cs="仿宋_GB2312"/>
          <w:b w:val="0"/>
          <w:bCs w:val="0"/>
          <w:color w:val="auto"/>
          <w:highlight w:val="none"/>
          <w:u w:val="none"/>
        </w:rPr>
      </w:pPr>
      <w:r>
        <w:rPr>
          <w:rFonts w:hint="eastAsia" w:cs="仿宋_GB2312"/>
          <w:b w:val="0"/>
          <w:bCs w:val="0"/>
          <w:color w:val="auto"/>
          <w:highlight w:val="none"/>
          <w:u w:val="none"/>
        </w:rPr>
        <w:t>深化农用地分类管理。依据土壤环境质量例行监测结果，动态调整耕地土壤环境质量类别划分。对安全利用类耕地，因地制宜采取品种替代、水肥调控、土壤调理等农艺调控措施，保障食用农产品安全；对严格管控类耕地，依法落实风险管控措施，有序推进种植结构调整、退耕还林还草等用途优化。推进高标准农田建设，同步实施土壤改良、农田灌排设施改造等短板补齐工程。</w:t>
      </w:r>
    </w:p>
    <w:p w14:paraId="170EFD47">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cs="仿宋_GB2312"/>
          <w:b w:val="0"/>
          <w:bCs w:val="0"/>
          <w:color w:val="auto"/>
          <w:highlight w:val="none"/>
          <w:u w:val="none"/>
        </w:rPr>
      </w:pPr>
      <w:r>
        <w:rPr>
          <w:rFonts w:hint="eastAsia" w:cs="仿宋_GB2312"/>
          <w:b w:val="0"/>
          <w:bCs w:val="0"/>
          <w:color w:val="auto"/>
          <w:highlight w:val="none"/>
          <w:u w:val="none"/>
        </w:rPr>
        <w:t>有序推进农用地溯源整治。依据农用地重金属污染溯源结果，逐步开展受污染农用地整治。试点开展农用地重金属和DDT污染绿色修复及风险管控，探索农用地重金属污染绿色修复及风险管控路径，通过用地类型调整、土壤改良、治理修复等方式，持续提升耕地质量。</w:t>
      </w:r>
    </w:p>
    <w:p w14:paraId="0DDE3D46">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cs="仿宋_GB2312"/>
          <w:b w:val="0"/>
          <w:bCs w:val="0"/>
          <w:color w:val="auto"/>
          <w:highlight w:val="none"/>
          <w:u w:val="none"/>
        </w:rPr>
      </w:pPr>
      <w:r>
        <w:rPr>
          <w:rFonts w:hint="eastAsia" w:cs="仿宋_GB2312"/>
          <w:b w:val="0"/>
          <w:bCs w:val="0"/>
          <w:color w:val="auto"/>
          <w:highlight w:val="none"/>
          <w:u w:val="none"/>
        </w:rPr>
        <w:t>强化农业面源污染防控。实施耕地有机质提升行动，因地制宜推广绿肥种植、秸秆还田、增施有机肥等措施，持续改良培肥土壤。科学施用农药化肥，大力推广生物农药及高效</w:t>
      </w:r>
      <w:r>
        <w:rPr>
          <w:rFonts w:hint="eastAsia" w:cs="仿宋_GB2312"/>
          <w:b w:val="0"/>
          <w:bCs w:val="0"/>
          <w:color w:val="auto"/>
          <w:highlight w:val="none"/>
          <w:u w:val="none"/>
          <w:lang w:eastAsia="zh-CN"/>
        </w:rPr>
        <w:t>环保</w:t>
      </w:r>
      <w:r>
        <w:rPr>
          <w:rFonts w:hint="eastAsia" w:cs="仿宋_GB2312"/>
          <w:b w:val="0"/>
          <w:bCs w:val="0"/>
          <w:color w:val="auto"/>
          <w:highlight w:val="none"/>
          <w:u w:val="none"/>
        </w:rPr>
        <w:t>农药，推动有机肥资源科学利用，着力推广植保新技术，减少农业对土壤的内源性污染。强化畜禽养殖污染物无害化处理，推进养殖废弃物资源化利用，在散养密集区因地制宜建立畜禽粪污收运利用体系。</w:t>
      </w:r>
    </w:p>
    <w:p w14:paraId="11CA1A34">
      <w:pPr>
        <w:pStyle w:val="5"/>
        <w:keepNext w:val="0"/>
        <w:keepLines w:val="0"/>
        <w:pageBreakBefore w:val="0"/>
        <w:widowControl w:val="0"/>
        <w:numPr>
          <w:ilvl w:val="0"/>
          <w:numId w:val="9"/>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sz w:val="32"/>
          <w:szCs w:val="32"/>
          <w:u w:val="none"/>
          <w:shd w:val="clear" w:color="auto" w:fill="auto"/>
          <w:lang w:val="en-US" w:eastAsia="zh-CN"/>
        </w:rPr>
      </w:pPr>
      <w:r>
        <w:rPr>
          <w:rFonts w:hint="eastAsia" w:ascii="仿宋_GB2312" w:hAnsi="仿宋_GB2312" w:eastAsia="仿宋_GB2312" w:cs="仿宋_GB2312"/>
          <w:b w:val="0"/>
          <w:bCs w:val="0"/>
          <w:color w:val="auto"/>
          <w:sz w:val="32"/>
          <w:szCs w:val="32"/>
          <w:u w:val="none"/>
          <w:shd w:val="clear" w:color="auto" w:fill="auto"/>
          <w:lang w:val="en-US" w:eastAsia="zh-CN"/>
        </w:rPr>
        <w:t>强化未利用地保护</w:t>
      </w:r>
    </w:p>
    <w:p w14:paraId="15398799">
      <w:pPr>
        <w:keepNext w:val="0"/>
        <w:keepLines w:val="0"/>
        <w:pageBreakBefore w:val="0"/>
        <w:widowControl w:val="0"/>
        <w:kinsoku/>
        <w:wordWrap/>
        <w:overflowPunct/>
        <w:topLinePunct w:val="0"/>
        <w:autoSpaceDE/>
        <w:autoSpaceDN/>
        <w:bidi w:val="0"/>
        <w:adjustRightInd/>
        <w:snapToGrid/>
        <w:textAlignment w:val="auto"/>
        <w:rPr>
          <w:rFonts w:hint="eastAsia" w:hAnsi="仿宋_GB2312" w:cs="仿宋_GB2312"/>
          <w:b w:val="0"/>
          <w:bCs w:val="0"/>
          <w:color w:val="auto"/>
          <w:sz w:val="32"/>
          <w:szCs w:val="32"/>
          <w:highlight w:val="none"/>
          <w:u w:val="none"/>
          <w:lang w:val="en-US" w:eastAsia="zh-CN"/>
        </w:rPr>
      </w:pPr>
      <w:r>
        <w:rPr>
          <w:rFonts w:hint="eastAsia" w:hAnsi="仿宋_GB2312" w:cs="仿宋_GB2312"/>
          <w:b w:val="0"/>
          <w:bCs w:val="0"/>
          <w:color w:val="auto"/>
          <w:sz w:val="32"/>
          <w:szCs w:val="32"/>
          <w:highlight w:val="none"/>
          <w:u w:val="none"/>
          <w:lang w:val="en-US" w:eastAsia="zh-CN"/>
        </w:rPr>
        <w:t>加大未利用地环境巡查与专项检查力度，严厉打击向生态敏感未利用地非法排污、倾倒有毒有害污染物的违法行为。对于拟开发的未利用地，在开发前组织开展科学评估。涉及新建重金属排放企业的建设项目，应重点强化重金属排放对周边耕地土壤累积性风险的分析研判；对存在潜在风险的，落实有效防控措施。推动未利用地生态修复与价值转化。</w:t>
      </w:r>
    </w:p>
    <w:p w14:paraId="6FCD396B">
      <w:pPr>
        <w:pStyle w:val="4"/>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val="en-US" w:eastAsia="zh-CN"/>
        </w:rPr>
      </w:pPr>
      <w:bookmarkStart w:id="166" w:name="_Toc25972"/>
      <w:bookmarkStart w:id="167" w:name="_Toc11674"/>
      <w:bookmarkStart w:id="168" w:name="_Toc17253"/>
      <w:bookmarkStart w:id="169" w:name="_Toc17376"/>
      <w:bookmarkStart w:id="170" w:name="_Toc26069"/>
      <w:bookmarkStart w:id="171" w:name="_Toc5782"/>
      <w:bookmarkStart w:id="172" w:name="_Toc17762"/>
      <w:bookmarkStart w:id="173" w:name="_Toc16243"/>
      <w:bookmarkStart w:id="174" w:name="_Toc18299"/>
      <w:bookmarkStart w:id="175" w:name="_Toc31928"/>
      <w:r>
        <w:rPr>
          <w:b w:val="0"/>
          <w:bCs w:val="0"/>
          <w:color w:val="auto"/>
          <w:highlight w:val="none"/>
          <w:u w:val="none"/>
        </w:rPr>
        <w:t>（</w:t>
      </w:r>
      <w:r>
        <w:rPr>
          <w:rFonts w:hint="eastAsia"/>
          <w:b w:val="0"/>
          <w:bCs w:val="0"/>
          <w:color w:val="auto"/>
          <w:highlight w:val="none"/>
          <w:u w:val="none"/>
          <w:lang w:val="en-US" w:eastAsia="zh-CN"/>
        </w:rPr>
        <w:t>四</w:t>
      </w:r>
      <w:r>
        <w:rPr>
          <w:b w:val="0"/>
          <w:bCs w:val="0"/>
          <w:color w:val="auto"/>
          <w:highlight w:val="none"/>
          <w:u w:val="none"/>
        </w:rPr>
        <w:t>）加强噪声污染</w:t>
      </w:r>
      <w:r>
        <w:rPr>
          <w:rFonts w:hint="eastAsia"/>
          <w:b w:val="0"/>
          <w:bCs w:val="0"/>
          <w:color w:val="auto"/>
          <w:highlight w:val="none"/>
          <w:u w:val="none"/>
          <w:lang w:val="en-US" w:eastAsia="zh-CN"/>
        </w:rPr>
        <w:t>治理</w:t>
      </w:r>
      <w:bookmarkEnd w:id="166"/>
      <w:bookmarkEnd w:id="167"/>
      <w:bookmarkEnd w:id="168"/>
      <w:bookmarkEnd w:id="169"/>
      <w:bookmarkEnd w:id="170"/>
      <w:bookmarkEnd w:id="171"/>
      <w:bookmarkEnd w:id="172"/>
      <w:bookmarkEnd w:id="173"/>
      <w:bookmarkEnd w:id="174"/>
      <w:bookmarkEnd w:id="175"/>
    </w:p>
    <w:p w14:paraId="487168CF">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val="en-US" w:eastAsia="zh-CN"/>
        </w:rPr>
      </w:pPr>
      <w:r>
        <w:rPr>
          <w:rFonts w:hint="eastAsia" w:ascii="Times New Roman" w:hAnsi="Times New Roman" w:cs="Times New Roman"/>
          <w:b w:val="0"/>
          <w:bCs w:val="0"/>
          <w:color w:val="auto"/>
          <w:highlight w:val="none"/>
          <w:u w:val="none"/>
          <w:shd w:val="clear" w:color="auto" w:fill="auto"/>
        </w:rPr>
        <w:t>健全声环境长效管理机制，深化重点源</w:t>
      </w:r>
      <w:r>
        <w:rPr>
          <w:rFonts w:hint="eastAsia" w:ascii="Times New Roman" w:hAnsi="Times New Roman" w:cs="Times New Roman"/>
          <w:b w:val="0"/>
          <w:bCs w:val="0"/>
          <w:color w:val="auto"/>
          <w:highlight w:val="none"/>
          <w:u w:val="none"/>
          <w:shd w:val="clear" w:color="auto" w:fill="auto"/>
          <w:lang w:val="en-US" w:eastAsia="zh-CN"/>
        </w:rPr>
        <w:t>噪声</w:t>
      </w:r>
      <w:r>
        <w:rPr>
          <w:rFonts w:hint="eastAsia" w:ascii="Times New Roman" w:hAnsi="Times New Roman" w:cs="Times New Roman"/>
          <w:b w:val="0"/>
          <w:bCs w:val="0"/>
          <w:color w:val="auto"/>
          <w:highlight w:val="none"/>
          <w:u w:val="none"/>
          <w:shd w:val="clear" w:color="auto" w:fill="auto"/>
        </w:rPr>
        <w:t>污染治理，全力解决群众身边噪声问题，以宁静宜居的高质量环境回应市民对美好生活的期盼</w:t>
      </w:r>
      <w:r>
        <w:rPr>
          <w:rFonts w:hint="eastAsia" w:ascii="Times New Roman" w:hAnsi="Times New Roman" w:cs="Times New Roman"/>
          <w:b w:val="0"/>
          <w:bCs w:val="0"/>
          <w:color w:val="auto"/>
          <w:highlight w:val="none"/>
          <w:u w:val="none"/>
          <w:shd w:val="clear" w:color="auto" w:fill="auto"/>
          <w:lang w:eastAsia="zh-CN"/>
        </w:rPr>
        <w:t>，</w:t>
      </w:r>
      <w:r>
        <w:rPr>
          <w:rFonts w:hint="eastAsia" w:ascii="Times New Roman" w:hAnsi="Times New Roman" w:cs="Times New Roman"/>
          <w:b w:val="0"/>
          <w:bCs w:val="0"/>
          <w:color w:val="auto"/>
          <w:highlight w:val="none"/>
          <w:u w:val="none"/>
          <w:shd w:val="clear" w:color="auto" w:fill="auto"/>
          <w:lang w:val="en-US" w:eastAsia="zh-CN"/>
        </w:rPr>
        <w:t>推动声环境质量稳中向好</w:t>
      </w:r>
      <w:r>
        <w:rPr>
          <w:rFonts w:hint="eastAsia"/>
          <w:b w:val="0"/>
          <w:bCs w:val="0"/>
          <w:color w:val="auto"/>
          <w:highlight w:val="none"/>
          <w:u w:val="none"/>
          <w:lang w:val="en-US" w:eastAsia="zh-CN"/>
        </w:rPr>
        <w:t>。</w:t>
      </w:r>
    </w:p>
    <w:p w14:paraId="1E10AE72">
      <w:pPr>
        <w:pStyle w:val="5"/>
        <w:keepNext w:val="0"/>
        <w:keepLines w:val="0"/>
        <w:pageBreakBefore w:val="0"/>
        <w:widowControl w:val="0"/>
        <w:numPr>
          <w:ilvl w:val="0"/>
          <w:numId w:val="10"/>
        </w:numPr>
        <w:kinsoku/>
        <w:wordWrap/>
        <w:overflowPunct/>
        <w:topLinePunct w:val="0"/>
        <w:autoSpaceDE/>
        <w:autoSpaceDN/>
        <w:bidi w:val="0"/>
        <w:adjustRightInd/>
        <w:snapToGrid/>
        <w:textAlignment w:val="auto"/>
        <w:rPr>
          <w:rFonts w:hint="eastAsia"/>
          <w:b w:val="0"/>
          <w:bCs w:val="0"/>
          <w:color w:val="auto"/>
          <w:u w:val="none"/>
          <w:shd w:val="clear" w:color="auto" w:fill="auto"/>
          <w:lang w:eastAsia="zh-CN"/>
        </w:rPr>
      </w:pPr>
      <w:r>
        <w:rPr>
          <w:rFonts w:hint="eastAsia" w:ascii="仿宋_GB2312" w:hAnsi="仿宋_GB2312" w:eastAsia="仿宋_GB2312" w:cs="仿宋_GB2312"/>
          <w:b w:val="0"/>
          <w:bCs w:val="0"/>
          <w:color w:val="auto"/>
          <w:u w:val="none"/>
          <w:shd w:val="clear" w:color="auto" w:fill="auto"/>
          <w:lang w:val="en-US" w:eastAsia="zh-CN"/>
        </w:rPr>
        <w:t>健全声环境长效管理机制</w:t>
      </w:r>
    </w:p>
    <w:p w14:paraId="7AF8C95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b w:val="0"/>
          <w:bCs w:val="0"/>
          <w:color w:val="auto"/>
          <w:highlight w:val="none"/>
          <w:u w:val="none"/>
          <w:shd w:val="clear" w:color="auto" w:fill="auto"/>
          <w:lang w:val="en-US" w:eastAsia="zh-CN"/>
        </w:rPr>
      </w:pPr>
      <w:r>
        <w:rPr>
          <w:rFonts w:hint="eastAsia"/>
          <w:b w:val="0"/>
          <w:bCs w:val="0"/>
          <w:color w:val="auto"/>
          <w:highlight w:val="none"/>
          <w:u w:val="none"/>
          <w:lang w:val="en-US" w:eastAsia="zh-CN"/>
        </w:rPr>
        <w:t>按照北京市要求开展声环境功能区评估与调整优化，科学划定噪声敏感建筑物集中区</w:t>
      </w:r>
      <w:r>
        <w:rPr>
          <w:rFonts w:hint="eastAsia"/>
          <w:b w:val="0"/>
          <w:bCs w:val="0"/>
          <w:color w:val="auto"/>
          <w:highlight w:val="none"/>
          <w:u w:val="none"/>
          <w:lang w:eastAsia="zh-CN"/>
        </w:rPr>
        <w:t>。</w:t>
      </w:r>
      <w:r>
        <w:rPr>
          <w:rFonts w:hint="eastAsia"/>
          <w:b w:val="0"/>
          <w:bCs w:val="0"/>
          <w:color w:val="auto"/>
          <w:highlight w:val="none"/>
          <w:u w:val="none"/>
          <w:lang w:val="en-US" w:eastAsia="zh-CN"/>
        </w:rPr>
        <w:t>按照市级要求推进</w:t>
      </w:r>
      <w:r>
        <w:rPr>
          <w:rFonts w:hint="eastAsia"/>
          <w:b w:val="0"/>
          <w:bCs w:val="0"/>
          <w:color w:val="auto"/>
          <w:highlight w:val="none"/>
          <w:u w:val="none"/>
        </w:rPr>
        <w:t>“宁静</w:t>
      </w:r>
      <w:r>
        <w:rPr>
          <w:rFonts w:hint="eastAsia"/>
          <w:b w:val="0"/>
          <w:bCs w:val="0"/>
          <w:color w:val="auto"/>
          <w:highlight w:val="none"/>
          <w:u w:val="none"/>
          <w:lang w:val="en-US" w:eastAsia="zh-CN"/>
        </w:rPr>
        <w:t>小区</w:t>
      </w:r>
      <w:r>
        <w:rPr>
          <w:rFonts w:hint="eastAsia"/>
          <w:b w:val="0"/>
          <w:bCs w:val="0"/>
          <w:color w:val="auto"/>
          <w:highlight w:val="none"/>
          <w:u w:val="none"/>
        </w:rPr>
        <w:t>”</w:t>
      </w:r>
      <w:r>
        <w:rPr>
          <w:rFonts w:hint="eastAsia"/>
          <w:b w:val="0"/>
          <w:bCs w:val="0"/>
          <w:color w:val="auto"/>
          <w:highlight w:val="none"/>
          <w:u w:val="none"/>
          <w:lang w:val="en-US" w:eastAsia="zh-CN"/>
        </w:rPr>
        <w:t>建设，</w:t>
      </w:r>
      <w:r>
        <w:rPr>
          <w:rFonts w:hint="eastAsia"/>
          <w:b w:val="0"/>
          <w:bCs w:val="0"/>
          <w:color w:val="auto"/>
          <w:highlight w:val="none"/>
          <w:u w:val="none"/>
        </w:rPr>
        <w:t>推动噪声治理从“小区”向“街区”延伸，形成可复制推广的建设模式</w:t>
      </w:r>
      <w:r>
        <w:rPr>
          <w:rFonts w:hint="eastAsia"/>
          <w:b w:val="0"/>
          <w:bCs w:val="0"/>
          <w:color w:val="auto"/>
          <w:highlight w:val="none"/>
          <w:u w:val="none"/>
          <w:lang w:eastAsia="zh-CN"/>
        </w:rPr>
        <w:t>。</w:t>
      </w:r>
      <w:r>
        <w:rPr>
          <w:rFonts w:hint="eastAsia"/>
          <w:b w:val="0"/>
          <w:bCs w:val="0"/>
          <w:color w:val="auto"/>
          <w:highlight w:val="none"/>
          <w:u w:val="none"/>
          <w:lang w:val="en-US" w:eastAsia="zh-CN"/>
        </w:rPr>
        <w:t>加强噪声敏感建筑物建设管控，</w:t>
      </w:r>
      <w:r>
        <w:rPr>
          <w:rFonts w:hint="eastAsia"/>
          <w:b w:val="0"/>
          <w:bCs w:val="0"/>
          <w:color w:val="auto"/>
          <w:highlight w:val="none"/>
          <w:u w:val="none"/>
        </w:rPr>
        <w:t>强化住宅建筑隔声质量验收监管</w:t>
      </w:r>
      <w:r>
        <w:rPr>
          <w:rFonts w:hint="eastAsia"/>
          <w:b w:val="0"/>
          <w:bCs w:val="0"/>
          <w:color w:val="auto"/>
          <w:highlight w:val="none"/>
          <w:u w:val="none"/>
          <w:lang w:val="en-US" w:eastAsia="zh-CN"/>
        </w:rPr>
        <w:t>。</w:t>
      </w:r>
      <w:r>
        <w:rPr>
          <w:rFonts w:hint="eastAsia"/>
          <w:b w:val="0"/>
          <w:bCs w:val="0"/>
          <w:color w:val="auto"/>
          <w:highlight w:val="none"/>
          <w:u w:val="none"/>
        </w:rPr>
        <w:t>配合推进机场噪声管控。按照市级统一部署，配合开展机场周边噪声影响调查与评估，落实机场</w:t>
      </w:r>
      <w:r>
        <w:rPr>
          <w:rFonts w:hint="eastAsia"/>
          <w:b w:val="0"/>
          <w:bCs w:val="0"/>
          <w:color w:val="auto"/>
          <w:highlight w:val="none"/>
          <w:u w:val="none"/>
          <w:lang w:val="en-US" w:eastAsia="zh-CN"/>
        </w:rPr>
        <w:t>周边</w:t>
      </w:r>
      <w:r>
        <w:rPr>
          <w:rFonts w:hint="eastAsia"/>
          <w:b w:val="0"/>
          <w:bCs w:val="0"/>
          <w:color w:val="auto"/>
          <w:highlight w:val="none"/>
          <w:u w:val="none"/>
        </w:rPr>
        <w:t>噪声敏感建筑物禁止建设区和限制建设区</w:t>
      </w:r>
      <w:r>
        <w:rPr>
          <w:rFonts w:hint="eastAsia"/>
          <w:b w:val="0"/>
          <w:bCs w:val="0"/>
          <w:color w:val="auto"/>
          <w:highlight w:val="none"/>
          <w:u w:val="none"/>
          <w:lang w:val="en-US" w:eastAsia="zh-CN"/>
        </w:rPr>
        <w:t>管理</w:t>
      </w:r>
      <w:r>
        <w:rPr>
          <w:rFonts w:hint="eastAsia"/>
          <w:b w:val="0"/>
          <w:bCs w:val="0"/>
          <w:color w:val="auto"/>
          <w:highlight w:val="none"/>
          <w:u w:val="none"/>
        </w:rPr>
        <w:t>要求。</w:t>
      </w:r>
    </w:p>
    <w:p w14:paraId="02AD4814">
      <w:pPr>
        <w:pStyle w:val="5"/>
        <w:keepNext w:val="0"/>
        <w:keepLines w:val="0"/>
        <w:pageBreakBefore w:val="0"/>
        <w:widowControl w:val="0"/>
        <w:numPr>
          <w:ilvl w:val="0"/>
          <w:numId w:val="10"/>
        </w:numPr>
        <w:kinsoku/>
        <w:wordWrap/>
        <w:overflowPunct/>
        <w:topLinePunct w:val="0"/>
        <w:autoSpaceDE/>
        <w:autoSpaceDN/>
        <w:bidi w:val="0"/>
        <w:adjustRightInd/>
        <w:snapToGrid/>
        <w:textAlignment w:val="auto"/>
        <w:rPr>
          <w:rFonts w:hint="eastAsia"/>
          <w:b w:val="0"/>
          <w:bCs w:val="0"/>
          <w:color w:val="auto"/>
          <w:u w:val="none"/>
          <w:shd w:val="clear" w:color="auto" w:fill="auto"/>
          <w:lang w:val="en-US" w:eastAsia="zh-CN"/>
        </w:rPr>
      </w:pPr>
      <w:r>
        <w:rPr>
          <w:rFonts w:hint="eastAsia" w:ascii="仿宋_GB2312" w:hAnsi="仿宋_GB2312" w:eastAsia="仿宋_GB2312" w:cs="仿宋_GB2312"/>
          <w:b w:val="0"/>
          <w:bCs w:val="0"/>
          <w:color w:val="auto"/>
          <w:u w:val="none"/>
          <w:shd w:val="clear" w:color="auto" w:fill="auto"/>
          <w:lang w:val="en-US" w:eastAsia="zh-CN"/>
        </w:rPr>
        <w:t>深化道路交通噪声污染治理</w:t>
      </w:r>
    </w:p>
    <w:p w14:paraId="13EE66AC">
      <w:pPr>
        <w:keepNext w:val="0"/>
        <w:keepLines w:val="0"/>
        <w:pageBreakBefore w:val="0"/>
        <w:widowControl w:val="0"/>
        <w:kinsoku/>
        <w:wordWrap/>
        <w:overflowPunct/>
        <w:topLinePunct w:val="0"/>
        <w:autoSpaceDE/>
        <w:autoSpaceDN/>
        <w:bidi w:val="0"/>
        <w:adjustRightInd/>
        <w:snapToGrid/>
        <w:ind w:firstLine="640"/>
        <w:textAlignment w:val="auto"/>
        <w:rPr>
          <w:rFonts w:hint="eastAsia"/>
          <w:b w:val="0"/>
          <w:bCs w:val="0"/>
          <w:color w:val="auto"/>
          <w:highlight w:val="none"/>
          <w:u w:val="none"/>
        </w:rPr>
      </w:pPr>
      <w:r>
        <w:rPr>
          <w:rFonts w:hint="eastAsia"/>
          <w:b w:val="0"/>
          <w:bCs w:val="0"/>
          <w:color w:val="auto"/>
          <w:highlight w:val="none"/>
          <w:u w:val="none"/>
          <w:lang w:val="en-US" w:eastAsia="zh-CN"/>
        </w:rPr>
        <w:t>强化交通噪声常态化监管。</w:t>
      </w:r>
      <w:r>
        <w:rPr>
          <w:rFonts w:hint="eastAsia"/>
          <w:b w:val="0"/>
          <w:bCs w:val="0"/>
          <w:color w:val="auto"/>
          <w:highlight w:val="none"/>
          <w:u w:val="none"/>
        </w:rPr>
        <w:t>结合“消声静路”专项行动，聚焦群众关心的交通噪声突出问题，通过“技防+人防”综合施策，系统推进重点路段、重点车辆、重点时段噪声治理</w:t>
      </w:r>
      <w:r>
        <w:rPr>
          <w:rFonts w:hint="eastAsia"/>
          <w:b w:val="0"/>
          <w:bCs w:val="0"/>
          <w:color w:val="auto"/>
          <w:highlight w:val="none"/>
          <w:u w:val="none"/>
          <w:lang w:eastAsia="zh-CN"/>
        </w:rPr>
        <w:t>。</w:t>
      </w:r>
      <w:r>
        <w:rPr>
          <w:rFonts w:hint="eastAsia"/>
          <w:b w:val="0"/>
          <w:bCs w:val="0"/>
          <w:highlight w:val="none"/>
          <w:u w:val="none"/>
        </w:rPr>
        <w:t>依法划定噪声敏感建筑物集中区域禁鸣路段与时段，设立统一规范的告示标志和交通标线，并向社会公告。</w:t>
      </w:r>
      <w:r>
        <w:rPr>
          <w:rFonts w:hint="eastAsia"/>
          <w:b w:val="0"/>
          <w:bCs w:val="0"/>
          <w:color w:val="auto"/>
          <w:highlight w:val="none"/>
          <w:u w:val="none"/>
          <w:lang w:val="en-US" w:eastAsia="zh-CN"/>
        </w:rPr>
        <w:t>同时，在</w:t>
      </w:r>
      <w:r>
        <w:rPr>
          <w:rFonts w:hint="eastAsia"/>
          <w:b w:val="0"/>
          <w:bCs w:val="0"/>
          <w:color w:val="auto"/>
          <w:highlight w:val="none"/>
          <w:u w:val="none"/>
        </w:rPr>
        <w:t>重点路段推广鸣笛抓拍、</w:t>
      </w:r>
      <w:r>
        <w:rPr>
          <w:rFonts w:hint="eastAsia"/>
          <w:b w:val="0"/>
          <w:bCs w:val="0"/>
          <w:color w:val="auto"/>
          <w:highlight w:val="none"/>
          <w:u w:val="none"/>
          <w:lang w:eastAsia="zh-CN"/>
        </w:rPr>
        <w:t>“</w:t>
      </w:r>
      <w:r>
        <w:rPr>
          <w:rFonts w:hint="eastAsia"/>
          <w:b w:val="0"/>
          <w:bCs w:val="0"/>
          <w:color w:val="auto"/>
          <w:highlight w:val="none"/>
          <w:u w:val="none"/>
        </w:rPr>
        <w:t>炸街</w:t>
      </w:r>
      <w:r>
        <w:rPr>
          <w:rFonts w:hint="eastAsia"/>
          <w:b w:val="0"/>
          <w:bCs w:val="0"/>
          <w:color w:val="auto"/>
          <w:highlight w:val="none"/>
          <w:u w:val="none"/>
          <w:lang w:eastAsia="zh-CN"/>
        </w:rPr>
        <w:t>”</w:t>
      </w:r>
      <w:r>
        <w:rPr>
          <w:rFonts w:hint="eastAsia"/>
          <w:b w:val="0"/>
          <w:bCs w:val="0"/>
          <w:color w:val="auto"/>
          <w:highlight w:val="none"/>
          <w:u w:val="none"/>
        </w:rPr>
        <w:t>识别等非现场执法</w:t>
      </w:r>
      <w:r>
        <w:rPr>
          <w:rFonts w:hint="eastAsia"/>
          <w:b w:val="0"/>
          <w:bCs w:val="0"/>
          <w:color w:val="auto"/>
          <w:highlight w:val="none"/>
          <w:u w:val="none"/>
          <w:lang w:val="en-US" w:eastAsia="zh-CN"/>
        </w:rPr>
        <w:t>设施</w:t>
      </w:r>
      <w:r>
        <w:rPr>
          <w:rFonts w:hint="eastAsia"/>
          <w:b w:val="0"/>
          <w:bCs w:val="0"/>
          <w:color w:val="auto"/>
          <w:highlight w:val="none"/>
          <w:u w:val="none"/>
        </w:rPr>
        <w:t>，提升</w:t>
      </w:r>
      <w:r>
        <w:rPr>
          <w:rFonts w:hint="eastAsia"/>
          <w:b w:val="0"/>
          <w:bCs w:val="0"/>
          <w:color w:val="auto"/>
          <w:highlight w:val="none"/>
          <w:u w:val="none"/>
          <w:lang w:val="en-US" w:eastAsia="zh-CN"/>
        </w:rPr>
        <w:t>对违规</w:t>
      </w:r>
      <w:r>
        <w:rPr>
          <w:rFonts w:hint="eastAsia"/>
          <w:b w:val="0"/>
          <w:bCs w:val="0"/>
          <w:color w:val="auto"/>
          <w:highlight w:val="none"/>
          <w:u w:val="none"/>
        </w:rPr>
        <w:t>鸣笛、</w:t>
      </w:r>
      <w:r>
        <w:rPr>
          <w:rFonts w:hint="eastAsia"/>
          <w:b w:val="0"/>
          <w:bCs w:val="0"/>
          <w:color w:val="auto"/>
          <w:highlight w:val="none"/>
          <w:u w:val="none"/>
          <w:lang w:val="en-US" w:eastAsia="zh-CN"/>
        </w:rPr>
        <w:t>非法改装车辆轰鸣</w:t>
      </w:r>
      <w:r>
        <w:rPr>
          <w:rFonts w:hint="eastAsia"/>
          <w:b w:val="0"/>
          <w:bCs w:val="0"/>
          <w:color w:val="auto"/>
          <w:highlight w:val="none"/>
          <w:u w:val="none"/>
        </w:rPr>
        <w:t>等行为的</w:t>
      </w:r>
      <w:r>
        <w:rPr>
          <w:rFonts w:hint="eastAsia"/>
          <w:b w:val="0"/>
          <w:bCs w:val="0"/>
          <w:color w:val="auto"/>
          <w:highlight w:val="none"/>
          <w:u w:val="none"/>
          <w:lang w:val="en-US" w:eastAsia="zh-CN"/>
        </w:rPr>
        <w:t>精准</w:t>
      </w:r>
      <w:r>
        <w:rPr>
          <w:rFonts w:hint="eastAsia"/>
          <w:b w:val="0"/>
          <w:bCs w:val="0"/>
          <w:color w:val="auto"/>
          <w:highlight w:val="none"/>
          <w:u w:val="none"/>
        </w:rPr>
        <w:t>查处效能</w:t>
      </w:r>
      <w:r>
        <w:rPr>
          <w:rFonts w:hint="eastAsia"/>
          <w:b w:val="0"/>
          <w:bCs w:val="0"/>
          <w:color w:val="auto"/>
          <w:highlight w:val="none"/>
          <w:u w:val="none"/>
          <w:lang w:eastAsia="zh-CN"/>
        </w:rPr>
        <w:t>。</w:t>
      </w:r>
      <w:r>
        <w:rPr>
          <w:rFonts w:hint="eastAsia"/>
          <w:b w:val="0"/>
          <w:bCs w:val="0"/>
          <w:color w:val="auto"/>
          <w:highlight w:val="none"/>
          <w:u w:val="none"/>
        </w:rPr>
        <w:t>加强对渣土车、混凝土搅拌车等重型车辆的通行管控，结合道路实际优化限行时段</w:t>
      </w:r>
      <w:r>
        <w:rPr>
          <w:rFonts w:hint="eastAsia"/>
          <w:b w:val="0"/>
          <w:bCs w:val="0"/>
          <w:color w:val="auto"/>
          <w:highlight w:val="none"/>
          <w:u w:val="none"/>
          <w:lang w:val="en-US" w:eastAsia="zh-CN"/>
        </w:rPr>
        <w:t>与</w:t>
      </w:r>
      <w:r>
        <w:rPr>
          <w:rFonts w:hint="eastAsia"/>
          <w:b w:val="0"/>
          <w:bCs w:val="0"/>
          <w:color w:val="auto"/>
          <w:highlight w:val="none"/>
          <w:u w:val="none"/>
        </w:rPr>
        <w:t>路段，降低重型车辆噪声扰民影响。</w:t>
      </w:r>
    </w:p>
    <w:p w14:paraId="54831167">
      <w:pPr>
        <w:keepNext w:val="0"/>
        <w:keepLines w:val="0"/>
        <w:pageBreakBefore w:val="0"/>
        <w:widowControl w:val="0"/>
        <w:kinsoku/>
        <w:wordWrap/>
        <w:overflowPunct/>
        <w:topLinePunct w:val="0"/>
        <w:autoSpaceDE/>
        <w:autoSpaceDN/>
        <w:bidi w:val="0"/>
        <w:adjustRightInd/>
        <w:snapToGrid/>
        <w:ind w:firstLine="640"/>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实施重点路段精准治理。</w:t>
      </w:r>
      <w:r>
        <w:rPr>
          <w:rFonts w:hint="eastAsia"/>
          <w:b w:val="0"/>
          <w:bCs w:val="0"/>
          <w:highlight w:val="none"/>
          <w:u w:val="none"/>
        </w:rPr>
        <w:t>结合噪声敏感建筑物集中区域划定、信访投诉高发区筛查及声环境现状监测结果</w:t>
      </w:r>
      <w:r>
        <w:rPr>
          <w:rFonts w:hint="eastAsia"/>
          <w:b w:val="0"/>
          <w:bCs w:val="0"/>
          <w:color w:val="auto"/>
          <w:highlight w:val="none"/>
          <w:u w:val="none"/>
          <w:lang w:val="en-US" w:eastAsia="zh-CN"/>
        </w:rPr>
        <w:t>，</w:t>
      </w:r>
      <w:r>
        <w:rPr>
          <w:rFonts w:hint="eastAsia"/>
          <w:b w:val="0"/>
          <w:bCs w:val="0"/>
          <w:color w:val="auto"/>
          <w:highlight w:val="none"/>
          <w:u w:val="none"/>
        </w:rPr>
        <w:t>建立</w:t>
      </w:r>
      <w:r>
        <w:rPr>
          <w:rFonts w:hint="eastAsia"/>
          <w:b w:val="0"/>
          <w:bCs w:val="0"/>
          <w:color w:val="auto"/>
          <w:highlight w:val="none"/>
          <w:u w:val="none"/>
          <w:lang w:val="en-US" w:eastAsia="zh-CN"/>
        </w:rPr>
        <w:t>动态更新的</w:t>
      </w:r>
      <w:r>
        <w:rPr>
          <w:rFonts w:hint="eastAsia"/>
          <w:b w:val="0"/>
          <w:bCs w:val="0"/>
          <w:color w:val="auto"/>
          <w:highlight w:val="none"/>
          <w:u w:val="none"/>
        </w:rPr>
        <w:t>重点路段</w:t>
      </w:r>
      <w:r>
        <w:rPr>
          <w:rFonts w:hint="eastAsia"/>
          <w:b w:val="0"/>
          <w:bCs w:val="0"/>
          <w:color w:val="auto"/>
          <w:highlight w:val="none"/>
          <w:u w:val="none"/>
          <w:lang w:val="en-US" w:eastAsia="zh-CN"/>
        </w:rPr>
        <w:t>管理</w:t>
      </w:r>
      <w:r>
        <w:rPr>
          <w:rFonts w:hint="eastAsia"/>
          <w:b w:val="0"/>
          <w:bCs w:val="0"/>
          <w:color w:val="auto"/>
          <w:highlight w:val="none"/>
          <w:u w:val="none"/>
        </w:rPr>
        <w:t>台账，</w:t>
      </w:r>
      <w:r>
        <w:rPr>
          <w:rFonts w:hint="eastAsia"/>
          <w:b w:val="0"/>
          <w:bCs w:val="0"/>
          <w:color w:val="auto"/>
          <w:highlight w:val="none"/>
          <w:u w:val="none"/>
          <w:lang w:val="en-US" w:eastAsia="zh-CN"/>
        </w:rPr>
        <w:t>落实</w:t>
      </w:r>
      <w:r>
        <w:rPr>
          <w:rFonts w:hint="eastAsia"/>
          <w:b w:val="0"/>
          <w:bCs w:val="0"/>
          <w:color w:val="auto"/>
          <w:highlight w:val="none"/>
          <w:u w:val="none"/>
        </w:rPr>
        <w:t>“一路一策”</w:t>
      </w:r>
      <w:r>
        <w:rPr>
          <w:rFonts w:hint="eastAsia"/>
          <w:b w:val="0"/>
          <w:bCs w:val="0"/>
          <w:color w:val="auto"/>
          <w:highlight w:val="none"/>
          <w:u w:val="none"/>
          <w:lang w:val="en-US" w:eastAsia="zh-CN"/>
        </w:rPr>
        <w:t>精细化</w:t>
      </w:r>
      <w:r>
        <w:rPr>
          <w:rFonts w:hint="eastAsia"/>
          <w:b w:val="0"/>
          <w:bCs w:val="0"/>
          <w:color w:val="auto"/>
          <w:highlight w:val="none"/>
          <w:u w:val="none"/>
        </w:rPr>
        <w:t>治理</w:t>
      </w:r>
      <w:r>
        <w:rPr>
          <w:rFonts w:hint="eastAsia"/>
          <w:b w:val="0"/>
          <w:bCs w:val="0"/>
          <w:color w:val="auto"/>
          <w:highlight w:val="none"/>
          <w:u w:val="none"/>
          <w:lang w:val="en-US" w:eastAsia="zh-CN"/>
        </w:rPr>
        <w:t>要求</w:t>
      </w:r>
      <w:r>
        <w:rPr>
          <w:rFonts w:hint="eastAsia"/>
          <w:b w:val="0"/>
          <w:bCs w:val="0"/>
          <w:color w:val="auto"/>
          <w:highlight w:val="none"/>
          <w:u w:val="none"/>
        </w:rPr>
        <w:t>。</w:t>
      </w:r>
      <w:r>
        <w:rPr>
          <w:rFonts w:hint="eastAsia"/>
          <w:b w:val="0"/>
          <w:bCs w:val="0"/>
          <w:color w:val="auto"/>
          <w:highlight w:val="none"/>
          <w:u w:val="none"/>
          <w:lang w:val="en-US" w:eastAsia="zh-CN"/>
        </w:rPr>
        <w:t>结合道路大修或改扩建工程，在具备</w:t>
      </w:r>
      <w:r>
        <w:rPr>
          <w:rFonts w:hint="eastAsia"/>
          <w:b w:val="0"/>
          <w:bCs w:val="0"/>
          <w:color w:val="auto"/>
          <w:highlight w:val="none"/>
          <w:u w:val="none"/>
        </w:rPr>
        <w:t>条件的</w:t>
      </w:r>
      <w:r>
        <w:rPr>
          <w:rFonts w:hint="eastAsia"/>
          <w:b w:val="0"/>
          <w:bCs w:val="0"/>
          <w:color w:val="auto"/>
          <w:highlight w:val="none"/>
          <w:u w:val="none"/>
          <w:lang w:val="en-US" w:eastAsia="zh-CN"/>
        </w:rPr>
        <w:t>路段优先</w:t>
      </w:r>
      <w:r>
        <w:rPr>
          <w:rFonts w:hint="eastAsia"/>
          <w:b w:val="0"/>
          <w:bCs w:val="0"/>
          <w:color w:val="auto"/>
          <w:highlight w:val="none"/>
          <w:u w:val="none"/>
        </w:rPr>
        <w:t>推广</w:t>
      </w:r>
      <w:r>
        <w:rPr>
          <w:rFonts w:hint="eastAsia"/>
          <w:b w:val="0"/>
          <w:bCs w:val="0"/>
          <w:color w:val="auto"/>
          <w:highlight w:val="none"/>
          <w:u w:val="none"/>
          <w:lang w:val="en-US" w:eastAsia="zh-CN"/>
        </w:rPr>
        <w:t>应用</w:t>
      </w:r>
      <w:r>
        <w:rPr>
          <w:rFonts w:hint="eastAsia"/>
          <w:b w:val="0"/>
          <w:bCs w:val="0"/>
          <w:color w:val="auto"/>
          <w:highlight w:val="none"/>
          <w:u w:val="none"/>
        </w:rPr>
        <w:t>低噪声沥青，降低轮胎与路面噪声</w:t>
      </w:r>
      <w:r>
        <w:rPr>
          <w:rFonts w:hint="eastAsia"/>
          <w:b w:val="0"/>
          <w:bCs w:val="0"/>
          <w:color w:val="auto"/>
          <w:highlight w:val="none"/>
          <w:u w:val="none"/>
          <w:lang w:eastAsia="zh-CN"/>
        </w:rPr>
        <w:t>。</w:t>
      </w:r>
      <w:r>
        <w:rPr>
          <w:rFonts w:hint="eastAsia"/>
          <w:b w:val="0"/>
          <w:bCs w:val="0"/>
          <w:color w:val="auto"/>
          <w:highlight w:val="none"/>
          <w:u w:val="none"/>
          <w:lang w:val="en-US" w:eastAsia="zh-CN"/>
        </w:rPr>
        <w:t>在道路红线外侧用地条件允许的路段，探索建设乔灌草相结合的</w:t>
      </w:r>
      <w:r>
        <w:rPr>
          <w:rFonts w:hint="eastAsia"/>
          <w:b w:val="0"/>
          <w:bCs w:val="0"/>
          <w:color w:val="auto"/>
          <w:highlight w:val="none"/>
          <w:u w:val="none"/>
        </w:rPr>
        <w:t>生态</w:t>
      </w:r>
      <w:r>
        <w:rPr>
          <w:rFonts w:hint="eastAsia"/>
          <w:b w:val="0"/>
          <w:bCs w:val="0"/>
          <w:color w:val="auto"/>
          <w:highlight w:val="none"/>
          <w:u w:val="none"/>
          <w:lang w:val="en-US" w:eastAsia="zh-CN"/>
        </w:rPr>
        <w:t>降噪</w:t>
      </w:r>
      <w:r>
        <w:rPr>
          <w:rFonts w:hint="eastAsia"/>
          <w:b w:val="0"/>
          <w:bCs w:val="0"/>
          <w:color w:val="auto"/>
          <w:highlight w:val="none"/>
          <w:u w:val="none"/>
          <w:lang w:eastAsia="zh-CN"/>
        </w:rPr>
        <w:t>缓冲区</w:t>
      </w:r>
      <w:r>
        <w:rPr>
          <w:rFonts w:hint="eastAsia"/>
          <w:b w:val="0"/>
          <w:bCs w:val="0"/>
          <w:color w:val="auto"/>
          <w:highlight w:val="none"/>
          <w:u w:val="none"/>
        </w:rPr>
        <w:t>，</w:t>
      </w:r>
      <w:r>
        <w:rPr>
          <w:rFonts w:hint="eastAsia"/>
          <w:b w:val="0"/>
          <w:bCs w:val="0"/>
          <w:color w:val="auto"/>
          <w:highlight w:val="none"/>
          <w:u w:val="none"/>
          <w:lang w:val="en-US" w:eastAsia="zh-CN"/>
        </w:rPr>
        <w:t>实现降噪与景观提升协同增效。</w:t>
      </w:r>
    </w:p>
    <w:p w14:paraId="6929E9B8">
      <w:pPr>
        <w:keepNext w:val="0"/>
        <w:keepLines w:val="0"/>
        <w:pageBreakBefore w:val="0"/>
        <w:widowControl w:val="0"/>
        <w:kinsoku/>
        <w:wordWrap/>
        <w:overflowPunct/>
        <w:topLinePunct w:val="0"/>
        <w:autoSpaceDE/>
        <w:autoSpaceDN/>
        <w:bidi w:val="0"/>
        <w:adjustRightInd/>
        <w:snapToGrid/>
        <w:ind w:firstLine="640"/>
        <w:textAlignment w:val="auto"/>
        <w:rPr>
          <w:rFonts w:hint="default"/>
          <w:b w:val="0"/>
          <w:bCs w:val="0"/>
          <w:color w:val="auto"/>
          <w:highlight w:val="none"/>
          <w:u w:val="none"/>
          <w:lang w:val="en-US" w:eastAsia="zh-CN"/>
        </w:rPr>
      </w:pPr>
      <w:r>
        <w:rPr>
          <w:rFonts w:hint="eastAsia"/>
          <w:b w:val="0"/>
          <w:bCs w:val="0"/>
          <w:color w:val="auto"/>
          <w:highlight w:val="none"/>
          <w:u w:val="none"/>
          <w:lang w:val="en-US" w:eastAsia="zh-CN"/>
        </w:rPr>
        <w:t>加强交通设施维护养护。严格</w:t>
      </w:r>
      <w:r>
        <w:rPr>
          <w:rFonts w:hint="eastAsia"/>
          <w:b w:val="0"/>
          <w:bCs w:val="0"/>
          <w:color w:val="auto"/>
          <w:highlight w:val="none"/>
          <w:u w:val="none"/>
        </w:rPr>
        <w:t>落实道路、桥梁、轨道交通设施养护技术规范，及时修复破损路面</w:t>
      </w:r>
      <w:r>
        <w:rPr>
          <w:rFonts w:hint="eastAsia"/>
          <w:b w:val="0"/>
          <w:bCs w:val="0"/>
          <w:color w:val="auto"/>
          <w:highlight w:val="none"/>
          <w:u w:val="none"/>
          <w:lang w:eastAsia="zh-CN"/>
        </w:rPr>
        <w:t>。</w:t>
      </w:r>
      <w:r>
        <w:rPr>
          <w:rFonts w:hint="eastAsia"/>
          <w:b w:val="0"/>
          <w:bCs w:val="0"/>
          <w:highlight w:val="none"/>
          <w:u w:val="none"/>
          <w:lang w:val="en-US" w:eastAsia="zh-CN"/>
        </w:rPr>
        <w:t>对已建成的</w:t>
      </w:r>
      <w:r>
        <w:rPr>
          <w:rFonts w:hint="eastAsia"/>
          <w:b w:val="0"/>
          <w:bCs w:val="0"/>
          <w:color w:val="auto"/>
          <w:highlight w:val="none"/>
          <w:u w:val="none"/>
        </w:rPr>
        <w:t>低噪声路面、声屏障等减振降噪设施</w:t>
      </w:r>
      <w:r>
        <w:rPr>
          <w:rFonts w:hint="eastAsia"/>
          <w:b w:val="0"/>
          <w:bCs w:val="0"/>
          <w:color w:val="auto"/>
          <w:highlight w:val="none"/>
          <w:u w:val="none"/>
          <w:lang w:eastAsia="zh-CN"/>
        </w:rPr>
        <w:t>，</w:t>
      </w:r>
      <w:r>
        <w:rPr>
          <w:rFonts w:hint="eastAsia"/>
          <w:b w:val="0"/>
          <w:bCs w:val="0"/>
          <w:color w:val="auto"/>
          <w:highlight w:val="none"/>
          <w:u w:val="none"/>
        </w:rPr>
        <w:t>定期开展检查</w:t>
      </w:r>
      <w:r>
        <w:rPr>
          <w:rFonts w:hint="eastAsia"/>
          <w:b w:val="0"/>
          <w:bCs w:val="0"/>
          <w:color w:val="auto"/>
          <w:highlight w:val="none"/>
          <w:u w:val="none"/>
          <w:lang w:val="en-US" w:eastAsia="zh-CN"/>
        </w:rPr>
        <w:t>与</w:t>
      </w:r>
      <w:r>
        <w:rPr>
          <w:rFonts w:hint="eastAsia"/>
          <w:b w:val="0"/>
          <w:bCs w:val="0"/>
          <w:color w:val="auto"/>
          <w:highlight w:val="none"/>
          <w:u w:val="none"/>
        </w:rPr>
        <w:t>维护，</w:t>
      </w:r>
      <w:r>
        <w:rPr>
          <w:rFonts w:hint="eastAsia"/>
          <w:b w:val="0"/>
          <w:bCs w:val="0"/>
          <w:color w:val="auto"/>
          <w:highlight w:val="none"/>
          <w:u w:val="none"/>
          <w:lang w:val="en-US" w:eastAsia="zh-CN"/>
        </w:rPr>
        <w:t>并</w:t>
      </w:r>
      <w:r>
        <w:rPr>
          <w:rFonts w:hint="eastAsia"/>
          <w:b w:val="0"/>
          <w:bCs w:val="0"/>
          <w:highlight w:val="none"/>
          <w:u w:val="none"/>
        </w:rPr>
        <w:t>建立设施运行维护档案</w:t>
      </w:r>
      <w:r>
        <w:rPr>
          <w:rFonts w:hint="eastAsia"/>
          <w:b w:val="0"/>
          <w:bCs w:val="0"/>
          <w:color w:val="auto"/>
          <w:highlight w:val="none"/>
          <w:u w:val="none"/>
        </w:rPr>
        <w:t>，</w:t>
      </w:r>
      <w:r>
        <w:rPr>
          <w:rFonts w:hint="eastAsia"/>
          <w:b w:val="0"/>
          <w:bCs w:val="0"/>
          <w:color w:val="auto"/>
          <w:highlight w:val="none"/>
          <w:u w:val="none"/>
          <w:lang w:val="en-US" w:eastAsia="zh-CN"/>
        </w:rPr>
        <w:t>确保减少振动、降低噪声设施保持正常运行</w:t>
      </w:r>
      <w:r>
        <w:rPr>
          <w:rFonts w:hint="eastAsia"/>
          <w:b w:val="0"/>
          <w:bCs w:val="0"/>
          <w:color w:val="auto"/>
          <w:highlight w:val="none"/>
          <w:u w:val="none"/>
        </w:rPr>
        <w:t>。</w:t>
      </w:r>
    </w:p>
    <w:p w14:paraId="78E900D8">
      <w:pPr>
        <w:pStyle w:val="5"/>
        <w:keepNext w:val="0"/>
        <w:keepLines w:val="0"/>
        <w:pageBreakBefore w:val="0"/>
        <w:widowControl w:val="0"/>
        <w:numPr>
          <w:ilvl w:val="0"/>
          <w:numId w:val="1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u w:val="none"/>
          <w:shd w:val="clear" w:color="auto" w:fill="auto"/>
        </w:rPr>
      </w:pPr>
      <w:r>
        <w:rPr>
          <w:rFonts w:hint="eastAsia" w:ascii="仿宋_GB2312" w:hAnsi="仿宋_GB2312" w:eastAsia="仿宋_GB2312" w:cs="仿宋_GB2312"/>
          <w:b w:val="0"/>
          <w:bCs w:val="0"/>
          <w:color w:val="auto"/>
          <w:u w:val="none"/>
          <w:shd w:val="clear" w:color="auto" w:fill="auto"/>
          <w:lang w:val="en-US" w:eastAsia="zh-CN"/>
        </w:rPr>
        <w:t>深化社会生活</w:t>
      </w:r>
      <w:r>
        <w:rPr>
          <w:rFonts w:hint="eastAsia" w:ascii="仿宋_GB2312" w:hAnsi="仿宋_GB2312" w:eastAsia="仿宋_GB2312" w:cs="仿宋_GB2312"/>
          <w:b w:val="0"/>
          <w:bCs w:val="0"/>
          <w:color w:val="auto"/>
          <w:u w:val="none"/>
          <w:shd w:val="clear" w:color="auto" w:fill="auto"/>
        </w:rPr>
        <w:t>噪声</w:t>
      </w:r>
      <w:r>
        <w:rPr>
          <w:rFonts w:hint="eastAsia" w:ascii="仿宋_GB2312" w:hAnsi="仿宋_GB2312" w:eastAsia="仿宋_GB2312" w:cs="仿宋_GB2312"/>
          <w:b w:val="0"/>
          <w:bCs w:val="0"/>
          <w:color w:val="auto"/>
          <w:u w:val="none"/>
          <w:shd w:val="clear" w:color="auto" w:fill="auto"/>
          <w:lang w:val="en-US" w:eastAsia="zh-CN"/>
        </w:rPr>
        <w:t>污染治理</w:t>
      </w:r>
    </w:p>
    <w:p w14:paraId="3D1B3B6F">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rPr>
      </w:pPr>
      <w:r>
        <w:rPr>
          <w:rFonts w:hint="eastAsia"/>
          <w:b w:val="0"/>
          <w:bCs w:val="0"/>
          <w:color w:val="auto"/>
          <w:highlight w:val="none"/>
          <w:u w:val="none"/>
          <w:lang w:val="en-US" w:eastAsia="zh-CN"/>
        </w:rPr>
        <w:t>深化公共场所噪声管控。</w:t>
      </w:r>
      <w:r>
        <w:rPr>
          <w:rFonts w:hint="eastAsia"/>
          <w:b w:val="0"/>
          <w:bCs w:val="0"/>
          <w:highlight w:val="none"/>
          <w:u w:val="none"/>
        </w:rPr>
        <w:t>强化公共场所管理者主体责任，合理规定娱乐、健身等活动区域、时段、音量，</w:t>
      </w:r>
      <w:r>
        <w:rPr>
          <w:rFonts w:hint="eastAsia"/>
          <w:b w:val="0"/>
          <w:bCs w:val="0"/>
          <w:color w:val="auto"/>
          <w:highlight w:val="none"/>
          <w:u w:val="none"/>
          <w:lang w:val="en-US" w:eastAsia="zh-CN"/>
        </w:rPr>
        <w:t>鼓励配备定向音响等降噪</w:t>
      </w:r>
      <w:r>
        <w:rPr>
          <w:rFonts w:hint="eastAsia"/>
          <w:b w:val="0"/>
          <w:bCs w:val="0"/>
          <w:color w:val="auto"/>
          <w:highlight w:val="none"/>
          <w:u w:val="none"/>
        </w:rPr>
        <w:t>设施，引导活动团体签订文明活动自律公约，</w:t>
      </w:r>
      <w:r>
        <w:rPr>
          <w:rFonts w:hint="eastAsia"/>
          <w:b w:val="0"/>
          <w:bCs w:val="0"/>
          <w:color w:val="auto"/>
          <w:highlight w:val="none"/>
          <w:u w:val="none"/>
          <w:lang w:val="en-US" w:eastAsia="zh-CN"/>
        </w:rPr>
        <w:t>自觉</w:t>
      </w:r>
      <w:r>
        <w:rPr>
          <w:rFonts w:hint="eastAsia"/>
          <w:b w:val="0"/>
          <w:bCs w:val="0"/>
          <w:highlight w:val="none"/>
          <w:u w:val="none"/>
        </w:rPr>
        <w:t>遵守公共场所管理者有关活动区域、时段、音量等</w:t>
      </w:r>
      <w:r>
        <w:rPr>
          <w:rFonts w:hint="eastAsia"/>
          <w:b w:val="0"/>
          <w:bCs w:val="0"/>
          <w:highlight w:val="none"/>
          <w:u w:val="none"/>
          <w:lang w:val="en-US" w:eastAsia="zh-CN"/>
        </w:rPr>
        <w:t>要求</w:t>
      </w:r>
      <w:r>
        <w:rPr>
          <w:rFonts w:hint="eastAsia"/>
          <w:b w:val="0"/>
          <w:bCs w:val="0"/>
          <w:color w:val="auto"/>
          <w:highlight w:val="none"/>
          <w:u w:val="none"/>
          <w:lang w:eastAsia="zh-CN"/>
        </w:rPr>
        <w:t>，</w:t>
      </w:r>
      <w:r>
        <w:rPr>
          <w:rFonts w:hint="eastAsia"/>
          <w:b w:val="0"/>
          <w:bCs w:val="0"/>
          <w:color w:val="auto"/>
          <w:highlight w:val="none"/>
          <w:u w:val="none"/>
        </w:rPr>
        <w:t>减少对周边居民</w:t>
      </w:r>
      <w:r>
        <w:rPr>
          <w:rFonts w:hint="eastAsia"/>
          <w:b w:val="0"/>
          <w:bCs w:val="0"/>
          <w:color w:val="auto"/>
          <w:highlight w:val="none"/>
          <w:u w:val="none"/>
          <w:lang w:val="en-US" w:eastAsia="zh-CN"/>
        </w:rPr>
        <w:t>的噪声</w:t>
      </w:r>
      <w:r>
        <w:rPr>
          <w:rFonts w:hint="eastAsia"/>
          <w:b w:val="0"/>
          <w:bCs w:val="0"/>
          <w:color w:val="auto"/>
          <w:highlight w:val="none"/>
          <w:u w:val="none"/>
        </w:rPr>
        <w:t>干扰。</w:t>
      </w:r>
    </w:p>
    <w:p w14:paraId="62A7702D">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rPr>
      </w:pPr>
      <w:r>
        <w:rPr>
          <w:rFonts w:hint="eastAsia"/>
          <w:b w:val="0"/>
          <w:bCs w:val="0"/>
          <w:color w:val="auto"/>
          <w:highlight w:val="none"/>
          <w:u w:val="none"/>
          <w:lang w:val="en-US" w:eastAsia="zh-CN"/>
        </w:rPr>
        <w:t>深化校园广播噪声扰民治理。引导</w:t>
      </w:r>
      <w:r>
        <w:rPr>
          <w:rFonts w:hint="eastAsia"/>
          <w:b w:val="0"/>
          <w:bCs w:val="0"/>
          <w:color w:val="auto"/>
          <w:highlight w:val="none"/>
          <w:u w:val="none"/>
        </w:rPr>
        <w:t>临近居民区学校</w:t>
      </w:r>
      <w:r>
        <w:rPr>
          <w:rFonts w:hint="eastAsia"/>
          <w:b w:val="0"/>
          <w:bCs w:val="0"/>
          <w:color w:val="auto"/>
          <w:highlight w:val="none"/>
          <w:u w:val="none"/>
          <w:lang w:val="en-US" w:eastAsia="zh-CN"/>
        </w:rPr>
        <w:t>在校园</w:t>
      </w:r>
      <w:r>
        <w:rPr>
          <w:rFonts w:hint="eastAsia"/>
          <w:b w:val="0"/>
          <w:bCs w:val="0"/>
          <w:color w:val="auto"/>
          <w:highlight w:val="none"/>
          <w:u w:val="none"/>
        </w:rPr>
        <w:t>广播系统升级</w:t>
      </w:r>
      <w:r>
        <w:rPr>
          <w:rFonts w:hint="eastAsia"/>
          <w:b w:val="0"/>
          <w:bCs w:val="0"/>
          <w:color w:val="auto"/>
          <w:highlight w:val="none"/>
          <w:u w:val="none"/>
          <w:lang w:val="en-US" w:eastAsia="zh-CN"/>
        </w:rPr>
        <w:t>中优先采用定向发声技术</w:t>
      </w:r>
      <w:r>
        <w:rPr>
          <w:rFonts w:hint="eastAsia"/>
          <w:b w:val="0"/>
          <w:bCs w:val="0"/>
          <w:color w:val="auto"/>
          <w:highlight w:val="none"/>
          <w:u w:val="none"/>
        </w:rPr>
        <w:t>，</w:t>
      </w:r>
      <w:r>
        <w:rPr>
          <w:rFonts w:hint="eastAsia"/>
          <w:b w:val="0"/>
          <w:bCs w:val="0"/>
          <w:color w:val="auto"/>
          <w:highlight w:val="none"/>
          <w:u w:val="none"/>
          <w:lang w:val="en-US" w:eastAsia="zh-CN"/>
        </w:rPr>
        <w:t>适时推动定向广播系统试点建设，降低对周边居民生活的噪声干扰</w:t>
      </w:r>
      <w:r>
        <w:rPr>
          <w:rFonts w:hint="eastAsia"/>
          <w:b w:val="0"/>
          <w:bCs w:val="0"/>
          <w:color w:val="auto"/>
          <w:highlight w:val="none"/>
          <w:u w:val="none"/>
        </w:rPr>
        <w:t>。</w:t>
      </w:r>
    </w:p>
    <w:p w14:paraId="408E8CF7">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eastAsia="zh-CN"/>
        </w:rPr>
      </w:pPr>
      <w:r>
        <w:rPr>
          <w:rFonts w:hint="eastAsia"/>
          <w:b w:val="0"/>
          <w:bCs w:val="0"/>
          <w:color w:val="auto"/>
          <w:highlight w:val="none"/>
          <w:u w:val="none"/>
          <w:lang w:val="en-US" w:eastAsia="zh-CN"/>
        </w:rPr>
        <w:t>强化商业经营噪声源头治理。</w:t>
      </w:r>
      <w:r>
        <w:rPr>
          <w:rFonts w:hint="eastAsia"/>
          <w:b w:val="0"/>
          <w:bCs w:val="0"/>
          <w:color w:val="auto"/>
          <w:highlight w:val="none"/>
          <w:u w:val="none"/>
        </w:rPr>
        <w:t>鼓励噪声敏感建筑物集中区</w:t>
      </w:r>
      <w:r>
        <w:rPr>
          <w:rFonts w:hint="eastAsia"/>
          <w:b w:val="0"/>
          <w:bCs w:val="0"/>
          <w:color w:val="auto"/>
          <w:highlight w:val="none"/>
          <w:u w:val="none"/>
          <w:lang w:val="en-US" w:eastAsia="zh-CN"/>
        </w:rPr>
        <w:t>内的</w:t>
      </w:r>
      <w:r>
        <w:rPr>
          <w:rFonts w:hint="eastAsia"/>
          <w:b w:val="0"/>
          <w:bCs w:val="0"/>
          <w:color w:val="auto"/>
          <w:highlight w:val="none"/>
          <w:u w:val="none"/>
        </w:rPr>
        <w:t>商业楼宇、</w:t>
      </w:r>
      <w:r>
        <w:rPr>
          <w:rFonts w:hint="eastAsia"/>
          <w:b w:val="0"/>
          <w:bCs w:val="0"/>
          <w:color w:val="auto"/>
          <w:highlight w:val="none"/>
          <w:u w:val="none"/>
          <w:lang w:val="en-US" w:eastAsia="zh-CN"/>
        </w:rPr>
        <w:t>餐饮、娱乐、商超等经营主体，</w:t>
      </w:r>
      <w:r>
        <w:rPr>
          <w:rFonts w:hint="eastAsia"/>
          <w:b w:val="0"/>
          <w:bCs w:val="0"/>
          <w:color w:val="auto"/>
          <w:highlight w:val="none"/>
          <w:u w:val="none"/>
        </w:rPr>
        <w:t>在</w:t>
      </w:r>
      <w:r>
        <w:rPr>
          <w:rFonts w:hint="eastAsia"/>
          <w:b w:val="0"/>
          <w:bCs w:val="0"/>
          <w:color w:val="auto"/>
          <w:highlight w:val="none"/>
          <w:u w:val="none"/>
          <w:lang w:val="en-US" w:eastAsia="zh-CN"/>
        </w:rPr>
        <w:t>新改扩建和设备</w:t>
      </w:r>
      <w:r>
        <w:rPr>
          <w:rFonts w:hint="eastAsia"/>
          <w:b w:val="0"/>
          <w:bCs w:val="0"/>
          <w:color w:val="auto"/>
          <w:highlight w:val="none"/>
          <w:u w:val="none"/>
        </w:rPr>
        <w:t>更新改造时优先选用低噪声</w:t>
      </w:r>
      <w:r>
        <w:rPr>
          <w:rFonts w:hint="eastAsia"/>
          <w:b w:val="0"/>
          <w:bCs w:val="0"/>
          <w:color w:val="auto"/>
          <w:highlight w:val="none"/>
          <w:u w:val="none"/>
          <w:lang w:val="en-US" w:eastAsia="zh-CN"/>
        </w:rPr>
        <w:t>的</w:t>
      </w:r>
      <w:r>
        <w:rPr>
          <w:rFonts w:hint="eastAsia"/>
          <w:b w:val="0"/>
          <w:bCs w:val="0"/>
          <w:color w:val="auto"/>
          <w:highlight w:val="none"/>
          <w:u w:val="none"/>
        </w:rPr>
        <w:t>冷却塔、空调室外机、风机等设备。对临近居民楼的冷却塔等固定设备，</w:t>
      </w:r>
      <w:r>
        <w:rPr>
          <w:rFonts w:hint="eastAsia"/>
          <w:b w:val="0"/>
          <w:bCs w:val="0"/>
          <w:color w:val="auto"/>
          <w:highlight w:val="none"/>
          <w:u w:val="none"/>
          <w:lang w:val="en-US" w:eastAsia="zh-CN"/>
        </w:rPr>
        <w:t>督促经营者采取</w:t>
      </w:r>
      <w:r>
        <w:rPr>
          <w:rFonts w:hint="eastAsia"/>
          <w:b w:val="0"/>
          <w:bCs w:val="0"/>
          <w:color w:val="auto"/>
          <w:highlight w:val="none"/>
          <w:u w:val="none"/>
        </w:rPr>
        <w:t>加装隔声罩、隔声板等工程措施，降低设备运行噪声对周边环境的</w:t>
      </w:r>
      <w:r>
        <w:rPr>
          <w:rFonts w:hint="eastAsia"/>
          <w:b w:val="0"/>
          <w:bCs w:val="0"/>
          <w:color w:val="auto"/>
          <w:highlight w:val="none"/>
          <w:u w:val="none"/>
          <w:lang w:eastAsia="zh-CN"/>
        </w:rPr>
        <w:t>影响。</w:t>
      </w:r>
      <w:r>
        <w:rPr>
          <w:rFonts w:hint="eastAsia"/>
          <w:b w:val="0"/>
          <w:bCs w:val="0"/>
          <w:color w:val="auto"/>
          <w:highlight w:val="none"/>
          <w:u w:val="none"/>
          <w:lang w:val="en-US" w:eastAsia="zh-CN"/>
        </w:rPr>
        <w:t>同时，引导经营管理者</w:t>
      </w:r>
      <w:r>
        <w:rPr>
          <w:rFonts w:hint="eastAsia"/>
          <w:b w:val="0"/>
          <w:bCs w:val="0"/>
          <w:color w:val="auto"/>
          <w:highlight w:val="none"/>
          <w:u w:val="none"/>
        </w:rPr>
        <w:t>加强设备维护保养和</w:t>
      </w:r>
      <w:r>
        <w:rPr>
          <w:rFonts w:hint="eastAsia"/>
          <w:b w:val="0"/>
          <w:bCs w:val="0"/>
          <w:color w:val="auto"/>
          <w:highlight w:val="none"/>
          <w:u w:val="none"/>
          <w:lang w:val="en-US" w:eastAsia="zh-CN"/>
        </w:rPr>
        <w:t>经营活动管理，减少噪声扰民</w:t>
      </w:r>
      <w:r>
        <w:rPr>
          <w:rFonts w:hint="eastAsia"/>
          <w:b w:val="0"/>
          <w:bCs w:val="0"/>
          <w:color w:val="auto"/>
          <w:highlight w:val="none"/>
          <w:u w:val="none"/>
          <w:lang w:eastAsia="zh-CN"/>
        </w:rPr>
        <w:t>。</w:t>
      </w:r>
    </w:p>
    <w:p w14:paraId="662BB713">
      <w:pPr>
        <w:pStyle w:val="5"/>
        <w:keepNext w:val="0"/>
        <w:keepLines w:val="0"/>
        <w:pageBreakBefore w:val="0"/>
        <w:widowControl w:val="0"/>
        <w:numPr>
          <w:ilvl w:val="0"/>
          <w:numId w:val="1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u w:val="none"/>
          <w:shd w:val="clear" w:color="auto" w:fill="auto"/>
          <w:lang w:eastAsia="zh-CN"/>
        </w:rPr>
      </w:pPr>
      <w:r>
        <w:rPr>
          <w:rFonts w:hint="eastAsia" w:ascii="仿宋_GB2312" w:hAnsi="仿宋_GB2312" w:eastAsia="仿宋_GB2312" w:cs="仿宋_GB2312"/>
          <w:b w:val="0"/>
          <w:bCs w:val="0"/>
          <w:color w:val="auto"/>
          <w:u w:val="none"/>
          <w:shd w:val="clear" w:color="auto" w:fill="auto"/>
        </w:rPr>
        <w:t>深化</w:t>
      </w:r>
      <w:r>
        <w:rPr>
          <w:rFonts w:hint="eastAsia" w:ascii="仿宋_GB2312" w:hAnsi="仿宋_GB2312" w:eastAsia="仿宋_GB2312" w:cs="仿宋_GB2312"/>
          <w:b w:val="0"/>
          <w:bCs w:val="0"/>
          <w:color w:val="auto"/>
          <w:u w:val="none"/>
          <w:shd w:val="clear" w:color="auto" w:fill="auto"/>
          <w:lang w:val="en-US" w:eastAsia="zh-CN"/>
        </w:rPr>
        <w:t>建筑</w:t>
      </w:r>
      <w:r>
        <w:rPr>
          <w:rFonts w:hint="eastAsia" w:ascii="仿宋_GB2312" w:hAnsi="仿宋_GB2312" w:eastAsia="仿宋_GB2312" w:cs="仿宋_GB2312"/>
          <w:b w:val="0"/>
          <w:bCs w:val="0"/>
          <w:color w:val="auto"/>
          <w:u w:val="none"/>
          <w:shd w:val="clear" w:color="auto" w:fill="auto"/>
        </w:rPr>
        <w:t>施工噪声</w:t>
      </w:r>
      <w:r>
        <w:rPr>
          <w:rFonts w:hint="eastAsia" w:ascii="仿宋_GB2312" w:hAnsi="仿宋_GB2312" w:eastAsia="仿宋_GB2312" w:cs="仿宋_GB2312"/>
          <w:b w:val="0"/>
          <w:bCs w:val="0"/>
          <w:color w:val="auto"/>
          <w:u w:val="none"/>
          <w:shd w:val="clear" w:color="auto" w:fill="auto"/>
          <w:lang w:val="en-US" w:eastAsia="zh-CN"/>
        </w:rPr>
        <w:t>污染</w:t>
      </w:r>
      <w:r>
        <w:rPr>
          <w:rFonts w:hint="eastAsia" w:ascii="仿宋_GB2312" w:hAnsi="仿宋_GB2312" w:eastAsia="仿宋_GB2312" w:cs="仿宋_GB2312"/>
          <w:b w:val="0"/>
          <w:bCs w:val="0"/>
          <w:color w:val="auto"/>
          <w:u w:val="none"/>
          <w:shd w:val="clear" w:color="auto" w:fill="auto"/>
        </w:rPr>
        <w:t>治理</w:t>
      </w:r>
    </w:p>
    <w:p w14:paraId="006988E8">
      <w:pPr>
        <w:keepNext w:val="0"/>
        <w:keepLines w:val="0"/>
        <w:pageBreakBefore w:val="0"/>
        <w:widowControl w:val="0"/>
        <w:kinsoku/>
        <w:wordWrap/>
        <w:overflowPunct/>
        <w:topLinePunct w:val="0"/>
        <w:autoSpaceDE/>
        <w:autoSpaceDN/>
        <w:bidi w:val="0"/>
        <w:adjustRightInd/>
        <w:snapToGrid/>
        <w:textAlignment w:val="auto"/>
        <w:rPr>
          <w:rFonts w:hint="default" w:eastAsia="仿宋_GB2312"/>
          <w:b w:val="0"/>
          <w:bCs w:val="0"/>
          <w:color w:val="auto"/>
          <w:highlight w:val="none"/>
          <w:u w:val="none"/>
          <w:lang w:val="en-US" w:eastAsia="zh-CN"/>
        </w:rPr>
      </w:pPr>
      <w:r>
        <w:rPr>
          <w:rFonts w:hint="eastAsia"/>
          <w:b w:val="0"/>
          <w:bCs w:val="0"/>
          <w:color w:val="auto"/>
          <w:highlight w:val="none"/>
          <w:u w:val="none"/>
          <w:lang w:val="en-US" w:eastAsia="zh-CN"/>
        </w:rPr>
        <w:t>强化施工噪声源头管控。</w:t>
      </w:r>
      <w:r>
        <w:rPr>
          <w:rFonts w:hint="eastAsia"/>
          <w:b w:val="0"/>
          <w:bCs w:val="0"/>
          <w:color w:val="auto"/>
          <w:highlight w:val="none"/>
          <w:u w:val="none"/>
        </w:rPr>
        <w:t>推广</w:t>
      </w:r>
      <w:r>
        <w:rPr>
          <w:rFonts w:hint="eastAsia"/>
          <w:b w:val="0"/>
          <w:bCs w:val="0"/>
          <w:color w:val="auto"/>
          <w:highlight w:val="none"/>
          <w:u w:val="none"/>
          <w:lang w:val="en-US" w:eastAsia="zh-CN"/>
        </w:rPr>
        <w:t>使用</w:t>
      </w:r>
      <w:r>
        <w:rPr>
          <w:rFonts w:hint="eastAsia"/>
          <w:b w:val="0"/>
          <w:bCs w:val="0"/>
          <w:color w:val="auto"/>
          <w:highlight w:val="none"/>
          <w:u w:val="none"/>
        </w:rPr>
        <w:t>低噪声施工工艺和设备，</w:t>
      </w:r>
      <w:r>
        <w:rPr>
          <w:rFonts w:hint="eastAsia"/>
          <w:b w:val="0"/>
          <w:bCs w:val="0"/>
          <w:color w:val="auto"/>
          <w:highlight w:val="none"/>
          <w:u w:val="none"/>
          <w:lang w:val="en-US" w:eastAsia="zh-CN"/>
        </w:rPr>
        <w:t>监督建设单位督促</w:t>
      </w:r>
      <w:r>
        <w:rPr>
          <w:rFonts w:hint="eastAsia"/>
          <w:b w:val="0"/>
          <w:bCs w:val="0"/>
          <w:color w:val="auto"/>
          <w:highlight w:val="none"/>
          <w:u w:val="none"/>
        </w:rPr>
        <w:t>施工单位编制噪声防治</w:t>
      </w:r>
      <w:r>
        <w:rPr>
          <w:rFonts w:hint="eastAsia"/>
          <w:b w:val="0"/>
          <w:bCs w:val="0"/>
          <w:color w:val="auto"/>
          <w:highlight w:val="none"/>
          <w:u w:val="none"/>
          <w:lang w:val="en-US" w:eastAsia="zh-CN"/>
        </w:rPr>
        <w:t>实施</w:t>
      </w:r>
      <w:r>
        <w:rPr>
          <w:rFonts w:hint="eastAsia"/>
          <w:b w:val="0"/>
          <w:bCs w:val="0"/>
          <w:color w:val="auto"/>
          <w:highlight w:val="none"/>
          <w:u w:val="none"/>
        </w:rPr>
        <w:t>方案并严格落实</w:t>
      </w:r>
      <w:r>
        <w:rPr>
          <w:rFonts w:hint="eastAsia"/>
          <w:b w:val="0"/>
          <w:bCs w:val="0"/>
          <w:color w:val="auto"/>
          <w:highlight w:val="none"/>
          <w:u w:val="none"/>
          <w:lang w:eastAsia="zh-CN"/>
        </w:rPr>
        <w:t>，</w:t>
      </w:r>
      <w:r>
        <w:rPr>
          <w:rFonts w:hint="eastAsia"/>
          <w:b w:val="0"/>
          <w:bCs w:val="0"/>
          <w:color w:val="auto"/>
          <w:highlight w:val="none"/>
          <w:u w:val="none"/>
          <w:lang w:val="en-US" w:eastAsia="zh-CN"/>
        </w:rPr>
        <w:t>强化责任约束机制。</w:t>
      </w:r>
    </w:p>
    <w:p w14:paraId="6A3E6C83">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rPr>
      </w:pPr>
      <w:r>
        <w:rPr>
          <w:rFonts w:hint="eastAsia"/>
          <w:b w:val="0"/>
          <w:bCs w:val="0"/>
          <w:color w:val="auto"/>
          <w:highlight w:val="none"/>
          <w:u w:val="none"/>
          <w:lang w:val="en-US" w:eastAsia="zh-CN"/>
        </w:rPr>
        <w:t>推进施工噪声智慧监管。</w:t>
      </w:r>
      <w:r>
        <w:rPr>
          <w:rFonts w:hint="eastAsia"/>
          <w:b w:val="0"/>
          <w:bCs w:val="0"/>
          <w:highlight w:val="none"/>
          <w:u w:val="none"/>
        </w:rPr>
        <w:t>严格落实噪声敏感建筑物集中区域施工噪声管控要求</w:t>
      </w:r>
      <w:r>
        <w:rPr>
          <w:rFonts w:hint="eastAsia"/>
          <w:b w:val="0"/>
          <w:bCs w:val="0"/>
          <w:color w:val="auto"/>
          <w:highlight w:val="none"/>
          <w:u w:val="none"/>
        </w:rPr>
        <w:t>。</w:t>
      </w:r>
      <w:r>
        <w:rPr>
          <w:rFonts w:hint="eastAsia"/>
          <w:b w:val="0"/>
          <w:bCs w:val="0"/>
          <w:highlight w:val="none"/>
          <w:u w:val="none"/>
        </w:rPr>
        <w:t>督促建设单位依据《中华人民共和国噪声污染防治法》等规定，</w:t>
      </w:r>
      <w:r>
        <w:rPr>
          <w:rFonts w:hint="eastAsia"/>
          <w:b w:val="0"/>
          <w:bCs w:val="0"/>
          <w:highlight w:val="none"/>
          <w:u w:val="none"/>
          <w:lang w:val="en-US" w:eastAsia="zh-CN"/>
        </w:rPr>
        <w:t>在</w:t>
      </w:r>
      <w:r>
        <w:rPr>
          <w:rFonts w:hint="eastAsia"/>
          <w:b w:val="0"/>
          <w:bCs w:val="0"/>
          <w:highlight w:val="none"/>
          <w:u w:val="none"/>
        </w:rPr>
        <w:t>施工作业</w:t>
      </w:r>
      <w:r>
        <w:rPr>
          <w:rFonts w:hint="eastAsia"/>
          <w:b w:val="0"/>
          <w:bCs w:val="0"/>
          <w:highlight w:val="none"/>
          <w:u w:val="none"/>
          <w:lang w:val="en-US" w:eastAsia="zh-CN"/>
        </w:rPr>
        <w:t>区域设置</w:t>
      </w:r>
      <w:r>
        <w:rPr>
          <w:rFonts w:hint="eastAsia"/>
          <w:b w:val="0"/>
          <w:bCs w:val="0"/>
          <w:highlight w:val="none"/>
          <w:u w:val="none"/>
        </w:rPr>
        <w:t>噪声自动监测系统</w:t>
      </w:r>
      <w:r>
        <w:rPr>
          <w:rFonts w:hint="eastAsia"/>
          <w:b w:val="0"/>
          <w:bCs w:val="0"/>
          <w:highlight w:val="none"/>
          <w:u w:val="none"/>
          <w:lang w:val="en-US" w:eastAsia="zh-CN"/>
        </w:rPr>
        <w:t>并与监管部门</w:t>
      </w:r>
      <w:r>
        <w:rPr>
          <w:rFonts w:hint="eastAsia"/>
          <w:b w:val="0"/>
          <w:bCs w:val="0"/>
          <w:highlight w:val="none"/>
          <w:u w:val="none"/>
        </w:rPr>
        <w:t>联网</w:t>
      </w:r>
      <w:r>
        <w:rPr>
          <w:rFonts w:hint="eastAsia"/>
          <w:b w:val="0"/>
          <w:bCs w:val="0"/>
          <w:highlight w:val="none"/>
          <w:u w:val="none"/>
          <w:lang w:eastAsia="zh-CN"/>
        </w:rPr>
        <w:t>。</w:t>
      </w:r>
      <w:r>
        <w:rPr>
          <w:rFonts w:hint="eastAsia"/>
          <w:b w:val="0"/>
          <w:bCs w:val="0"/>
          <w:highlight w:val="none"/>
          <w:u w:val="none"/>
          <w:lang w:val="en-US" w:eastAsia="zh-CN"/>
        </w:rPr>
        <w:t>依托</w:t>
      </w:r>
      <w:r>
        <w:rPr>
          <w:rFonts w:hint="eastAsia"/>
          <w:b w:val="0"/>
          <w:bCs w:val="0"/>
          <w:color w:val="auto"/>
          <w:highlight w:val="none"/>
          <w:u w:val="none"/>
          <w:lang w:val="en-US" w:eastAsia="zh-CN"/>
        </w:rPr>
        <w:t>“智慧工地”平台，</w:t>
      </w:r>
      <w:r>
        <w:rPr>
          <w:rFonts w:hint="eastAsia"/>
          <w:b w:val="0"/>
          <w:bCs w:val="0"/>
          <w:color w:val="auto"/>
          <w:highlight w:val="none"/>
          <w:u w:val="none"/>
        </w:rPr>
        <w:t>对非作业时段擅自施工、噪声超标等行为</w:t>
      </w:r>
      <w:r>
        <w:rPr>
          <w:rFonts w:hint="eastAsia"/>
          <w:b w:val="0"/>
          <w:bCs w:val="0"/>
          <w:color w:val="auto"/>
          <w:highlight w:val="none"/>
          <w:u w:val="none"/>
          <w:lang w:val="en-US" w:eastAsia="zh-CN"/>
        </w:rPr>
        <w:t>实施</w:t>
      </w:r>
      <w:r>
        <w:rPr>
          <w:rFonts w:hint="eastAsia"/>
          <w:b w:val="0"/>
          <w:bCs w:val="0"/>
          <w:color w:val="auto"/>
          <w:highlight w:val="none"/>
          <w:u w:val="none"/>
        </w:rPr>
        <w:t>非现场</w:t>
      </w:r>
      <w:r>
        <w:rPr>
          <w:rFonts w:hint="eastAsia"/>
          <w:b w:val="0"/>
          <w:bCs w:val="0"/>
          <w:color w:val="auto"/>
          <w:highlight w:val="none"/>
          <w:u w:val="none"/>
          <w:lang w:val="en-US" w:eastAsia="zh-CN"/>
        </w:rPr>
        <w:t>监测预警，联动现场执法力量开展核查处置，实现闭环整改</w:t>
      </w:r>
      <w:r>
        <w:rPr>
          <w:rFonts w:hint="eastAsia"/>
          <w:b w:val="0"/>
          <w:bCs w:val="0"/>
          <w:color w:val="auto"/>
          <w:highlight w:val="none"/>
          <w:u w:val="none"/>
        </w:rPr>
        <w:t>，提升精准监管效能。</w:t>
      </w:r>
    </w:p>
    <w:p w14:paraId="4FE8C994">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rPr>
      </w:pPr>
      <w:r>
        <w:rPr>
          <w:rFonts w:hint="eastAsia"/>
          <w:b w:val="0"/>
          <w:bCs w:val="0"/>
          <w:color w:val="auto"/>
          <w:highlight w:val="none"/>
          <w:u w:val="none"/>
          <w:lang w:val="en-US" w:eastAsia="zh-CN"/>
        </w:rPr>
        <w:t>深化夜间施工扰民治理。</w:t>
      </w:r>
      <w:r>
        <w:rPr>
          <w:rFonts w:hint="eastAsia"/>
          <w:b w:val="0"/>
          <w:bCs w:val="0"/>
          <w:color w:val="auto"/>
          <w:highlight w:val="none"/>
          <w:u w:val="none"/>
        </w:rPr>
        <w:t>严格夜间施工管理，</w:t>
      </w:r>
      <w:r>
        <w:rPr>
          <w:rFonts w:hint="eastAsia"/>
          <w:b w:val="0"/>
          <w:bCs w:val="0"/>
          <w:color w:val="auto"/>
          <w:highlight w:val="none"/>
          <w:u w:val="none"/>
          <w:lang w:val="en-US" w:eastAsia="zh-CN"/>
        </w:rPr>
        <w:t>依法依规做好</w:t>
      </w:r>
      <w:r>
        <w:rPr>
          <w:rFonts w:hint="eastAsia"/>
          <w:b w:val="0"/>
          <w:bCs w:val="0"/>
          <w:color w:val="auto"/>
          <w:highlight w:val="none"/>
          <w:u w:val="none"/>
        </w:rPr>
        <w:t>夜间施工证明服务指导</w:t>
      </w:r>
      <w:r>
        <w:rPr>
          <w:rFonts w:hint="eastAsia"/>
          <w:b w:val="0"/>
          <w:bCs w:val="0"/>
          <w:color w:val="auto"/>
          <w:highlight w:val="none"/>
          <w:u w:val="none"/>
          <w:lang w:val="en-US" w:eastAsia="zh-CN"/>
        </w:rPr>
        <w:t>。</w:t>
      </w:r>
      <w:r>
        <w:rPr>
          <w:rFonts w:hint="eastAsia"/>
          <w:b w:val="0"/>
          <w:bCs w:val="0"/>
          <w:highlight w:val="none"/>
          <w:u w:val="none"/>
        </w:rPr>
        <w:t>梳理临近住宅的</w:t>
      </w:r>
      <w:r>
        <w:rPr>
          <w:rFonts w:hint="eastAsia"/>
          <w:b w:val="0"/>
          <w:bCs w:val="0"/>
          <w:highlight w:val="none"/>
          <w:u w:val="none"/>
          <w:lang w:val="en-US" w:eastAsia="zh-CN"/>
        </w:rPr>
        <w:t>房屋建筑工程</w:t>
      </w:r>
      <w:r>
        <w:rPr>
          <w:rFonts w:hint="eastAsia"/>
          <w:b w:val="0"/>
          <w:bCs w:val="0"/>
          <w:highlight w:val="none"/>
          <w:u w:val="none"/>
        </w:rPr>
        <w:t>、道路大修</w:t>
      </w:r>
      <w:r>
        <w:rPr>
          <w:rFonts w:hint="eastAsia"/>
          <w:b w:val="0"/>
          <w:bCs w:val="0"/>
          <w:highlight w:val="none"/>
          <w:u w:val="none"/>
          <w:lang w:val="en-US" w:eastAsia="zh-CN"/>
        </w:rPr>
        <w:t>工程</w:t>
      </w:r>
      <w:r>
        <w:rPr>
          <w:rFonts w:hint="eastAsia"/>
          <w:b w:val="0"/>
          <w:bCs w:val="0"/>
          <w:highlight w:val="none"/>
          <w:u w:val="none"/>
        </w:rPr>
        <w:t>、市政工程</w:t>
      </w:r>
      <w:r>
        <w:rPr>
          <w:rFonts w:hint="eastAsia"/>
          <w:b w:val="0"/>
          <w:bCs w:val="0"/>
          <w:highlight w:val="none"/>
          <w:u w:val="none"/>
          <w:lang w:eastAsia="zh-CN"/>
        </w:rPr>
        <w:t>等台账</w:t>
      </w:r>
      <w:r>
        <w:rPr>
          <w:rFonts w:hint="eastAsia"/>
          <w:b w:val="0"/>
          <w:bCs w:val="0"/>
          <w:highlight w:val="none"/>
          <w:u w:val="none"/>
        </w:rPr>
        <w:t>，建立夜间施工噪声动态研判机制，</w:t>
      </w:r>
      <w:r>
        <w:rPr>
          <w:rFonts w:hint="eastAsia"/>
          <w:b w:val="0"/>
          <w:bCs w:val="0"/>
          <w:color w:val="auto"/>
          <w:highlight w:val="none"/>
          <w:u w:val="none"/>
        </w:rPr>
        <w:t>强化事中事后监管，</w:t>
      </w:r>
      <w:r>
        <w:rPr>
          <w:rFonts w:hint="eastAsia"/>
          <w:b w:val="0"/>
          <w:bCs w:val="0"/>
          <w:color w:val="auto"/>
          <w:highlight w:val="none"/>
          <w:u w:val="none"/>
          <w:lang w:val="en-US" w:eastAsia="zh-CN"/>
        </w:rPr>
        <w:t>对</w:t>
      </w:r>
      <w:r>
        <w:rPr>
          <w:rFonts w:hint="eastAsia"/>
          <w:b w:val="0"/>
          <w:bCs w:val="0"/>
          <w:color w:val="auto"/>
          <w:highlight w:val="none"/>
          <w:u w:val="none"/>
        </w:rPr>
        <w:t>投诉</w:t>
      </w:r>
      <w:r>
        <w:rPr>
          <w:rFonts w:hint="eastAsia"/>
          <w:b w:val="0"/>
          <w:bCs w:val="0"/>
          <w:color w:val="auto"/>
          <w:highlight w:val="none"/>
          <w:u w:val="none"/>
          <w:lang w:val="en-US" w:eastAsia="zh-CN"/>
        </w:rPr>
        <w:t>高发及问题频发项目加大巡查频次</w:t>
      </w:r>
      <w:r>
        <w:rPr>
          <w:rFonts w:hint="eastAsia"/>
          <w:b w:val="0"/>
          <w:bCs w:val="0"/>
          <w:color w:val="auto"/>
          <w:highlight w:val="none"/>
          <w:u w:val="none"/>
        </w:rPr>
        <w:t>。加大夜间施工噪声违法行为查处力度，</w:t>
      </w:r>
      <w:r>
        <w:rPr>
          <w:rFonts w:hint="eastAsia"/>
          <w:b w:val="0"/>
          <w:bCs w:val="0"/>
          <w:color w:val="auto"/>
          <w:highlight w:val="none"/>
          <w:u w:val="none"/>
          <w:lang w:val="en-US" w:eastAsia="zh-CN"/>
        </w:rPr>
        <w:t>依法严查</w:t>
      </w:r>
      <w:r>
        <w:rPr>
          <w:rFonts w:hint="eastAsia"/>
          <w:b w:val="0"/>
          <w:bCs w:val="0"/>
          <w:color w:val="auto"/>
          <w:highlight w:val="none"/>
          <w:u w:val="none"/>
        </w:rPr>
        <w:t>无证施工、超时施工等扰民行为。</w:t>
      </w:r>
    </w:p>
    <w:p w14:paraId="5C6BE90C">
      <w:pPr>
        <w:pStyle w:val="3"/>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u w:val="none"/>
          <w:lang w:val="en-US" w:eastAsia="zh-CN"/>
        </w:rPr>
      </w:pPr>
      <w:bookmarkStart w:id="176" w:name="_Toc27762"/>
      <w:bookmarkStart w:id="177" w:name="_Toc30263"/>
      <w:bookmarkStart w:id="178" w:name="_Toc23282"/>
      <w:bookmarkStart w:id="179" w:name="_Toc2419"/>
      <w:bookmarkStart w:id="180" w:name="_Toc30632"/>
      <w:bookmarkStart w:id="181" w:name="_Toc18851"/>
      <w:bookmarkStart w:id="182" w:name="_Toc4372"/>
      <w:bookmarkStart w:id="183" w:name="_Toc25147"/>
      <w:bookmarkStart w:id="184" w:name="_Toc32508"/>
      <w:bookmarkStart w:id="185" w:name="_Toc26534"/>
      <w:r>
        <w:rPr>
          <w:rFonts w:hint="eastAsia" w:ascii="黑体" w:hAnsi="黑体" w:eastAsia="黑体" w:cs="黑体"/>
          <w:b w:val="0"/>
          <w:bCs w:val="0"/>
          <w:color w:val="auto"/>
          <w:highlight w:val="none"/>
          <w:u w:val="none"/>
        </w:rPr>
        <w:t>五、</w:t>
      </w:r>
      <w:r>
        <w:rPr>
          <w:rFonts w:hint="eastAsia" w:ascii="黑体" w:hAnsi="黑体" w:eastAsia="黑体" w:cs="黑体"/>
          <w:b w:val="0"/>
          <w:bCs w:val="0"/>
          <w:color w:val="auto"/>
          <w:highlight w:val="none"/>
          <w:u w:val="none"/>
          <w:lang w:val="en-US" w:eastAsia="zh-CN"/>
        </w:rPr>
        <w:t>绘就平原新城多彩画卷</w:t>
      </w:r>
      <w:bookmarkEnd w:id="176"/>
      <w:bookmarkEnd w:id="177"/>
      <w:bookmarkEnd w:id="178"/>
      <w:bookmarkEnd w:id="179"/>
      <w:bookmarkEnd w:id="180"/>
      <w:bookmarkEnd w:id="181"/>
      <w:bookmarkEnd w:id="182"/>
      <w:bookmarkEnd w:id="183"/>
      <w:bookmarkEnd w:id="184"/>
      <w:bookmarkEnd w:id="185"/>
    </w:p>
    <w:p w14:paraId="35C5E3F0">
      <w:pPr>
        <w:pStyle w:val="4"/>
        <w:keepNext w:val="0"/>
        <w:keepLines w:val="0"/>
        <w:pageBreakBefore w:val="0"/>
        <w:widowControl w:val="0"/>
        <w:numPr>
          <w:ilvl w:val="0"/>
          <w:numId w:val="11"/>
        </w:numPr>
        <w:kinsoku/>
        <w:wordWrap/>
        <w:overflowPunct/>
        <w:topLinePunct w:val="0"/>
        <w:autoSpaceDE/>
        <w:autoSpaceDN/>
        <w:bidi w:val="0"/>
        <w:adjustRightInd/>
        <w:snapToGrid/>
        <w:textAlignment w:val="auto"/>
        <w:rPr>
          <w:rFonts w:hint="eastAsia"/>
          <w:b w:val="0"/>
          <w:bCs w:val="0"/>
          <w:color w:val="auto"/>
          <w:u w:val="none"/>
          <w:shd w:val="clear" w:color="auto" w:fill="auto"/>
          <w:lang w:val="en-US" w:eastAsia="zh-CN"/>
        </w:rPr>
      </w:pPr>
      <w:bookmarkStart w:id="186" w:name="_Toc6860"/>
      <w:bookmarkStart w:id="187" w:name="_Toc32359"/>
      <w:bookmarkStart w:id="188" w:name="_Toc10903"/>
      <w:bookmarkStart w:id="189" w:name="_Toc28954"/>
      <w:bookmarkStart w:id="190" w:name="_Toc19753"/>
      <w:bookmarkStart w:id="191" w:name="_Toc6454"/>
      <w:bookmarkStart w:id="192" w:name="_Toc30785"/>
      <w:bookmarkStart w:id="193" w:name="_Toc3832"/>
      <w:bookmarkStart w:id="194" w:name="_Toc30180"/>
      <w:bookmarkStart w:id="195" w:name="_Toc26828"/>
      <w:r>
        <w:rPr>
          <w:rFonts w:hint="eastAsia"/>
          <w:b w:val="0"/>
          <w:bCs w:val="0"/>
          <w:color w:val="auto"/>
          <w:u w:val="none"/>
          <w:shd w:val="clear" w:color="auto" w:fill="auto"/>
          <w:lang w:val="en-US" w:eastAsia="zh-CN"/>
        </w:rPr>
        <w:t>厚植绿色生态基底</w:t>
      </w:r>
      <w:bookmarkEnd w:id="186"/>
      <w:bookmarkEnd w:id="187"/>
      <w:bookmarkEnd w:id="188"/>
      <w:bookmarkEnd w:id="189"/>
      <w:bookmarkEnd w:id="190"/>
      <w:bookmarkEnd w:id="191"/>
      <w:bookmarkEnd w:id="192"/>
      <w:bookmarkEnd w:id="193"/>
      <w:bookmarkEnd w:id="194"/>
      <w:bookmarkEnd w:id="195"/>
    </w:p>
    <w:p w14:paraId="14F40F44">
      <w:pPr>
        <w:keepNext w:val="0"/>
        <w:keepLines w:val="0"/>
        <w:pageBreakBefore w:val="0"/>
        <w:widowControl w:val="0"/>
        <w:kinsoku/>
        <w:wordWrap/>
        <w:overflowPunct/>
        <w:topLinePunct w:val="0"/>
        <w:autoSpaceDE/>
        <w:autoSpaceDN/>
        <w:bidi w:val="0"/>
        <w:adjustRightInd/>
        <w:snapToGrid/>
        <w:textAlignment w:val="auto"/>
        <w:rPr>
          <w:rFonts w:hint="default" w:eastAsia="仿宋_GB2312"/>
          <w:b w:val="0"/>
          <w:bCs w:val="0"/>
          <w:color w:val="auto"/>
          <w:highlight w:val="none"/>
          <w:u w:val="none"/>
          <w:shd w:val="clear" w:color="auto" w:fill="auto"/>
          <w:lang w:val="en-US" w:eastAsia="zh-CN"/>
        </w:rPr>
      </w:pPr>
      <w:r>
        <w:rPr>
          <w:rFonts w:hint="default" w:eastAsia="仿宋_GB2312"/>
          <w:b w:val="0"/>
          <w:bCs w:val="0"/>
          <w:color w:val="auto"/>
          <w:highlight w:val="none"/>
          <w:u w:val="none"/>
          <w:shd w:val="clear"/>
          <w:lang w:val="en-US" w:eastAsia="zh-CN"/>
        </w:rPr>
        <w:t>坚持山水林田湖草沙一体化保护与系统治理，以优化生态空间格局为先导，持续提升生态系统质量和稳定性，厚植蓝绿交织的生态本底，健全重要生态空间监管机制，让绿色成为顺义高质量发展的鲜明底色</w:t>
      </w:r>
      <w:r>
        <w:rPr>
          <w:rFonts w:hint="eastAsia"/>
          <w:b w:val="0"/>
          <w:bCs w:val="0"/>
          <w:color w:val="auto"/>
          <w:highlight w:val="none"/>
          <w:u w:val="none"/>
          <w:shd w:val="clear"/>
          <w:lang w:val="en-US" w:eastAsia="zh-CN"/>
        </w:rPr>
        <w:t>。</w:t>
      </w:r>
    </w:p>
    <w:p w14:paraId="375501B4">
      <w:pPr>
        <w:pStyle w:val="5"/>
        <w:keepNext w:val="0"/>
        <w:keepLines w:val="0"/>
        <w:pageBreakBefore w:val="0"/>
        <w:widowControl w:val="0"/>
        <w:numPr>
          <w:ilvl w:val="0"/>
          <w:numId w:val="12"/>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优化生态空间格局</w:t>
      </w:r>
    </w:p>
    <w:p w14:paraId="513DB7A3">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val="en-US" w:eastAsia="zh-CN"/>
        </w:rPr>
      </w:pPr>
      <w:r>
        <w:rPr>
          <w:rFonts w:hint="eastAsia"/>
          <w:b w:val="0"/>
          <w:bCs w:val="0"/>
          <w:color w:val="auto"/>
          <w:highlight w:val="none"/>
          <w:u w:val="none"/>
        </w:rPr>
        <w:t>严格落实顺义分区规划与国土空间用途管制，严守生态保护红线</w:t>
      </w:r>
      <w:r>
        <w:rPr>
          <w:rFonts w:hint="eastAsia"/>
          <w:b w:val="0"/>
          <w:bCs w:val="0"/>
          <w:color w:val="auto"/>
          <w:highlight w:val="none"/>
          <w:u w:val="none"/>
          <w:shd w:val="clear" w:color="auto" w:fill="auto"/>
        </w:rPr>
        <w:t>、</w:t>
      </w:r>
      <w:r>
        <w:rPr>
          <w:rFonts w:hint="eastAsia"/>
          <w:b w:val="0"/>
          <w:bCs w:val="0"/>
          <w:color w:val="auto"/>
          <w:highlight w:val="none"/>
          <w:u w:val="none"/>
          <w:shd w:val="clear" w:color="auto" w:fill="auto"/>
          <w:lang w:val="en-US" w:eastAsia="zh-CN"/>
        </w:rPr>
        <w:t>耕地和</w:t>
      </w:r>
      <w:r>
        <w:rPr>
          <w:rFonts w:hint="eastAsia"/>
          <w:b w:val="0"/>
          <w:bCs w:val="0"/>
          <w:color w:val="auto"/>
          <w:highlight w:val="none"/>
          <w:u w:val="none"/>
          <w:shd w:val="clear" w:color="auto" w:fill="auto"/>
        </w:rPr>
        <w:t>永久基本农田、城镇开发边界三条控制线。对生态保护红线实行最严格保护，强化自然保护地分区分类管控</w:t>
      </w:r>
      <w:r>
        <w:rPr>
          <w:rFonts w:hint="eastAsia"/>
          <w:b w:val="0"/>
          <w:bCs w:val="0"/>
          <w:color w:val="auto"/>
          <w:highlight w:val="none"/>
          <w:u w:val="none"/>
          <w:shd w:val="clear" w:color="auto" w:fill="auto"/>
          <w:lang w:eastAsia="zh-CN"/>
        </w:rPr>
        <w:t>。</w:t>
      </w:r>
      <w:r>
        <w:rPr>
          <w:rFonts w:hint="eastAsia"/>
          <w:b w:val="0"/>
          <w:bCs w:val="0"/>
          <w:color w:val="auto"/>
          <w:highlight w:val="none"/>
          <w:u w:val="none"/>
          <w:shd w:val="clear" w:color="auto" w:fill="auto"/>
        </w:rPr>
        <w:t>加强永久基本农田数量、质量、生态“三位一体”保护。推动城镇开发边界内集约高效发展，严控增量、盘活存量</w:t>
      </w:r>
      <w:r>
        <w:rPr>
          <w:rFonts w:hint="eastAsia"/>
          <w:b w:val="0"/>
          <w:bCs w:val="0"/>
          <w:color w:val="auto"/>
          <w:highlight w:val="none"/>
          <w:u w:val="none"/>
          <w:shd w:val="clear" w:color="auto" w:fill="auto"/>
          <w:lang w:eastAsia="zh-CN"/>
        </w:rPr>
        <w:t>。</w:t>
      </w:r>
      <w:r>
        <w:rPr>
          <w:rFonts w:hint="eastAsia"/>
          <w:b w:val="0"/>
          <w:bCs w:val="0"/>
          <w:color w:val="auto"/>
          <w:highlight w:val="none"/>
          <w:u w:val="none"/>
          <w:shd w:val="clear" w:color="auto" w:fill="auto"/>
        </w:rPr>
        <w:t>强化生态环境分区管控，</w:t>
      </w:r>
      <w:r>
        <w:rPr>
          <w:rFonts w:hint="eastAsia"/>
          <w:b w:val="0"/>
          <w:bCs w:val="0"/>
          <w:color w:val="auto"/>
          <w:highlight w:val="none"/>
          <w:u w:val="none"/>
          <w:shd w:val="clear" w:color="auto" w:fill="auto"/>
          <w:lang w:val="en-US" w:eastAsia="zh-CN"/>
        </w:rPr>
        <w:t>针对区内不同生态空间特性，制定差异化的准入清单和保护策略；推动</w:t>
      </w:r>
      <w:r>
        <w:rPr>
          <w:rFonts w:hint="eastAsia"/>
          <w:b w:val="0"/>
          <w:bCs w:val="0"/>
          <w:color w:val="auto"/>
          <w:highlight w:val="none"/>
          <w:u w:val="none"/>
          <w:shd w:val="clear" w:color="auto" w:fill="auto"/>
        </w:rPr>
        <w:t>建设数字化监管平台，实行分单元差异化精准管控，科学指导各类开发保护建设活动。</w:t>
      </w:r>
      <w:r>
        <w:rPr>
          <w:rFonts w:hint="eastAsia"/>
          <w:b w:val="0"/>
          <w:bCs w:val="0"/>
          <w:color w:val="auto"/>
          <w:highlight w:val="none"/>
          <w:u w:val="none"/>
          <w:shd w:val="clear" w:color="auto" w:fill="auto"/>
          <w:lang w:val="en-US" w:eastAsia="zh-CN"/>
        </w:rPr>
        <w:t>提升</w:t>
      </w:r>
      <w:r>
        <w:rPr>
          <w:rFonts w:hint="eastAsia"/>
          <w:b w:val="0"/>
          <w:bCs w:val="0"/>
          <w:color w:val="auto"/>
          <w:highlight w:val="none"/>
          <w:u w:val="none"/>
          <w:lang w:val="en-US" w:eastAsia="zh-CN"/>
        </w:rPr>
        <w:t>生态系统网络完整性，重点推进温榆河、潮白河等大尺度生态廊道建设，织密互联互通的生态网络格局</w:t>
      </w:r>
      <w:r>
        <w:rPr>
          <w:rFonts w:hint="eastAsia"/>
          <w:b w:val="0"/>
          <w:bCs w:val="0"/>
          <w:color w:val="auto"/>
          <w:highlight w:val="none"/>
          <w:u w:val="none"/>
        </w:rPr>
        <w:t>。推进耕地集中连片整治，依托赵全营镇、杨镇等北部及河东片区，推动零散耕地向“大田”集聚，系统实施高标准农田建设和田水林路村一体化整治，打造智能化科技示范田，到2027年新增高标准农田不低于1.5万亩，在新城西北及河东地区初步呈现开阔疏朗、林田交织的大田风光。</w:t>
      </w:r>
    </w:p>
    <w:p w14:paraId="47C12566">
      <w:pPr>
        <w:pStyle w:val="5"/>
        <w:keepNext w:val="0"/>
        <w:keepLines w:val="0"/>
        <w:pageBreakBefore w:val="0"/>
        <w:widowControl w:val="0"/>
        <w:numPr>
          <w:ilvl w:val="0"/>
          <w:numId w:val="12"/>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系统提升生态环境质量</w:t>
      </w:r>
    </w:p>
    <w:p w14:paraId="392EFCB3">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rPr>
      </w:pPr>
      <w:r>
        <w:rPr>
          <w:rFonts w:hint="eastAsia"/>
          <w:b w:val="0"/>
          <w:bCs w:val="0"/>
          <w:color w:val="auto"/>
          <w:highlight w:val="none"/>
          <w:u w:val="none"/>
        </w:rPr>
        <w:t>定期开展生态环境质量调查评估，识别生态功能退化区域</w:t>
      </w:r>
      <w:r>
        <w:rPr>
          <w:rFonts w:hint="eastAsia"/>
          <w:b w:val="0"/>
          <w:bCs w:val="0"/>
          <w:color w:val="auto"/>
          <w:highlight w:val="none"/>
          <w:u w:val="none"/>
          <w:lang w:val="en-US" w:eastAsia="zh-CN"/>
        </w:rPr>
        <w:t>，为精准实施生态修复提供依据</w:t>
      </w:r>
      <w:r>
        <w:rPr>
          <w:rFonts w:hint="eastAsia"/>
          <w:b w:val="0"/>
          <w:bCs w:val="0"/>
          <w:color w:val="auto"/>
          <w:highlight w:val="none"/>
          <w:u w:val="none"/>
        </w:rPr>
        <w:t>。</w:t>
      </w:r>
      <w:r>
        <w:rPr>
          <w:rFonts w:hint="eastAsia"/>
          <w:b w:val="0"/>
          <w:bCs w:val="0"/>
          <w:color w:val="auto"/>
          <w:highlight w:val="none"/>
          <w:u w:val="none"/>
          <w:lang w:val="en-US" w:eastAsia="zh-CN"/>
        </w:rPr>
        <w:t>持续拓展绿色生态空间，在</w:t>
      </w:r>
      <w:r>
        <w:rPr>
          <w:rFonts w:hint="eastAsia"/>
          <w:b w:val="0"/>
          <w:bCs w:val="0"/>
          <w:color w:val="auto"/>
          <w:highlight w:val="none"/>
          <w:u w:val="none"/>
          <w:lang w:eastAsia="zh-CN"/>
        </w:rPr>
        <w:t>二道绿隔</w:t>
      </w:r>
      <w:r>
        <w:rPr>
          <w:rFonts w:hint="eastAsia"/>
          <w:b w:val="0"/>
          <w:bCs w:val="0"/>
          <w:color w:val="auto"/>
          <w:highlight w:val="none"/>
          <w:u w:val="none"/>
          <w:lang w:val="en-US" w:eastAsia="zh-CN"/>
        </w:rPr>
        <w:t>地区、</w:t>
      </w:r>
      <w:r>
        <w:rPr>
          <w:rFonts w:hint="eastAsia"/>
          <w:b w:val="0"/>
          <w:bCs w:val="0"/>
          <w:color w:val="auto"/>
          <w:highlight w:val="none"/>
          <w:u w:val="none"/>
          <w:lang w:eastAsia="zh-CN"/>
        </w:rPr>
        <w:t>潮白河、</w:t>
      </w:r>
      <w:r>
        <w:rPr>
          <w:rFonts w:hint="eastAsia"/>
          <w:b w:val="0"/>
          <w:bCs w:val="0"/>
          <w:color w:val="auto"/>
          <w:highlight w:val="none"/>
          <w:u w:val="none"/>
          <w:lang w:val="en-US" w:eastAsia="zh-CN"/>
        </w:rPr>
        <w:t>温榆河沿线等重点区域</w:t>
      </w:r>
      <w:r>
        <w:rPr>
          <w:rFonts w:hint="eastAsia"/>
          <w:b w:val="0"/>
          <w:bCs w:val="0"/>
          <w:color w:val="auto"/>
          <w:highlight w:val="none"/>
          <w:u w:val="none"/>
        </w:rPr>
        <w:t>，统筹利用沙荒地、拆迁腾退地等零散空间见缝插绿</w:t>
      </w:r>
      <w:r>
        <w:rPr>
          <w:rFonts w:hint="eastAsia"/>
          <w:b w:val="0"/>
          <w:bCs w:val="0"/>
          <w:color w:val="auto"/>
          <w:highlight w:val="none"/>
          <w:u w:val="none"/>
          <w:lang w:eastAsia="zh-CN"/>
        </w:rPr>
        <w:t>，</w:t>
      </w:r>
      <w:r>
        <w:rPr>
          <w:rFonts w:hint="eastAsia"/>
          <w:b w:val="0"/>
          <w:bCs w:val="0"/>
          <w:color w:val="auto"/>
          <w:highlight w:val="none"/>
          <w:u w:val="none"/>
          <w:lang w:val="en-US" w:eastAsia="zh-CN"/>
        </w:rPr>
        <w:t>提升生态斑块连通性；</w:t>
      </w:r>
      <w:r>
        <w:rPr>
          <w:rFonts w:hint="eastAsia"/>
          <w:b w:val="0"/>
          <w:bCs w:val="0"/>
          <w:color w:val="auto"/>
          <w:highlight w:val="none"/>
          <w:u w:val="none"/>
        </w:rPr>
        <w:t>加快推</w:t>
      </w:r>
      <w:r>
        <w:rPr>
          <w:rFonts w:hint="eastAsia"/>
          <w:b w:val="0"/>
          <w:bCs w:val="0"/>
          <w:color w:val="auto"/>
          <w:highlight w:val="none"/>
          <w:u w:val="none"/>
          <w:lang w:val="en-US" w:eastAsia="zh-CN"/>
        </w:rPr>
        <w:t>进平原造林绿化工程，夯实森林碳库基础。以提升森林生态系统质量为目标，聚焦平原生态林经营，坚持“育大树、营群落、优生态”导向，通过优化林分结构、选用高固碳树种丰富林冠层次，推动国有林场景观与生态功能双提升。在此基础上，加快推进森林近自然化培育，稳步提升林分质量和碳汇能力。到2030年，全区森林覆盖率持续提升。</w:t>
      </w:r>
      <w:r>
        <w:rPr>
          <w:rFonts w:hint="eastAsia"/>
          <w:b w:val="0"/>
          <w:bCs w:val="0"/>
          <w:color w:val="auto"/>
          <w:highlight w:val="none"/>
          <w:u w:val="none"/>
        </w:rPr>
        <w:t>秉持“再野化”理念，因地制宜营造近自然生境，为野生动物栖息创造适宜条件。</w:t>
      </w:r>
    </w:p>
    <w:p w14:paraId="05A301CB">
      <w:pPr>
        <w:pStyle w:val="5"/>
        <w:keepNext w:val="0"/>
        <w:keepLines w:val="0"/>
        <w:pageBreakBefore w:val="0"/>
        <w:widowControl w:val="0"/>
        <w:numPr>
          <w:ilvl w:val="0"/>
          <w:numId w:val="12"/>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cs="仿宋_GB2312"/>
          <w:b w:val="0"/>
          <w:bCs w:val="0"/>
          <w:color w:val="auto"/>
          <w:kern w:val="2"/>
          <w:sz w:val="32"/>
          <w:szCs w:val="32"/>
          <w:u w:val="none"/>
          <w:shd w:val="clear" w:color="auto" w:fill="auto"/>
          <w:lang w:val="en-US" w:eastAsia="zh-CN" w:bidi="ar-SA"/>
        </w:rPr>
        <w:t>夯实</w:t>
      </w:r>
      <w:r>
        <w:rPr>
          <w:rFonts w:hint="eastAsia" w:ascii="仿宋_GB2312" w:hAnsi="仿宋_GB2312" w:eastAsia="仿宋_GB2312" w:cs="仿宋_GB2312"/>
          <w:b w:val="0"/>
          <w:bCs w:val="0"/>
          <w:color w:val="auto"/>
          <w:kern w:val="2"/>
          <w:sz w:val="32"/>
          <w:szCs w:val="32"/>
          <w:u w:val="none"/>
          <w:shd w:val="clear" w:color="auto" w:fill="auto"/>
          <w:lang w:val="en-US" w:eastAsia="zh-CN" w:bidi="ar-SA"/>
        </w:rPr>
        <w:t>蓝绿交织生态本底</w:t>
      </w:r>
    </w:p>
    <w:p w14:paraId="48A6FDA1">
      <w:pPr>
        <w:pStyle w:val="19"/>
        <w:keepNext w:val="0"/>
        <w:keepLines w:val="0"/>
        <w:pageBreakBefore w:val="0"/>
        <w:widowControl w:val="0"/>
        <w:kinsoku/>
        <w:wordWrap/>
        <w:overflowPunct/>
        <w:topLinePunct w:val="0"/>
        <w:autoSpaceDE/>
        <w:autoSpaceDN/>
        <w:bidi w:val="0"/>
        <w:adjustRightInd/>
        <w:snapToGrid/>
        <w:spacing w:after="0"/>
        <w:textAlignment w:val="auto"/>
        <w:rPr>
          <w:rFonts w:hint="default"/>
          <w:b w:val="0"/>
          <w:bCs w:val="0"/>
          <w:color w:val="auto"/>
          <w:highlight w:val="none"/>
          <w:u w:val="none"/>
          <w:shd w:val="clear" w:color="auto" w:fill="auto"/>
          <w:lang w:val="en-US" w:eastAsia="zh-CN"/>
        </w:rPr>
      </w:pPr>
      <w:r>
        <w:rPr>
          <w:rFonts w:hint="default"/>
          <w:b w:val="0"/>
          <w:bCs w:val="0"/>
          <w:strike w:val="0"/>
          <w:dstrike w:val="0"/>
          <w:color w:val="auto"/>
          <w:highlight w:val="none"/>
          <w:u w:val="none"/>
          <w:shd w:val="clear" w:color="auto" w:fill="auto"/>
          <w:lang w:val="en-US" w:eastAsia="zh-CN"/>
        </w:rPr>
        <w:t>系统推进水系蓝绿网络综合治理。</w:t>
      </w:r>
      <w:r>
        <w:rPr>
          <w:rFonts w:hint="default"/>
          <w:b w:val="0"/>
          <w:bCs w:val="0"/>
          <w:highlight w:val="none"/>
          <w:u w:val="none"/>
          <w:shd w:val="clear" w:color="auto" w:fill="auto"/>
        </w:rPr>
        <w:t>以构建大运河（潮白河）森林公园蓝绿空间骨架为引领，</w:t>
      </w:r>
      <w:r>
        <w:rPr>
          <w:rFonts w:hint="eastAsia"/>
          <w:b w:val="0"/>
          <w:bCs w:val="0"/>
          <w:strike w:val="0"/>
          <w:dstrike w:val="0"/>
          <w:color w:val="auto"/>
          <w:highlight w:val="none"/>
          <w:u w:val="none"/>
          <w:shd w:val="clear" w:color="auto" w:fill="auto"/>
          <w:lang w:val="en-US" w:eastAsia="zh-CN"/>
        </w:rPr>
        <w:t>统筹</w:t>
      </w:r>
      <w:r>
        <w:rPr>
          <w:rFonts w:hint="default"/>
          <w:b w:val="0"/>
          <w:bCs w:val="0"/>
          <w:strike w:val="0"/>
          <w:dstrike w:val="0"/>
          <w:color w:val="auto"/>
          <w:highlight w:val="none"/>
          <w:u w:val="none"/>
          <w:shd w:val="clear" w:color="auto" w:fill="auto"/>
          <w:lang w:val="en-US" w:eastAsia="zh-CN"/>
        </w:rPr>
        <w:t>推进潮白河、</w:t>
      </w:r>
      <w:r>
        <w:rPr>
          <w:rFonts w:hint="eastAsia"/>
          <w:b w:val="0"/>
          <w:bCs w:val="0"/>
          <w:strike w:val="0"/>
          <w:dstrike w:val="0"/>
          <w:color w:val="auto"/>
          <w:highlight w:val="none"/>
          <w:u w:val="none"/>
          <w:shd w:val="clear" w:color="auto" w:fill="auto"/>
          <w:lang w:val="en-US" w:eastAsia="zh-CN"/>
        </w:rPr>
        <w:t>温榆河</w:t>
      </w:r>
      <w:r>
        <w:rPr>
          <w:rFonts w:hint="default"/>
          <w:b w:val="0"/>
          <w:bCs w:val="0"/>
          <w:strike w:val="0"/>
          <w:dstrike w:val="0"/>
          <w:color w:val="auto"/>
          <w:highlight w:val="none"/>
          <w:u w:val="none"/>
          <w:shd w:val="clear" w:color="auto" w:fill="auto"/>
          <w:lang w:val="en-US" w:eastAsia="zh-CN"/>
        </w:rPr>
        <w:t>顺义段综合治理与生态修复</w:t>
      </w:r>
      <w:r>
        <w:rPr>
          <w:rFonts w:hint="eastAsia"/>
          <w:b w:val="0"/>
          <w:bCs w:val="0"/>
          <w:strike w:val="0"/>
          <w:dstrike w:val="0"/>
          <w:color w:val="auto"/>
          <w:highlight w:val="none"/>
          <w:u w:val="none"/>
          <w:shd w:val="clear" w:color="auto" w:fill="auto"/>
          <w:lang w:val="en-US" w:eastAsia="zh-CN"/>
        </w:rPr>
        <w:t>，结合</w:t>
      </w:r>
      <w:r>
        <w:rPr>
          <w:rFonts w:hint="default"/>
          <w:b w:val="0"/>
          <w:bCs w:val="0"/>
          <w:strike w:val="0"/>
          <w:dstrike w:val="0"/>
          <w:color w:val="auto"/>
          <w:highlight w:val="none"/>
          <w:u w:val="none"/>
          <w:shd w:val="clear" w:color="auto" w:fill="auto"/>
          <w:lang w:val="en-US" w:eastAsia="zh-CN"/>
        </w:rPr>
        <w:t>土地拆迁腾退，</w:t>
      </w:r>
      <w:r>
        <w:rPr>
          <w:rFonts w:hint="eastAsia"/>
          <w:b w:val="0"/>
          <w:bCs w:val="0"/>
          <w:strike w:val="0"/>
          <w:dstrike w:val="0"/>
          <w:color w:val="auto"/>
          <w:highlight w:val="none"/>
          <w:u w:val="none"/>
          <w:shd w:val="clear" w:color="auto" w:fill="auto"/>
          <w:lang w:val="en-US" w:eastAsia="zh-CN"/>
        </w:rPr>
        <w:t>系统构建蓝绿交织、体系联通的生态网络。</w:t>
      </w:r>
      <w:r>
        <w:rPr>
          <w:rFonts w:hint="default"/>
          <w:b w:val="0"/>
          <w:bCs w:val="0"/>
          <w:strike w:val="0"/>
          <w:dstrike w:val="0"/>
          <w:color w:val="auto"/>
          <w:highlight w:val="none"/>
          <w:u w:val="none"/>
          <w:shd w:val="clear" w:color="auto" w:fill="auto"/>
          <w:lang w:val="en-US" w:eastAsia="zh-CN"/>
        </w:rPr>
        <w:t>深化河流生态补水工程，恢复河流自然水文节律，构建多源互补、循环畅通的</w:t>
      </w:r>
      <w:r>
        <w:rPr>
          <w:rFonts w:hint="eastAsia"/>
          <w:b w:val="0"/>
          <w:bCs w:val="0"/>
          <w:strike w:val="0"/>
          <w:dstrike w:val="0"/>
          <w:color w:val="auto"/>
          <w:highlight w:val="none"/>
          <w:u w:val="none"/>
          <w:shd w:val="clear" w:color="auto" w:fill="auto"/>
          <w:lang w:val="en-US" w:eastAsia="zh-CN"/>
        </w:rPr>
        <w:t>水系连通格局</w:t>
      </w:r>
      <w:r>
        <w:rPr>
          <w:rFonts w:hint="default"/>
          <w:b w:val="0"/>
          <w:bCs w:val="0"/>
          <w:strike w:val="0"/>
          <w:dstrike w:val="0"/>
          <w:color w:val="auto"/>
          <w:highlight w:val="none"/>
          <w:u w:val="none"/>
          <w:shd w:val="clear" w:color="auto" w:fill="auto"/>
          <w:lang w:val="en-US" w:eastAsia="zh-CN"/>
        </w:rPr>
        <w:t>。严格落实自然岸线保有率监测评估要求，在</w:t>
      </w:r>
      <w:r>
        <w:rPr>
          <w:rFonts w:hint="eastAsia"/>
          <w:b w:val="0"/>
          <w:bCs w:val="0"/>
          <w:strike w:val="0"/>
          <w:dstrike w:val="0"/>
          <w:color w:val="auto"/>
          <w:highlight w:val="none"/>
          <w:u w:val="none"/>
          <w:shd w:val="clear" w:color="auto" w:fill="auto"/>
          <w:lang w:val="en-US" w:eastAsia="zh-CN"/>
        </w:rPr>
        <w:t>满足</w:t>
      </w:r>
      <w:r>
        <w:rPr>
          <w:rFonts w:hint="default"/>
          <w:b w:val="0"/>
          <w:bCs w:val="0"/>
          <w:strike w:val="0"/>
          <w:dstrike w:val="0"/>
          <w:color w:val="auto"/>
          <w:highlight w:val="none"/>
          <w:u w:val="none"/>
          <w:shd w:val="clear" w:color="auto" w:fill="auto"/>
          <w:lang w:val="en-US" w:eastAsia="zh-CN"/>
        </w:rPr>
        <w:t>防洪排涝安全前提下，有序推进硬质河湖驳岸生态化改造，恢复岸线蜿蜒度与自然肌理，打通水陆生物迁徙通道</w:t>
      </w:r>
      <w:r>
        <w:rPr>
          <w:rFonts w:hint="eastAsia"/>
          <w:b w:val="0"/>
          <w:bCs w:val="0"/>
          <w:strike w:val="0"/>
          <w:dstrike w:val="0"/>
          <w:color w:val="auto"/>
          <w:highlight w:val="none"/>
          <w:u w:val="none"/>
          <w:shd w:val="clear" w:color="auto" w:fill="auto"/>
          <w:lang w:val="en-US" w:eastAsia="zh-CN"/>
        </w:rPr>
        <w:t>。</w:t>
      </w:r>
      <w:r>
        <w:rPr>
          <w:rFonts w:hint="default"/>
          <w:b w:val="0"/>
          <w:bCs w:val="0"/>
          <w:strike w:val="0"/>
          <w:dstrike w:val="0"/>
          <w:color w:val="auto"/>
          <w:highlight w:val="none"/>
          <w:u w:val="none"/>
          <w:shd w:val="clear" w:color="auto" w:fill="auto"/>
          <w:lang w:val="en-US" w:eastAsia="zh-CN"/>
        </w:rPr>
        <w:t>统筹生态景观与游憩休闲需求，因地制宜建设生态驳岸，打造生态保育、文化体验、旅游休闲多功能融合的滨水空间</w:t>
      </w:r>
      <w:r>
        <w:rPr>
          <w:rFonts w:hint="eastAsia"/>
          <w:b w:val="0"/>
          <w:bCs w:val="0"/>
          <w:strike w:val="0"/>
          <w:dstrike w:val="0"/>
          <w:color w:val="auto"/>
          <w:highlight w:val="none"/>
          <w:u w:val="none"/>
          <w:shd w:val="clear" w:color="auto" w:fill="auto"/>
          <w:lang w:val="en-US" w:eastAsia="zh-CN"/>
        </w:rPr>
        <w:t>。到2030年，自然岸线保有率达到北京市要求。</w:t>
      </w:r>
    </w:p>
    <w:p w14:paraId="13A6F74D">
      <w:pPr>
        <w:pStyle w:val="5"/>
        <w:keepNext w:val="0"/>
        <w:keepLines w:val="0"/>
        <w:pageBreakBefore w:val="0"/>
        <w:widowControl w:val="0"/>
        <w:numPr>
          <w:ilvl w:val="0"/>
          <w:numId w:val="12"/>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健全重要生态空间监管体系</w:t>
      </w:r>
    </w:p>
    <w:p w14:paraId="5A15885A">
      <w:pPr>
        <w:pStyle w:val="19"/>
        <w:keepNext w:val="0"/>
        <w:keepLines w:val="0"/>
        <w:pageBreakBefore w:val="0"/>
        <w:widowControl w:val="0"/>
        <w:kinsoku/>
        <w:wordWrap/>
        <w:overflowPunct/>
        <w:topLinePunct w:val="0"/>
        <w:autoSpaceDE/>
        <w:autoSpaceDN/>
        <w:bidi w:val="0"/>
        <w:adjustRightInd/>
        <w:snapToGrid/>
        <w:spacing w:after="0"/>
        <w:textAlignment w:val="auto"/>
        <w:rPr>
          <w:rFonts w:hint="default"/>
          <w:b w:val="0"/>
          <w:bCs w:val="0"/>
          <w:strike w:val="0"/>
          <w:dstrike w:val="0"/>
          <w:color w:val="auto"/>
          <w:highlight w:val="none"/>
          <w:u w:val="none"/>
          <w:shd w:val="clear" w:color="auto" w:fill="auto"/>
          <w:lang w:val="en-US" w:eastAsia="zh-CN"/>
        </w:rPr>
      </w:pPr>
      <w:r>
        <w:rPr>
          <w:rFonts w:hint="default"/>
          <w:b w:val="0"/>
          <w:bCs w:val="0"/>
          <w:strike w:val="0"/>
          <w:dstrike w:val="0"/>
          <w:color w:val="auto"/>
          <w:highlight w:val="none"/>
          <w:u w:val="none"/>
          <w:shd w:val="clear" w:color="auto" w:fill="auto"/>
          <w:lang w:val="en-US" w:eastAsia="zh-CN"/>
        </w:rPr>
        <w:t>织密生态质量监测网络，</w:t>
      </w:r>
      <w:r>
        <w:rPr>
          <w:rFonts w:hint="eastAsia"/>
          <w:b w:val="0"/>
          <w:bCs w:val="0"/>
          <w:strike w:val="0"/>
          <w:dstrike w:val="0"/>
          <w:color w:val="auto"/>
          <w:highlight w:val="none"/>
          <w:u w:val="none"/>
          <w:shd w:val="clear" w:color="auto" w:fill="auto"/>
          <w:lang w:val="en-US" w:eastAsia="zh-CN"/>
        </w:rPr>
        <w:t>强化</w:t>
      </w:r>
      <w:r>
        <w:rPr>
          <w:rFonts w:hint="default"/>
          <w:b w:val="0"/>
          <w:bCs w:val="0"/>
          <w:strike w:val="0"/>
          <w:dstrike w:val="0"/>
          <w:color w:val="auto"/>
          <w:highlight w:val="none"/>
          <w:u w:val="none"/>
          <w:shd w:val="clear" w:color="auto" w:fill="auto"/>
          <w:lang w:val="en-US" w:eastAsia="zh-CN"/>
        </w:rPr>
        <w:t>智慧感知</w:t>
      </w:r>
      <w:r>
        <w:rPr>
          <w:rFonts w:hint="eastAsia"/>
          <w:b w:val="0"/>
          <w:bCs w:val="0"/>
          <w:strike w:val="0"/>
          <w:dstrike w:val="0"/>
          <w:color w:val="auto"/>
          <w:highlight w:val="none"/>
          <w:u w:val="none"/>
          <w:shd w:val="clear" w:color="auto" w:fill="auto"/>
          <w:lang w:val="en-US" w:eastAsia="zh-CN"/>
        </w:rPr>
        <w:t>能力。</w:t>
      </w:r>
      <w:r>
        <w:rPr>
          <w:rFonts w:hint="default"/>
          <w:b w:val="0"/>
          <w:bCs w:val="0"/>
          <w:strike w:val="0"/>
          <w:dstrike w:val="0"/>
          <w:color w:val="auto"/>
          <w:highlight w:val="none"/>
          <w:u w:val="none"/>
          <w:shd w:val="clear" w:color="auto" w:fill="auto"/>
          <w:lang w:val="en-US" w:eastAsia="zh-CN"/>
        </w:rPr>
        <w:t>配合市级生态质量监测网络布局，</w:t>
      </w:r>
      <w:r>
        <w:rPr>
          <w:rFonts w:hint="eastAsia"/>
          <w:b w:val="0"/>
          <w:bCs w:val="0"/>
          <w:strike w:val="0"/>
          <w:dstrike w:val="0"/>
          <w:color w:val="auto"/>
          <w:highlight w:val="none"/>
          <w:u w:val="none"/>
          <w:shd w:val="clear" w:color="auto" w:fill="auto"/>
          <w:lang w:val="en-US" w:eastAsia="zh-CN"/>
        </w:rPr>
        <w:t>依托现有工作基础，</w:t>
      </w:r>
      <w:r>
        <w:rPr>
          <w:rFonts w:hint="default"/>
          <w:b w:val="0"/>
          <w:bCs w:val="0"/>
          <w:strike w:val="0"/>
          <w:dstrike w:val="0"/>
          <w:color w:val="auto"/>
          <w:highlight w:val="none"/>
          <w:u w:val="none"/>
          <w:shd w:val="clear" w:color="auto" w:fill="auto"/>
          <w:lang w:val="en-US" w:eastAsia="zh-CN"/>
        </w:rPr>
        <w:t>加快推进区级生态质量综合监测站建设，优先在自然保护区、水源涵养区、风景名胜区等</w:t>
      </w:r>
      <w:r>
        <w:rPr>
          <w:rFonts w:hint="eastAsia"/>
          <w:b w:val="0"/>
          <w:bCs w:val="0"/>
          <w:strike w:val="0"/>
          <w:dstrike w:val="0"/>
          <w:color w:val="auto"/>
          <w:highlight w:val="none"/>
          <w:u w:val="none"/>
          <w:shd w:val="clear" w:color="auto" w:fill="auto"/>
          <w:lang w:val="en-US" w:eastAsia="zh-CN"/>
        </w:rPr>
        <w:t>重点</w:t>
      </w:r>
      <w:r>
        <w:rPr>
          <w:rFonts w:hint="default"/>
          <w:b w:val="0"/>
          <w:bCs w:val="0"/>
          <w:strike w:val="0"/>
          <w:dstrike w:val="0"/>
          <w:color w:val="auto"/>
          <w:highlight w:val="none"/>
          <w:u w:val="none"/>
          <w:shd w:val="clear" w:color="auto" w:fill="auto"/>
          <w:lang w:val="en-US" w:eastAsia="zh-CN"/>
        </w:rPr>
        <w:t>生态空间增设</w:t>
      </w:r>
      <w:r>
        <w:rPr>
          <w:rFonts w:hint="eastAsia"/>
          <w:b w:val="0"/>
          <w:bCs w:val="0"/>
          <w:strike w:val="0"/>
          <w:dstrike w:val="0"/>
          <w:color w:val="auto"/>
          <w:highlight w:val="none"/>
          <w:u w:val="none"/>
          <w:shd w:val="clear" w:color="auto" w:fill="auto"/>
          <w:lang w:val="en-US" w:eastAsia="zh-CN"/>
        </w:rPr>
        <w:t>监测站点</w:t>
      </w:r>
      <w:r>
        <w:rPr>
          <w:rFonts w:hint="default"/>
          <w:b w:val="0"/>
          <w:bCs w:val="0"/>
          <w:strike w:val="0"/>
          <w:dstrike w:val="0"/>
          <w:color w:val="auto"/>
          <w:highlight w:val="none"/>
          <w:u w:val="none"/>
          <w:shd w:val="clear" w:color="auto" w:fill="auto"/>
          <w:lang w:val="en-US" w:eastAsia="zh-CN"/>
        </w:rPr>
        <w:t>，</w:t>
      </w:r>
      <w:r>
        <w:rPr>
          <w:rFonts w:hint="eastAsia"/>
          <w:b w:val="0"/>
          <w:bCs w:val="0"/>
          <w:strike w:val="0"/>
          <w:dstrike w:val="0"/>
          <w:color w:val="auto"/>
          <w:highlight w:val="none"/>
          <w:u w:val="none"/>
          <w:shd w:val="clear" w:color="auto" w:fill="auto"/>
          <w:lang w:val="en-US" w:eastAsia="zh-CN"/>
        </w:rPr>
        <w:t>整合卫星遥感、地面传感器等监测手段，逐步构建</w:t>
      </w:r>
      <w:r>
        <w:rPr>
          <w:rFonts w:hint="eastAsia" w:ascii="仿宋_GB2312" w:hAnsi="仿宋_GB2312" w:cs="仿宋_GB2312"/>
          <w:b w:val="0"/>
          <w:bCs w:val="0"/>
          <w:color w:val="auto"/>
          <w:highlight w:val="none"/>
          <w:u w:val="none"/>
          <w:shd w:val="clear" w:color="auto" w:fill="auto"/>
          <w:lang w:val="en-US" w:eastAsia="zh-CN"/>
        </w:rPr>
        <w:t>天地</w:t>
      </w:r>
      <w:r>
        <w:rPr>
          <w:rFonts w:hint="default"/>
          <w:b w:val="0"/>
          <w:bCs w:val="0"/>
          <w:strike w:val="0"/>
          <w:dstrike w:val="0"/>
          <w:color w:val="auto"/>
          <w:highlight w:val="none"/>
          <w:u w:val="none"/>
          <w:shd w:val="clear" w:color="auto" w:fill="auto"/>
          <w:lang w:val="en-US" w:eastAsia="zh-CN"/>
        </w:rPr>
        <w:t>一体化监测体系</w:t>
      </w:r>
      <w:r>
        <w:rPr>
          <w:rFonts w:hint="eastAsia"/>
          <w:b w:val="0"/>
          <w:bCs w:val="0"/>
          <w:strike w:val="0"/>
          <w:dstrike w:val="0"/>
          <w:color w:val="auto"/>
          <w:highlight w:val="none"/>
          <w:u w:val="none"/>
          <w:shd w:val="clear" w:color="auto" w:fill="auto"/>
          <w:lang w:val="en-US" w:eastAsia="zh-CN"/>
        </w:rPr>
        <w:t>。建立定期体检机制，深化生态状况评估。</w:t>
      </w:r>
      <w:r>
        <w:rPr>
          <w:rFonts w:hint="default"/>
          <w:b w:val="0"/>
          <w:bCs w:val="0"/>
          <w:strike w:val="0"/>
          <w:dstrike w:val="0"/>
          <w:color w:val="auto"/>
          <w:highlight w:val="none"/>
          <w:u w:val="none"/>
          <w:shd w:val="clear" w:color="auto" w:fill="auto"/>
          <w:lang w:val="en-US" w:eastAsia="zh-CN"/>
        </w:rPr>
        <w:t>按国家和市级部署，定期开展全区生态状况变化调查评估，重点针对重要生态空间生态环境状况、重大生态修复工程实施成效开展量化评估</w:t>
      </w:r>
      <w:r>
        <w:rPr>
          <w:rFonts w:hint="eastAsia"/>
          <w:b w:val="0"/>
          <w:bCs w:val="0"/>
          <w:strike w:val="0"/>
          <w:dstrike w:val="0"/>
          <w:color w:val="auto"/>
          <w:highlight w:val="none"/>
          <w:u w:val="none"/>
          <w:shd w:val="clear" w:color="auto" w:fill="auto"/>
          <w:lang w:val="en-US" w:eastAsia="zh-CN"/>
        </w:rPr>
        <w:t>；</w:t>
      </w:r>
      <w:r>
        <w:rPr>
          <w:rFonts w:hint="default"/>
          <w:b w:val="0"/>
          <w:bCs w:val="0"/>
          <w:strike w:val="0"/>
          <w:dstrike w:val="0"/>
          <w:color w:val="auto"/>
          <w:highlight w:val="none"/>
          <w:u w:val="none"/>
          <w:shd w:val="clear" w:color="auto" w:fill="auto"/>
          <w:lang w:val="en-US" w:eastAsia="zh-CN"/>
        </w:rPr>
        <w:t>探索建立区级生态空间“健康体检”制度，</w:t>
      </w:r>
      <w:r>
        <w:rPr>
          <w:rFonts w:hint="eastAsia"/>
          <w:b w:val="0"/>
          <w:bCs w:val="0"/>
          <w:strike w:val="0"/>
          <w:dstrike w:val="0"/>
          <w:color w:val="auto"/>
          <w:highlight w:val="none"/>
          <w:u w:val="none"/>
          <w:shd w:val="clear" w:color="auto" w:fill="auto"/>
          <w:lang w:val="en-US" w:eastAsia="zh-CN"/>
        </w:rPr>
        <w:t>定期</w:t>
      </w:r>
      <w:r>
        <w:rPr>
          <w:rFonts w:hint="default"/>
          <w:b w:val="0"/>
          <w:bCs w:val="0"/>
          <w:strike w:val="0"/>
          <w:dstrike w:val="0"/>
          <w:color w:val="auto"/>
          <w:highlight w:val="none"/>
          <w:u w:val="none"/>
          <w:shd w:val="clear" w:color="auto" w:fill="auto"/>
          <w:lang w:val="en-US" w:eastAsia="zh-CN"/>
        </w:rPr>
        <w:t>选取重点区域开展生物多样性、生态系统服务功能、环境质量等关键指标监测评价。</w:t>
      </w:r>
      <w:r>
        <w:rPr>
          <w:rFonts w:hint="eastAsia"/>
          <w:b w:val="0"/>
          <w:bCs w:val="0"/>
          <w:strike w:val="0"/>
          <w:dstrike w:val="0"/>
          <w:color w:val="auto"/>
          <w:highlight w:val="none"/>
          <w:u w:val="none"/>
          <w:shd w:val="clear" w:color="auto" w:fill="auto"/>
          <w:lang w:val="en-US" w:eastAsia="zh-CN"/>
        </w:rPr>
        <w:t>健全闭环机制，提升问题处置效能。</w:t>
      </w:r>
      <w:r>
        <w:rPr>
          <w:rFonts w:hint="default"/>
          <w:b w:val="0"/>
          <w:bCs w:val="0"/>
          <w:strike w:val="0"/>
          <w:dstrike w:val="0"/>
          <w:color w:val="auto"/>
          <w:highlight w:val="none"/>
          <w:u w:val="none"/>
          <w:shd w:val="clear" w:color="auto" w:fill="auto"/>
          <w:lang w:val="en-US" w:eastAsia="zh-CN"/>
        </w:rPr>
        <w:t>严格落实市级重要生态空间生态环境问题线索处理处置工作机制，</w:t>
      </w:r>
      <w:r>
        <w:rPr>
          <w:rFonts w:hint="eastAsia"/>
          <w:b w:val="0"/>
          <w:bCs w:val="0"/>
          <w:strike w:val="0"/>
          <w:dstrike w:val="0"/>
          <w:color w:val="auto"/>
          <w:highlight w:val="none"/>
          <w:u w:val="none"/>
          <w:shd w:val="clear" w:color="auto" w:fill="auto"/>
          <w:lang w:val="en-US" w:eastAsia="zh-CN"/>
        </w:rPr>
        <w:t>规范</w:t>
      </w:r>
      <w:r>
        <w:rPr>
          <w:rFonts w:hint="default"/>
          <w:b w:val="0"/>
          <w:bCs w:val="0"/>
          <w:strike w:val="0"/>
          <w:dstrike w:val="0"/>
          <w:color w:val="auto"/>
          <w:highlight w:val="none"/>
          <w:u w:val="none"/>
          <w:shd w:val="clear" w:color="auto" w:fill="auto"/>
          <w:lang w:val="en-US" w:eastAsia="zh-CN"/>
        </w:rPr>
        <w:t>线索接收、核查、处置、反馈、销号</w:t>
      </w:r>
      <w:r>
        <w:rPr>
          <w:rFonts w:hint="eastAsia"/>
          <w:b w:val="0"/>
          <w:bCs w:val="0"/>
          <w:strike w:val="0"/>
          <w:dstrike w:val="0"/>
          <w:color w:val="auto"/>
          <w:highlight w:val="none"/>
          <w:u w:val="none"/>
          <w:shd w:val="clear" w:color="auto" w:fill="auto"/>
          <w:lang w:val="en-US" w:eastAsia="zh-CN"/>
        </w:rPr>
        <w:t>等</w:t>
      </w:r>
      <w:r>
        <w:rPr>
          <w:rFonts w:hint="default"/>
          <w:b w:val="0"/>
          <w:bCs w:val="0"/>
          <w:strike w:val="0"/>
          <w:dstrike w:val="0"/>
          <w:color w:val="auto"/>
          <w:highlight w:val="none"/>
          <w:u w:val="none"/>
          <w:shd w:val="clear" w:color="auto" w:fill="auto"/>
          <w:lang w:val="en-US" w:eastAsia="zh-CN"/>
        </w:rPr>
        <w:t>全流程</w:t>
      </w:r>
      <w:r>
        <w:rPr>
          <w:rFonts w:hint="eastAsia"/>
          <w:b w:val="0"/>
          <w:bCs w:val="0"/>
          <w:strike w:val="0"/>
          <w:dstrike w:val="0"/>
          <w:color w:val="auto"/>
          <w:highlight w:val="none"/>
          <w:u w:val="none"/>
          <w:shd w:val="clear" w:color="auto" w:fill="auto"/>
          <w:lang w:val="en-US" w:eastAsia="zh-CN"/>
        </w:rPr>
        <w:t>管理</w:t>
      </w:r>
      <w:r>
        <w:rPr>
          <w:rFonts w:hint="default"/>
          <w:b w:val="0"/>
          <w:bCs w:val="0"/>
          <w:strike w:val="0"/>
          <w:dstrike w:val="0"/>
          <w:color w:val="auto"/>
          <w:highlight w:val="none"/>
          <w:u w:val="none"/>
          <w:shd w:val="clear" w:color="auto" w:fill="auto"/>
          <w:lang w:val="en-US" w:eastAsia="zh-CN"/>
        </w:rPr>
        <w:t>。</w:t>
      </w:r>
      <w:r>
        <w:rPr>
          <w:rFonts w:hint="eastAsia"/>
          <w:b w:val="0"/>
          <w:bCs w:val="0"/>
          <w:strike w:val="0"/>
          <w:dstrike w:val="0"/>
          <w:color w:val="auto"/>
          <w:highlight w:val="none"/>
          <w:u w:val="none"/>
          <w:shd w:val="clear" w:color="auto" w:fill="auto"/>
          <w:lang w:val="en-US" w:eastAsia="zh-CN"/>
        </w:rPr>
        <w:t>整合执法力量，探索建立常态化联合执法机制，定期</w:t>
      </w:r>
      <w:r>
        <w:rPr>
          <w:rFonts w:hint="default"/>
          <w:b w:val="0"/>
          <w:bCs w:val="0"/>
          <w:strike w:val="0"/>
          <w:dstrike w:val="0"/>
          <w:color w:val="auto"/>
          <w:highlight w:val="none"/>
          <w:u w:val="none"/>
          <w:shd w:val="clear" w:color="auto" w:fill="auto"/>
          <w:lang w:val="en-US" w:eastAsia="zh-CN"/>
        </w:rPr>
        <w:t>开展自然保护地、生态保护红线专项执法检查。重点针对自然保护地内违法违规开发建设、破坏林地湿地、非法排污等行为</w:t>
      </w:r>
      <w:r>
        <w:rPr>
          <w:rFonts w:hint="eastAsia"/>
          <w:b w:val="0"/>
          <w:bCs w:val="0"/>
          <w:strike w:val="0"/>
          <w:dstrike w:val="0"/>
          <w:color w:val="auto"/>
          <w:highlight w:val="none"/>
          <w:u w:val="none"/>
          <w:shd w:val="clear" w:color="auto" w:fill="auto"/>
          <w:lang w:val="en-US" w:eastAsia="zh-CN"/>
        </w:rPr>
        <w:t>开展整治。</w:t>
      </w:r>
      <w:r>
        <w:rPr>
          <w:rFonts w:hint="default"/>
          <w:b w:val="0"/>
          <w:bCs w:val="0"/>
          <w:strike w:val="0"/>
          <w:dstrike w:val="0"/>
          <w:color w:val="auto"/>
          <w:highlight w:val="none"/>
          <w:u w:val="none"/>
          <w:shd w:val="clear" w:color="auto" w:fill="auto"/>
          <w:lang w:val="en-US" w:eastAsia="zh-CN"/>
        </w:rPr>
        <w:t>将历史遗留</w:t>
      </w:r>
      <w:r>
        <w:rPr>
          <w:rFonts w:hint="eastAsia"/>
          <w:b w:val="0"/>
          <w:bCs w:val="0"/>
          <w:strike w:val="0"/>
          <w:dstrike w:val="0"/>
          <w:color w:val="auto"/>
          <w:highlight w:val="none"/>
          <w:u w:val="none"/>
          <w:shd w:val="clear" w:color="auto" w:fill="auto"/>
          <w:lang w:val="en-US" w:eastAsia="zh-CN"/>
        </w:rPr>
        <w:t>废弃</w:t>
      </w:r>
      <w:r>
        <w:rPr>
          <w:rFonts w:hint="default"/>
          <w:b w:val="0"/>
          <w:bCs w:val="0"/>
          <w:strike w:val="0"/>
          <w:dstrike w:val="0"/>
          <w:color w:val="auto"/>
          <w:highlight w:val="none"/>
          <w:u w:val="none"/>
          <w:shd w:val="clear" w:color="auto" w:fill="auto"/>
          <w:lang w:val="en-US" w:eastAsia="zh-CN"/>
        </w:rPr>
        <w:t>矿山生态修复、拆违腾退绿地建设、河湖岸线整治等重大生态修复工程纳入全过程监管范畴，开展修复成效跟踪监测和后评估，确保问题整改见底见效。</w:t>
      </w:r>
    </w:p>
    <w:p w14:paraId="03AE0C86">
      <w:pPr>
        <w:pStyle w:val="4"/>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b w:val="0"/>
          <w:bCs w:val="0"/>
          <w:color w:val="auto"/>
          <w:highlight w:val="none"/>
          <w:u w:val="none"/>
          <w:shd w:val="clear" w:color="auto" w:fill="auto"/>
          <w:lang w:eastAsia="zh-CN"/>
        </w:rPr>
      </w:pPr>
      <w:bookmarkStart w:id="196" w:name="_Toc30483"/>
      <w:bookmarkStart w:id="197" w:name="_Toc18821"/>
      <w:bookmarkStart w:id="198" w:name="_Toc16617"/>
      <w:bookmarkStart w:id="199" w:name="_Toc30398"/>
      <w:bookmarkStart w:id="200" w:name="_Toc10447"/>
      <w:bookmarkStart w:id="201" w:name="_Toc3233"/>
      <w:bookmarkStart w:id="202" w:name="_Toc2578"/>
      <w:bookmarkStart w:id="203" w:name="_Toc27105"/>
      <w:bookmarkStart w:id="204" w:name="_Toc20271"/>
      <w:bookmarkStart w:id="205" w:name="_Toc19462"/>
      <w:r>
        <w:rPr>
          <w:b w:val="0"/>
          <w:bCs w:val="0"/>
          <w:color w:val="auto"/>
          <w:u w:val="none"/>
        </w:rPr>
        <w:t>（</w:t>
      </w:r>
      <w:r>
        <w:rPr>
          <w:rFonts w:hint="eastAsia"/>
          <w:b w:val="0"/>
          <w:bCs w:val="0"/>
          <w:color w:val="auto"/>
          <w:u w:val="none"/>
          <w:lang w:val="en-US" w:eastAsia="zh-CN"/>
        </w:rPr>
        <w:t>二</w:t>
      </w:r>
      <w:r>
        <w:rPr>
          <w:b w:val="0"/>
          <w:bCs w:val="0"/>
          <w:color w:val="auto"/>
          <w:u w:val="none"/>
        </w:rPr>
        <w:t>）</w:t>
      </w:r>
      <w:r>
        <w:rPr>
          <w:rFonts w:hint="eastAsia"/>
          <w:b w:val="0"/>
          <w:bCs w:val="0"/>
          <w:color w:val="auto"/>
          <w:u w:val="none"/>
          <w:lang w:val="en-US" w:eastAsia="zh-CN"/>
        </w:rPr>
        <w:t>建设高品质花园顺义</w:t>
      </w:r>
      <w:bookmarkEnd w:id="196"/>
      <w:bookmarkEnd w:id="197"/>
      <w:bookmarkEnd w:id="198"/>
      <w:bookmarkEnd w:id="199"/>
      <w:bookmarkEnd w:id="200"/>
      <w:bookmarkEnd w:id="201"/>
      <w:bookmarkEnd w:id="202"/>
      <w:bookmarkEnd w:id="203"/>
      <w:bookmarkEnd w:id="204"/>
      <w:bookmarkEnd w:id="205"/>
    </w:p>
    <w:p w14:paraId="6394D62B">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eastAsia="仿宋_GB2312"/>
          <w:b w:val="0"/>
          <w:bCs w:val="0"/>
          <w:color w:val="auto"/>
          <w:highlight w:val="none"/>
          <w:u w:val="none"/>
          <w:shd w:val="clear" w:color="auto" w:fill="auto"/>
          <w:lang w:eastAsia="zh-CN"/>
        </w:rPr>
      </w:pPr>
      <w:r>
        <w:rPr>
          <w:rFonts w:hint="eastAsia"/>
          <w:b w:val="0"/>
          <w:bCs w:val="0"/>
          <w:color w:val="auto"/>
          <w:highlight w:val="none"/>
          <w:u w:val="none"/>
          <w:shd w:val="clear" w:color="auto" w:fill="auto"/>
          <w:lang w:val="en-US" w:eastAsia="zh-CN"/>
        </w:rPr>
        <w:t>围绕</w:t>
      </w:r>
      <w:r>
        <w:rPr>
          <w:rFonts w:hint="eastAsia"/>
          <w:b w:val="0"/>
          <w:bCs w:val="0"/>
          <w:color w:val="auto"/>
          <w:highlight w:val="none"/>
          <w:u w:val="none"/>
          <w:shd w:val="clear" w:color="auto" w:fill="auto"/>
        </w:rPr>
        <w:t>“一山两河、一港两轴、十片百廊”的花园城市</w:t>
      </w:r>
      <w:r>
        <w:rPr>
          <w:rFonts w:hint="eastAsia"/>
          <w:b w:val="0"/>
          <w:bCs w:val="0"/>
          <w:color w:val="auto"/>
          <w:highlight w:val="none"/>
          <w:u w:val="none"/>
          <w:shd w:val="clear" w:color="auto" w:fill="auto"/>
          <w:lang w:val="en-US" w:eastAsia="zh-CN"/>
        </w:rPr>
        <w:t>建设</w:t>
      </w:r>
      <w:r>
        <w:rPr>
          <w:rFonts w:hint="eastAsia"/>
          <w:b w:val="0"/>
          <w:bCs w:val="0"/>
          <w:color w:val="auto"/>
          <w:highlight w:val="none"/>
          <w:u w:val="none"/>
          <w:shd w:val="clear" w:color="auto" w:fill="auto"/>
        </w:rPr>
        <w:t>格局，推动绿廊网络、公园体系与城市功能深度融合，系统</w:t>
      </w:r>
      <w:r>
        <w:rPr>
          <w:rFonts w:hint="eastAsia"/>
          <w:b w:val="0"/>
          <w:bCs w:val="0"/>
          <w:color w:val="auto"/>
          <w:highlight w:val="none"/>
          <w:u w:val="none"/>
          <w:shd w:val="clear" w:color="auto" w:fill="auto"/>
          <w:lang w:val="en-US" w:eastAsia="zh-CN"/>
        </w:rPr>
        <w:t>建成多元化花园场景</w:t>
      </w:r>
      <w:r>
        <w:rPr>
          <w:rFonts w:hint="eastAsia"/>
          <w:b w:val="0"/>
          <w:bCs w:val="0"/>
          <w:color w:val="auto"/>
          <w:highlight w:val="none"/>
          <w:u w:val="none"/>
          <w:shd w:val="clear" w:color="auto" w:fill="auto"/>
          <w:lang w:eastAsia="zh-CN"/>
        </w:rPr>
        <w:t>，</w:t>
      </w:r>
      <w:r>
        <w:rPr>
          <w:rFonts w:hint="eastAsia"/>
          <w:b w:val="0"/>
          <w:bCs w:val="0"/>
          <w:color w:val="auto"/>
          <w:highlight w:val="none"/>
          <w:u w:val="none"/>
          <w:shd w:val="clear" w:color="auto" w:fill="auto"/>
          <w:lang w:val="en-US" w:eastAsia="zh-CN"/>
        </w:rPr>
        <w:t>打造以“花园国门、有感顺义”为特征的平原新城高质量发展典范</w:t>
      </w:r>
      <w:r>
        <w:rPr>
          <w:rFonts w:hint="eastAsia"/>
          <w:b w:val="0"/>
          <w:bCs w:val="0"/>
          <w:color w:val="auto"/>
          <w:highlight w:val="none"/>
          <w:u w:val="none"/>
          <w:shd w:val="clear" w:color="auto" w:fill="auto"/>
          <w:lang w:eastAsia="zh-CN"/>
        </w:rPr>
        <w:t>。</w:t>
      </w:r>
    </w:p>
    <w:p w14:paraId="25396211">
      <w:pPr>
        <w:pStyle w:val="5"/>
        <w:keepNext w:val="0"/>
        <w:keepLines w:val="0"/>
        <w:pageBreakBefore w:val="0"/>
        <w:widowControl w:val="0"/>
        <w:numPr>
          <w:ilvl w:val="0"/>
          <w:numId w:val="13"/>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建设多级绿廊网络</w:t>
      </w:r>
    </w:p>
    <w:p w14:paraId="2D6E4E3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b w:val="0"/>
          <w:bCs w:val="0"/>
          <w:color w:val="auto"/>
          <w:highlight w:val="none"/>
          <w:u w:val="none"/>
          <w:lang w:val="en-US" w:eastAsia="zh-CN"/>
        </w:rPr>
      </w:pPr>
      <w:r>
        <w:rPr>
          <w:rFonts w:hint="eastAsia"/>
          <w:b w:val="0"/>
          <w:bCs w:val="0"/>
          <w:highlight w:val="none"/>
          <w:u w:val="none"/>
        </w:rPr>
        <w:t>构建“门户廊道—城市画廊—多级绿道”</w:t>
      </w:r>
      <w:r>
        <w:rPr>
          <w:rFonts w:hint="eastAsia"/>
          <w:b w:val="0"/>
          <w:bCs w:val="0"/>
          <w:highlight w:val="none"/>
          <w:u w:val="none"/>
          <w:lang w:eastAsia="zh-CN"/>
        </w:rPr>
        <w:t>的绿廊</w:t>
      </w:r>
      <w:r>
        <w:rPr>
          <w:rFonts w:hint="eastAsia"/>
          <w:b w:val="0"/>
          <w:bCs w:val="0"/>
          <w:highlight w:val="none"/>
          <w:u w:val="none"/>
        </w:rPr>
        <w:t>体系。聚焦国际交往功能与跨区交通干线，统筹推进国门迎宾廊道和风景门户廊道建设，强化入顺段及主要节点景观营造，植入地域文化元素，形成“国际交往显大气、跨区门户见特色”的多彩门户廊道体系。以城镇组团道路为载体，按照“一路一景、一街一品”理念，推进存量道路精细化提升和新建道路主题化营造，丰富道路绿化色彩层次。秉承“多道融合”理念，聚焦绿道线路连通与功能体验，推动市、区、社区绿道成网成环，塑造“通山连水、健步悦骑”的顺义绿道品牌。结合重点区域建设国门超级绿道，加强社区级绿道和乡村绿道建设，串联特色村庄、农业园区、生态景观及历史文化遗存，打造集生态观光、休闲游憩于一体的美丽乡村路。</w:t>
      </w:r>
    </w:p>
    <w:p w14:paraId="42162E3E">
      <w:pPr>
        <w:pStyle w:val="5"/>
        <w:keepNext w:val="0"/>
        <w:keepLines w:val="0"/>
        <w:pageBreakBefore w:val="0"/>
        <w:widowControl w:val="0"/>
        <w:numPr>
          <w:ilvl w:val="0"/>
          <w:numId w:val="13"/>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精绘公园游憩体系</w:t>
      </w:r>
    </w:p>
    <w:p w14:paraId="7F85371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b w:val="0"/>
          <w:bCs w:val="0"/>
          <w:strike w:val="0"/>
          <w:color w:val="auto"/>
          <w:highlight w:val="none"/>
          <w:u w:val="none"/>
          <w:lang w:val="en-US" w:eastAsia="zh-CN"/>
        </w:rPr>
      </w:pPr>
      <w:r>
        <w:rPr>
          <w:rFonts w:hint="eastAsia"/>
          <w:b w:val="0"/>
          <w:bCs w:val="0"/>
          <w:strike w:val="0"/>
          <w:highlight w:val="none"/>
          <w:u w:val="none"/>
        </w:rPr>
        <w:t>构建“大尺度郊野公园—精品城市公园—活力微花园”公园体系。推进郊野公园建设，重点在温榆河沿线、潮白河沿线布局大尺度生态休闲空间，形成“城园相依、蓝绿交融”的郊野公园格局。提升城市公园功能品质，聚焦重点组团</w:t>
      </w:r>
      <w:r>
        <w:rPr>
          <w:rFonts w:hint="eastAsia"/>
          <w:b w:val="0"/>
          <w:bCs w:val="0"/>
          <w:strike w:val="0"/>
          <w:highlight w:val="none"/>
          <w:u w:val="none"/>
          <w:lang w:val="en-US" w:eastAsia="zh-CN"/>
        </w:rPr>
        <w:t>推进</w:t>
      </w:r>
      <w:r>
        <w:rPr>
          <w:rFonts w:hint="eastAsia"/>
          <w:b w:val="0"/>
          <w:bCs w:val="0"/>
          <w:strike w:val="0"/>
          <w:highlight w:val="none"/>
          <w:u w:val="none"/>
        </w:rPr>
        <w:t>精品公园</w:t>
      </w:r>
      <w:r>
        <w:rPr>
          <w:rFonts w:hint="eastAsia"/>
          <w:b w:val="0"/>
          <w:bCs w:val="0"/>
          <w:strike w:val="0"/>
          <w:highlight w:val="none"/>
          <w:u w:val="none"/>
          <w:lang w:val="en-US" w:eastAsia="zh-CN"/>
        </w:rPr>
        <w:t>建设；根据市级部署，适时推进存量公园全龄友好改造，</w:t>
      </w:r>
      <w:r>
        <w:rPr>
          <w:rFonts w:hint="eastAsia"/>
          <w:b w:val="0"/>
          <w:bCs w:val="0"/>
          <w:strike w:val="0"/>
          <w:highlight w:val="none"/>
          <w:u w:val="none"/>
        </w:rPr>
        <w:t>嵌入儿童游乐、适老健身、文化展陈等复合功能，打造“一园一特色”的城市公园体系。织补活力微花园网络，针对公园绿地服务半径覆盖盲区，利用拆迁腾退地、边角地、闲置地建设口袋公园，织补百姓身边的绿色微空间。</w:t>
      </w:r>
    </w:p>
    <w:p w14:paraId="583A4DD7">
      <w:pPr>
        <w:pStyle w:val="5"/>
        <w:keepNext w:val="0"/>
        <w:keepLines w:val="0"/>
        <w:pageBreakBefore w:val="0"/>
        <w:widowControl w:val="0"/>
        <w:numPr>
          <w:ilvl w:val="0"/>
          <w:numId w:val="13"/>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拓展立体绿化空间</w:t>
      </w:r>
    </w:p>
    <w:p w14:paraId="207246F8">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b w:val="0"/>
          <w:bCs w:val="0"/>
          <w:highlight w:val="none"/>
          <w:u w:val="none"/>
        </w:rPr>
      </w:pPr>
      <w:r>
        <w:rPr>
          <w:rFonts w:hint="eastAsia"/>
          <w:b w:val="0"/>
          <w:bCs w:val="0"/>
          <w:highlight w:val="none"/>
          <w:u w:val="none"/>
        </w:rPr>
        <w:t>构建“屋顶绿化—桥体垂绿—小微空间”立体绿化体系。推广屋顶与空中绿化，结合商业综合体、办公园区、工业厂房等建筑新建改造，鼓励建设开放式空中花园、露台绿化。推进桥体与墙垣垂绿，聚焦建筑立面、围墙、桥柱等竖向界面，推广攀爬植物应用，构建“乔木遮荫、墙体披绿”的复层立体景观。激活平房</w:t>
      </w:r>
      <w:r>
        <w:rPr>
          <w:rFonts w:hint="eastAsia"/>
          <w:b w:val="0"/>
          <w:bCs w:val="0"/>
          <w:highlight w:val="none"/>
          <w:u w:val="none"/>
          <w:lang w:eastAsia="zh-CN"/>
        </w:rPr>
        <w:t>区域</w:t>
      </w:r>
      <w:r>
        <w:rPr>
          <w:rFonts w:hint="eastAsia"/>
          <w:b w:val="0"/>
          <w:bCs w:val="0"/>
          <w:highlight w:val="none"/>
          <w:u w:val="none"/>
        </w:rPr>
        <w:t>小微空间，落实“一院一树”行动，引导居民通过垂直绿化、容器绿化等方式拓展种植空间，在地铁口、街角、公交站点周边打造交通站点微花园。</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3B3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239950E8">
            <w:pPr>
              <w:widowControl/>
              <w:ind w:firstLine="560" w:firstLineChars="200"/>
              <w:jc w:val="center"/>
              <w:rPr>
                <w:rFonts w:hint="default"/>
                <w:b w:val="0"/>
                <w:bCs w:val="0"/>
                <w:sz w:val="28"/>
                <w:szCs w:val="28"/>
                <w:highlight w:val="none"/>
                <w:u w:val="none"/>
                <w:lang w:val="en-US"/>
              </w:rPr>
            </w:pPr>
            <w:r>
              <w:rPr>
                <w:rFonts w:hint="eastAsia" w:cs="仿宋_GB2312"/>
                <w:b w:val="0"/>
                <w:bCs w:val="0"/>
                <w:sz w:val="28"/>
                <w:szCs w:val="28"/>
                <w:highlight w:val="none"/>
                <w:u w:val="none"/>
                <w:lang w:val="en-US" w:eastAsia="zh-CN"/>
              </w:rPr>
              <w:t>专栏4  花园顺义品质提升工程</w:t>
            </w:r>
          </w:p>
        </w:tc>
      </w:tr>
      <w:tr w14:paraId="3FFE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184E6C83">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b w:val="0"/>
                <w:bCs w:val="0"/>
                <w:sz w:val="28"/>
                <w:szCs w:val="28"/>
                <w:highlight w:val="none"/>
                <w:u w:val="none"/>
              </w:rPr>
            </w:pPr>
            <w:r>
              <w:rPr>
                <w:rFonts w:hint="eastAsia"/>
                <w:b w:val="0"/>
                <w:bCs w:val="0"/>
                <w:sz w:val="28"/>
                <w:szCs w:val="28"/>
                <w:highlight w:val="none"/>
                <w:u w:val="none"/>
              </w:rPr>
              <w:t>多级绿廊网络建设工程</w:t>
            </w:r>
            <w:r>
              <w:rPr>
                <w:rFonts w:hint="eastAsia"/>
                <w:b w:val="0"/>
                <w:bCs w:val="0"/>
                <w:sz w:val="28"/>
                <w:szCs w:val="28"/>
                <w:highlight w:val="none"/>
                <w:u w:val="none"/>
                <w:lang w:eastAsia="zh-CN"/>
              </w:rPr>
              <w:t>。</w:t>
            </w:r>
            <w:r>
              <w:rPr>
                <w:rFonts w:hint="eastAsia"/>
                <w:b w:val="0"/>
                <w:bCs w:val="0"/>
                <w:sz w:val="28"/>
                <w:szCs w:val="28"/>
                <w:highlight w:val="none"/>
                <w:u w:val="none"/>
              </w:rPr>
              <w:t>建设国门迎宾廊道，</w:t>
            </w:r>
            <w:r>
              <w:rPr>
                <w:rFonts w:hint="eastAsia"/>
                <w:b w:val="0"/>
                <w:bCs w:val="0"/>
                <w:sz w:val="28"/>
                <w:szCs w:val="28"/>
                <w:highlight w:val="none"/>
                <w:u w:val="none"/>
                <w:lang w:val="en-US" w:eastAsia="zh-CN"/>
              </w:rPr>
              <w:t>实施</w:t>
            </w:r>
            <w:r>
              <w:rPr>
                <w:rFonts w:hint="eastAsia"/>
                <w:b w:val="0"/>
                <w:bCs w:val="0"/>
                <w:sz w:val="28"/>
                <w:szCs w:val="28"/>
                <w:highlight w:val="none"/>
                <w:u w:val="none"/>
              </w:rPr>
              <w:t>机场第二高速、京密快速路、天北路实施景观提升</w:t>
            </w:r>
            <w:r>
              <w:rPr>
                <w:rFonts w:hint="eastAsia"/>
                <w:b w:val="0"/>
                <w:bCs w:val="0"/>
                <w:sz w:val="28"/>
                <w:szCs w:val="28"/>
                <w:highlight w:val="none"/>
                <w:u w:val="none"/>
                <w:lang w:val="en-US" w:eastAsia="zh-CN"/>
              </w:rPr>
              <w:t>工程</w:t>
            </w:r>
            <w:r>
              <w:rPr>
                <w:rFonts w:hint="eastAsia"/>
                <w:b w:val="0"/>
                <w:bCs w:val="0"/>
                <w:sz w:val="28"/>
                <w:szCs w:val="28"/>
                <w:highlight w:val="none"/>
                <w:u w:val="none"/>
              </w:rPr>
              <w:t>。打造风景门户廊道，以通顺路、顺平路、通怀路为重点，强化入顺段及节点景观营造。推进城市画廊建设，实施存量道路彩化提升和新建道路主题化营造。</w:t>
            </w:r>
            <w:r>
              <w:rPr>
                <w:rFonts w:hint="eastAsia"/>
                <w:b w:val="0"/>
                <w:bCs w:val="0"/>
                <w:sz w:val="28"/>
                <w:szCs w:val="28"/>
                <w:highlight w:val="none"/>
                <w:u w:val="none"/>
                <w:lang w:val="en-US" w:eastAsia="zh-CN"/>
              </w:rPr>
              <w:t>加快推进</w:t>
            </w:r>
            <w:r>
              <w:rPr>
                <w:rFonts w:hint="eastAsia"/>
                <w:b w:val="0"/>
                <w:bCs w:val="0"/>
                <w:sz w:val="28"/>
                <w:szCs w:val="28"/>
                <w:highlight w:val="none"/>
                <w:u w:val="none"/>
              </w:rPr>
              <w:t>潮白河绿道（顺义段）、二绿郊野公园环绿道（顺义段）一期、京华揽胜—舞彩浅山森林步道等市级绿道</w:t>
            </w:r>
            <w:r>
              <w:rPr>
                <w:rFonts w:hint="eastAsia"/>
                <w:b w:val="0"/>
                <w:bCs w:val="0"/>
                <w:sz w:val="28"/>
                <w:szCs w:val="28"/>
                <w:highlight w:val="none"/>
                <w:u w:val="none"/>
                <w:lang w:eastAsia="zh-CN"/>
              </w:rPr>
              <w:t>建设，</w:t>
            </w:r>
            <w:r>
              <w:rPr>
                <w:rFonts w:hint="eastAsia"/>
                <w:b w:val="0"/>
                <w:bCs w:val="0"/>
                <w:sz w:val="28"/>
                <w:szCs w:val="28"/>
                <w:highlight w:val="none"/>
                <w:u w:val="none"/>
                <w:lang w:val="en-US" w:eastAsia="zh-CN"/>
              </w:rPr>
              <w:t>实施</w:t>
            </w:r>
            <w:r>
              <w:rPr>
                <w:rFonts w:hint="eastAsia"/>
                <w:b w:val="0"/>
                <w:bCs w:val="0"/>
                <w:sz w:val="28"/>
                <w:szCs w:val="28"/>
                <w:highlight w:val="none"/>
                <w:u w:val="none"/>
              </w:rPr>
              <w:t>国门超级绿道项目，</w:t>
            </w:r>
            <w:r>
              <w:rPr>
                <w:rFonts w:hint="eastAsia"/>
                <w:b w:val="0"/>
                <w:bCs w:val="0"/>
                <w:sz w:val="28"/>
                <w:szCs w:val="28"/>
                <w:highlight w:val="none"/>
                <w:u w:val="none"/>
                <w:lang w:val="en-US" w:eastAsia="zh-CN"/>
              </w:rPr>
              <w:t>系统串联</w:t>
            </w:r>
            <w:r>
              <w:rPr>
                <w:rFonts w:hint="eastAsia"/>
                <w:b w:val="0"/>
                <w:bCs w:val="0"/>
                <w:sz w:val="28"/>
                <w:szCs w:val="28"/>
                <w:highlight w:val="none"/>
                <w:u w:val="none"/>
              </w:rPr>
              <w:t>社区级绿道</w:t>
            </w:r>
            <w:r>
              <w:rPr>
                <w:rFonts w:hint="eastAsia"/>
                <w:b w:val="0"/>
                <w:bCs w:val="0"/>
                <w:sz w:val="28"/>
                <w:szCs w:val="28"/>
                <w:highlight w:val="none"/>
                <w:u w:val="none"/>
                <w:lang w:val="en-US" w:eastAsia="zh-CN"/>
              </w:rPr>
              <w:t>与</w:t>
            </w:r>
            <w:r>
              <w:rPr>
                <w:rFonts w:hint="eastAsia"/>
                <w:b w:val="0"/>
                <w:bCs w:val="0"/>
                <w:sz w:val="28"/>
                <w:szCs w:val="28"/>
                <w:highlight w:val="none"/>
                <w:u w:val="none"/>
              </w:rPr>
              <w:t>乡村绿道</w:t>
            </w:r>
            <w:r>
              <w:rPr>
                <w:rFonts w:hint="eastAsia"/>
                <w:b w:val="0"/>
                <w:bCs w:val="0"/>
                <w:sz w:val="28"/>
                <w:szCs w:val="28"/>
                <w:highlight w:val="none"/>
                <w:u w:val="none"/>
                <w:lang w:eastAsia="zh-CN"/>
              </w:rPr>
              <w:t>，</w:t>
            </w:r>
            <w:r>
              <w:rPr>
                <w:rFonts w:hint="eastAsia"/>
                <w:b w:val="0"/>
                <w:bCs w:val="0"/>
                <w:sz w:val="28"/>
                <w:szCs w:val="28"/>
                <w:highlight w:val="none"/>
                <w:u w:val="none"/>
                <w:lang w:val="en-US" w:eastAsia="zh-CN"/>
              </w:rPr>
              <w:t>织密多级绿廊网络</w:t>
            </w:r>
            <w:r>
              <w:rPr>
                <w:rFonts w:hint="eastAsia"/>
                <w:b w:val="0"/>
                <w:bCs w:val="0"/>
                <w:sz w:val="28"/>
                <w:szCs w:val="28"/>
                <w:highlight w:val="none"/>
                <w:u w:val="none"/>
              </w:rPr>
              <w:t>。</w:t>
            </w:r>
          </w:p>
          <w:p w14:paraId="07D36C49">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b w:val="0"/>
                <w:bCs w:val="0"/>
                <w:sz w:val="28"/>
                <w:szCs w:val="28"/>
                <w:highlight w:val="none"/>
                <w:u w:val="none"/>
                <w:lang w:val="en-US" w:eastAsia="zh-CN"/>
              </w:rPr>
            </w:pPr>
            <w:r>
              <w:rPr>
                <w:rFonts w:hint="eastAsia"/>
                <w:b w:val="0"/>
                <w:bCs w:val="0"/>
                <w:sz w:val="28"/>
                <w:szCs w:val="28"/>
                <w:highlight w:val="none"/>
                <w:u w:val="none"/>
              </w:rPr>
              <w:t>公园游憩体系建设工程</w:t>
            </w:r>
            <w:r>
              <w:rPr>
                <w:rFonts w:hint="eastAsia"/>
                <w:b w:val="0"/>
                <w:bCs w:val="0"/>
                <w:sz w:val="28"/>
                <w:szCs w:val="28"/>
                <w:highlight w:val="none"/>
                <w:u w:val="none"/>
                <w:lang w:eastAsia="zh-CN"/>
              </w:rPr>
              <w:t>。推进</w:t>
            </w:r>
            <w:r>
              <w:rPr>
                <w:rFonts w:hint="eastAsia"/>
                <w:b w:val="0"/>
                <w:bCs w:val="0"/>
                <w:sz w:val="28"/>
                <w:szCs w:val="28"/>
                <w:highlight w:val="none"/>
                <w:u w:val="none"/>
              </w:rPr>
              <w:t>温榆河北岸公园群、高丽营生态休闲公园</w:t>
            </w:r>
            <w:r>
              <w:rPr>
                <w:rFonts w:hint="eastAsia"/>
                <w:b w:val="0"/>
                <w:bCs w:val="0"/>
                <w:sz w:val="28"/>
                <w:szCs w:val="28"/>
                <w:highlight w:val="none"/>
                <w:u w:val="none"/>
                <w:lang w:val="en-US" w:eastAsia="zh-CN"/>
              </w:rPr>
              <w:t>等郊野公园建设，</w:t>
            </w:r>
            <w:r>
              <w:rPr>
                <w:rFonts w:hint="eastAsia"/>
                <w:b w:val="0"/>
                <w:bCs w:val="0"/>
                <w:sz w:val="28"/>
                <w:szCs w:val="28"/>
                <w:highlight w:val="none"/>
                <w:u w:val="none"/>
              </w:rPr>
              <w:t>实施共青滨河森林公园、潮瑞路生态休闲公园及南彩森林公园</w:t>
            </w:r>
            <w:r>
              <w:rPr>
                <w:rFonts w:hint="eastAsia"/>
                <w:b w:val="0"/>
                <w:bCs w:val="0"/>
                <w:sz w:val="28"/>
                <w:szCs w:val="28"/>
                <w:highlight w:val="none"/>
                <w:u w:val="none"/>
                <w:lang w:val="en-US" w:eastAsia="zh-CN"/>
              </w:rPr>
              <w:t>提质</w:t>
            </w:r>
            <w:r>
              <w:rPr>
                <w:rFonts w:hint="eastAsia"/>
                <w:b w:val="0"/>
                <w:bCs w:val="0"/>
                <w:sz w:val="28"/>
                <w:szCs w:val="28"/>
                <w:highlight w:val="none"/>
                <w:u w:val="none"/>
              </w:rPr>
              <w:t>工程</w:t>
            </w:r>
            <w:r>
              <w:rPr>
                <w:rFonts w:hint="eastAsia"/>
                <w:b w:val="0"/>
                <w:bCs w:val="0"/>
                <w:sz w:val="28"/>
                <w:szCs w:val="28"/>
                <w:highlight w:val="none"/>
                <w:u w:val="none"/>
                <w:lang w:eastAsia="zh-CN"/>
              </w:rPr>
              <w:t>。</w:t>
            </w:r>
            <w:r>
              <w:rPr>
                <w:rFonts w:hint="eastAsia"/>
                <w:b w:val="0"/>
                <w:bCs w:val="0"/>
                <w:sz w:val="28"/>
                <w:szCs w:val="28"/>
                <w:highlight w:val="none"/>
                <w:u w:val="none"/>
                <w:lang w:val="en-US" w:eastAsia="zh-CN"/>
              </w:rPr>
              <w:t>打造</w:t>
            </w:r>
            <w:r>
              <w:rPr>
                <w:rFonts w:hint="eastAsia"/>
                <w:b w:val="0"/>
                <w:bCs w:val="0"/>
                <w:sz w:val="28"/>
                <w:szCs w:val="28"/>
                <w:highlight w:val="none"/>
                <w:u w:val="none"/>
              </w:rPr>
              <w:t>新国展城市森林公园、临空国际人才户外体育休闲公园</w:t>
            </w:r>
            <w:r>
              <w:rPr>
                <w:rFonts w:hint="eastAsia"/>
                <w:b w:val="0"/>
                <w:bCs w:val="0"/>
                <w:sz w:val="28"/>
                <w:szCs w:val="28"/>
                <w:highlight w:val="none"/>
                <w:u w:val="none"/>
                <w:lang w:val="en-US" w:eastAsia="zh-CN"/>
              </w:rPr>
              <w:t>等精品公园</w:t>
            </w:r>
            <w:r>
              <w:rPr>
                <w:rFonts w:hint="eastAsia"/>
                <w:b w:val="0"/>
                <w:bCs w:val="0"/>
                <w:sz w:val="28"/>
                <w:szCs w:val="28"/>
                <w:highlight w:val="none"/>
                <w:u w:val="none"/>
              </w:rPr>
              <w:t>。利用拆迁腾退地、边角地、闲置地建设口袋公园，织补百姓身边的活力微花园网络。</w:t>
            </w:r>
          </w:p>
          <w:p w14:paraId="2AAC6AB1">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b w:val="0"/>
                <w:bCs w:val="0"/>
                <w:highlight w:val="none"/>
                <w:u w:val="none"/>
                <w:lang w:eastAsia="zh-CN"/>
              </w:rPr>
            </w:pPr>
            <w:r>
              <w:rPr>
                <w:rFonts w:hint="eastAsia"/>
                <w:b w:val="0"/>
                <w:bCs w:val="0"/>
                <w:sz w:val="28"/>
                <w:szCs w:val="28"/>
                <w:highlight w:val="none"/>
                <w:u w:val="none"/>
              </w:rPr>
              <w:t>立体绿化空间拓展工程</w:t>
            </w:r>
            <w:r>
              <w:rPr>
                <w:rFonts w:hint="eastAsia"/>
                <w:b w:val="0"/>
                <w:bCs w:val="0"/>
                <w:sz w:val="28"/>
                <w:szCs w:val="28"/>
                <w:highlight w:val="none"/>
                <w:u w:val="none"/>
                <w:lang w:eastAsia="zh-CN"/>
              </w:rPr>
              <w:t>。</w:t>
            </w:r>
            <w:r>
              <w:rPr>
                <w:rFonts w:hint="eastAsia"/>
                <w:b w:val="0"/>
                <w:bCs w:val="0"/>
                <w:sz w:val="28"/>
                <w:szCs w:val="28"/>
                <w:highlight w:val="none"/>
                <w:u w:val="none"/>
              </w:rPr>
              <w:t>实施屋顶与空中绿化，结合商业综合体、办公园区、工业厂房新建改造，建设开放式空中花园</w:t>
            </w:r>
            <w:r>
              <w:rPr>
                <w:rFonts w:hint="eastAsia"/>
                <w:b w:val="0"/>
                <w:bCs w:val="0"/>
                <w:sz w:val="28"/>
                <w:szCs w:val="28"/>
                <w:highlight w:val="none"/>
                <w:u w:val="none"/>
                <w:lang w:eastAsia="zh-CN"/>
              </w:rPr>
              <w:t>、</w:t>
            </w:r>
            <w:r>
              <w:rPr>
                <w:rFonts w:hint="eastAsia"/>
                <w:b w:val="0"/>
                <w:bCs w:val="0"/>
                <w:sz w:val="28"/>
                <w:szCs w:val="28"/>
                <w:highlight w:val="none"/>
                <w:u w:val="none"/>
              </w:rPr>
              <w:t>露台绿化。推进桥体与墙垣垂绿，聚焦建筑立面、围墙、桥柱等竖向界面，推广攀爬植物应用，构建“乔木遮荫、墙体披绿”的复层立体景观。开展平房</w:t>
            </w:r>
            <w:r>
              <w:rPr>
                <w:rFonts w:hint="eastAsia"/>
                <w:b w:val="0"/>
                <w:bCs w:val="0"/>
                <w:sz w:val="28"/>
                <w:szCs w:val="28"/>
                <w:highlight w:val="none"/>
                <w:u w:val="none"/>
                <w:lang w:eastAsia="zh-CN"/>
              </w:rPr>
              <w:t>区域</w:t>
            </w:r>
            <w:r>
              <w:rPr>
                <w:rFonts w:hint="eastAsia"/>
                <w:b w:val="0"/>
                <w:bCs w:val="0"/>
                <w:sz w:val="28"/>
                <w:szCs w:val="28"/>
                <w:highlight w:val="none"/>
                <w:u w:val="none"/>
              </w:rPr>
              <w:t>小微空间绿化，落实“一院一树”行动，引导居民开展垂直绿化、容器绿化，在地铁口、街角、公交站点周边打造交通站点微花园。</w:t>
            </w:r>
          </w:p>
        </w:tc>
      </w:tr>
    </w:tbl>
    <w:p w14:paraId="023807AD">
      <w:pPr>
        <w:pStyle w:val="4"/>
        <w:rPr>
          <w:rFonts w:hint="eastAsia" w:ascii="Times New Roman" w:hAnsi="Times New Roman" w:eastAsia="仿宋_GB2312" w:cs="Times New Roman"/>
          <w:b w:val="0"/>
          <w:bCs w:val="0"/>
          <w:color w:val="auto"/>
          <w:highlight w:val="none"/>
          <w:u w:val="none"/>
          <w:shd w:val="clear" w:color="auto" w:fill="auto"/>
          <w:lang w:eastAsia="zh-CN"/>
        </w:rPr>
      </w:pPr>
      <w:bookmarkStart w:id="206" w:name="_Toc2665"/>
      <w:bookmarkStart w:id="207" w:name="_Toc1665"/>
      <w:bookmarkStart w:id="208" w:name="_Toc5156"/>
      <w:bookmarkStart w:id="209" w:name="_Toc11282"/>
      <w:bookmarkStart w:id="210" w:name="_Toc2932"/>
      <w:bookmarkStart w:id="211" w:name="_Toc8528"/>
      <w:bookmarkStart w:id="212" w:name="_Toc15168"/>
      <w:bookmarkStart w:id="213" w:name="_Toc14576"/>
      <w:bookmarkStart w:id="214" w:name="_Toc22781"/>
      <w:bookmarkStart w:id="215" w:name="_Toc21223"/>
      <w:r>
        <w:rPr>
          <w:b w:val="0"/>
          <w:bCs w:val="0"/>
          <w:color w:val="auto"/>
          <w:u w:val="none"/>
        </w:rPr>
        <w:t>（</w:t>
      </w:r>
      <w:r>
        <w:rPr>
          <w:rFonts w:hint="eastAsia"/>
          <w:b w:val="0"/>
          <w:bCs w:val="0"/>
          <w:color w:val="auto"/>
          <w:u w:val="none"/>
          <w:lang w:val="en-US" w:eastAsia="zh-CN"/>
        </w:rPr>
        <w:t>三</w:t>
      </w:r>
      <w:r>
        <w:rPr>
          <w:b w:val="0"/>
          <w:bCs w:val="0"/>
          <w:color w:val="auto"/>
          <w:u w:val="none"/>
        </w:rPr>
        <w:t>）</w:t>
      </w:r>
      <w:r>
        <w:rPr>
          <w:rFonts w:hint="eastAsia"/>
          <w:b w:val="0"/>
          <w:bCs w:val="0"/>
          <w:color w:val="auto"/>
          <w:u w:val="none"/>
          <w:lang w:val="en-US" w:eastAsia="zh-CN"/>
        </w:rPr>
        <w:t>系统推进湿地保护修复</w:t>
      </w:r>
      <w:bookmarkEnd w:id="206"/>
      <w:bookmarkEnd w:id="207"/>
      <w:bookmarkEnd w:id="208"/>
      <w:bookmarkEnd w:id="209"/>
      <w:bookmarkEnd w:id="210"/>
      <w:bookmarkEnd w:id="211"/>
      <w:bookmarkEnd w:id="212"/>
      <w:bookmarkEnd w:id="213"/>
      <w:bookmarkEnd w:id="214"/>
      <w:bookmarkEnd w:id="215"/>
    </w:p>
    <w:p w14:paraId="1159FA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b w:val="0"/>
          <w:bCs w:val="0"/>
          <w:color w:val="auto"/>
          <w:highlight w:val="none"/>
          <w:u w:val="none"/>
        </w:rPr>
      </w:pPr>
      <w:r>
        <w:rPr>
          <w:rFonts w:hint="eastAsia"/>
          <w:b w:val="0"/>
          <w:bCs w:val="0"/>
          <w:color w:val="auto"/>
          <w:highlight w:val="none"/>
          <w:u w:val="none"/>
        </w:rPr>
        <w:t>完善湿地保护体系，持续开展修复与监测评估，稳步提升湿地生态</w:t>
      </w:r>
      <w:r>
        <w:rPr>
          <w:rFonts w:hint="eastAsia"/>
          <w:b w:val="0"/>
          <w:bCs w:val="0"/>
          <w:color w:val="auto"/>
          <w:highlight w:val="none"/>
          <w:u w:val="none"/>
          <w:lang w:val="en-US" w:eastAsia="zh-CN"/>
        </w:rPr>
        <w:t>质量和</w:t>
      </w:r>
      <w:r>
        <w:rPr>
          <w:rFonts w:hint="eastAsia"/>
          <w:b w:val="0"/>
          <w:bCs w:val="0"/>
          <w:color w:val="auto"/>
          <w:highlight w:val="none"/>
          <w:u w:val="none"/>
        </w:rPr>
        <w:t>功能，巩固拓展湿地保护成效，着力打造人与自然和谐共生的湿地生态名片。</w:t>
      </w:r>
    </w:p>
    <w:p w14:paraId="13AE31D9">
      <w:pPr>
        <w:pStyle w:val="5"/>
        <w:keepNext w:val="0"/>
        <w:keepLines w:val="0"/>
        <w:pageBreakBefore w:val="0"/>
        <w:widowControl w:val="0"/>
        <w:numPr>
          <w:ilvl w:val="0"/>
          <w:numId w:val="14"/>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夯实湿地保护管理基础</w:t>
      </w:r>
    </w:p>
    <w:p w14:paraId="2F6211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健全湿地保护体系。加快构建覆盖“自然保护区—湿地公园—保护小区—一般湿地”的多层级湿地保护体系，加快推动“湿地公园”“湿地保护小区”等建设。依法将重要湿地纳入生态保护红线范围，对位于生态保护红线和生态空间管控区域内的湿地实行最严格的管控措施。推进区级湿地名录认定，发布区级湿地名录及范围，形成市级、区级、一般湿地的分级管理体系。</w:t>
      </w:r>
      <w:r>
        <w:rPr>
          <w:rFonts w:hint="eastAsia"/>
          <w:b w:val="0"/>
          <w:bCs w:val="0"/>
          <w:color w:val="auto"/>
          <w:highlight w:val="none"/>
          <w:u w:val="none"/>
        </w:rPr>
        <w:t>到2030年，湿地保护率</w:t>
      </w:r>
      <w:r>
        <w:rPr>
          <w:rFonts w:hint="eastAsia"/>
          <w:b w:val="0"/>
          <w:bCs w:val="0"/>
          <w:color w:val="auto"/>
          <w:highlight w:val="none"/>
          <w:u w:val="none"/>
          <w:lang w:val="en-US" w:eastAsia="zh-CN"/>
        </w:rPr>
        <w:t>稳定在40%以上</w:t>
      </w:r>
      <w:r>
        <w:rPr>
          <w:rFonts w:hint="eastAsia"/>
          <w:b w:val="0"/>
          <w:bCs w:val="0"/>
          <w:color w:val="auto"/>
          <w:highlight w:val="none"/>
          <w:u w:val="none"/>
        </w:rPr>
        <w:t>。</w:t>
      </w:r>
    </w:p>
    <w:p w14:paraId="60988455">
      <w:pPr>
        <w:pStyle w:val="5"/>
        <w:keepNext w:val="0"/>
        <w:keepLines w:val="0"/>
        <w:pageBreakBefore w:val="0"/>
        <w:widowControl w:val="0"/>
        <w:numPr>
          <w:ilvl w:val="0"/>
          <w:numId w:val="14"/>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推进湿地修复与监测评估</w:t>
      </w:r>
    </w:p>
    <w:p w14:paraId="51F58C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u w:val="none"/>
          <w:shd w:val="clear" w:color="auto" w:fill="auto"/>
          <w:lang w:val="en-US" w:eastAsia="zh-CN"/>
        </w:rPr>
      </w:pPr>
      <w:r>
        <w:rPr>
          <w:rFonts w:hint="default"/>
          <w:b w:val="0"/>
          <w:bCs w:val="0"/>
          <w:color w:val="auto"/>
          <w:highlight w:val="none"/>
          <w:u w:val="none"/>
          <w:lang w:val="en-US" w:eastAsia="zh-CN"/>
        </w:rPr>
        <w:t>系统</w:t>
      </w:r>
      <w:r>
        <w:rPr>
          <w:rFonts w:hint="eastAsia"/>
          <w:b w:val="0"/>
          <w:bCs w:val="0"/>
          <w:color w:val="auto"/>
          <w:highlight w:val="none"/>
          <w:u w:val="none"/>
          <w:lang w:val="en-US" w:eastAsia="zh-CN"/>
        </w:rPr>
        <w:t>实施湿地保护修复</w:t>
      </w:r>
      <w:r>
        <w:rPr>
          <w:rFonts w:hint="default"/>
          <w:b w:val="0"/>
          <w:bCs w:val="0"/>
          <w:color w:val="auto"/>
          <w:highlight w:val="none"/>
          <w:u w:val="none"/>
          <w:lang w:val="en-US" w:eastAsia="zh-CN"/>
        </w:rPr>
        <w:t>行动</w:t>
      </w:r>
      <w:r>
        <w:rPr>
          <w:rFonts w:hint="eastAsia"/>
          <w:b w:val="0"/>
          <w:bCs w:val="0"/>
          <w:color w:val="auto"/>
          <w:highlight w:val="none"/>
          <w:u w:val="none"/>
          <w:lang w:val="en-US" w:eastAsia="zh-CN"/>
        </w:rPr>
        <w:t>，重点推进罗马湖湿地、箭杆河湿地、潮白河与减河交汇处湿地、东郊湿地公园等生态修复工程</w:t>
      </w:r>
      <w:r>
        <w:rPr>
          <w:rFonts w:hint="eastAsia" w:hAnsi="仿宋_GB2312" w:cs="仿宋_GB2312"/>
          <w:b w:val="0"/>
          <w:bCs w:val="0"/>
          <w:color w:val="auto"/>
          <w:sz w:val="32"/>
          <w:szCs w:val="32"/>
          <w:highlight w:val="none"/>
          <w:u w:val="none"/>
          <w:shd w:val="clear" w:color="auto" w:fill="auto"/>
          <w:lang w:val="en-US" w:eastAsia="zh-CN"/>
        </w:rPr>
        <w:t>。结合公园绿地建设和乡村沟渠整治，因地制宜</w:t>
      </w:r>
      <w:r>
        <w:rPr>
          <w:rFonts w:hint="eastAsia" w:cs="仿宋_GB2312"/>
          <w:b w:val="0"/>
          <w:bCs w:val="0"/>
          <w:color w:val="auto"/>
          <w:sz w:val="32"/>
          <w:szCs w:val="32"/>
          <w:highlight w:val="none"/>
          <w:u w:val="none"/>
          <w:shd w:val="clear" w:color="auto" w:fill="auto"/>
          <w:lang w:val="en-US" w:eastAsia="zh-CN"/>
        </w:rPr>
        <w:t>开展</w:t>
      </w:r>
      <w:r>
        <w:rPr>
          <w:rFonts w:hint="eastAsia" w:hAnsi="仿宋_GB2312" w:cs="仿宋_GB2312"/>
          <w:b w:val="0"/>
          <w:bCs w:val="0"/>
          <w:color w:val="auto"/>
          <w:sz w:val="32"/>
          <w:szCs w:val="32"/>
          <w:highlight w:val="none"/>
          <w:u w:val="none"/>
          <w:shd w:val="clear" w:color="auto" w:fill="auto"/>
          <w:lang w:val="en-US" w:eastAsia="zh-CN"/>
        </w:rPr>
        <w:t>各类小微湿地</w:t>
      </w:r>
      <w:r>
        <w:rPr>
          <w:rFonts w:hint="eastAsia" w:cs="仿宋_GB2312"/>
          <w:b w:val="0"/>
          <w:bCs w:val="0"/>
          <w:color w:val="auto"/>
          <w:sz w:val="32"/>
          <w:szCs w:val="32"/>
          <w:highlight w:val="none"/>
          <w:u w:val="none"/>
          <w:shd w:val="clear" w:color="auto" w:fill="auto"/>
          <w:lang w:val="en-US" w:eastAsia="zh-CN"/>
        </w:rPr>
        <w:t>修复与建设</w:t>
      </w:r>
      <w:r>
        <w:rPr>
          <w:rFonts w:hint="eastAsia" w:hAnsi="仿宋_GB2312" w:cs="仿宋_GB2312"/>
          <w:b w:val="0"/>
          <w:bCs w:val="0"/>
          <w:color w:val="auto"/>
          <w:sz w:val="32"/>
          <w:szCs w:val="32"/>
          <w:highlight w:val="none"/>
          <w:u w:val="none"/>
          <w:shd w:val="clear" w:color="auto" w:fill="auto"/>
          <w:lang w:val="en-US" w:eastAsia="zh-CN"/>
        </w:rPr>
        <w:t>，优先选用乡土物种开展植被恢复，</w:t>
      </w:r>
      <w:r>
        <w:rPr>
          <w:rFonts w:hint="eastAsia" w:cs="仿宋_GB2312"/>
          <w:b w:val="0"/>
          <w:bCs w:val="0"/>
          <w:color w:val="auto"/>
          <w:sz w:val="32"/>
          <w:szCs w:val="32"/>
          <w:highlight w:val="none"/>
          <w:u w:val="none"/>
          <w:shd w:val="clear" w:color="auto" w:fill="auto"/>
          <w:lang w:val="en-US" w:eastAsia="zh-CN"/>
        </w:rPr>
        <w:t>增强</w:t>
      </w:r>
      <w:r>
        <w:rPr>
          <w:rFonts w:hint="eastAsia" w:hAnsi="仿宋_GB2312" w:cs="仿宋_GB2312"/>
          <w:b w:val="0"/>
          <w:bCs w:val="0"/>
          <w:color w:val="auto"/>
          <w:sz w:val="32"/>
          <w:szCs w:val="32"/>
          <w:highlight w:val="none"/>
          <w:u w:val="none"/>
          <w:shd w:val="clear" w:color="auto" w:fill="auto"/>
          <w:lang w:val="en-US" w:eastAsia="zh-CN"/>
        </w:rPr>
        <w:t>湿地生态系统</w:t>
      </w:r>
      <w:r>
        <w:rPr>
          <w:rFonts w:hint="eastAsia" w:cs="仿宋_GB2312"/>
          <w:b w:val="0"/>
          <w:bCs w:val="0"/>
          <w:color w:val="auto"/>
          <w:sz w:val="32"/>
          <w:szCs w:val="32"/>
          <w:highlight w:val="none"/>
          <w:u w:val="none"/>
          <w:shd w:val="clear" w:color="auto" w:fill="auto"/>
          <w:lang w:val="en-US" w:eastAsia="zh-CN"/>
        </w:rPr>
        <w:t>功能</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w:t>
      </w:r>
      <w:r>
        <w:rPr>
          <w:rFonts w:hint="eastAsia" w:cs="仿宋_GB2312"/>
          <w:b w:val="0"/>
          <w:bCs w:val="0"/>
          <w:color w:val="auto"/>
          <w:sz w:val="32"/>
          <w:szCs w:val="32"/>
          <w:highlight w:val="none"/>
          <w:u w:val="none"/>
          <w:shd w:val="clear" w:color="auto" w:fill="auto"/>
          <w:lang w:val="en-US" w:eastAsia="zh-CN"/>
        </w:rPr>
        <w:t>完善湿地监测评估体系，</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深化</w:t>
      </w:r>
      <w:r>
        <w:rPr>
          <w:rFonts w:hint="eastAsia" w:hAnsi="仿宋_GB2312" w:cs="仿宋_GB2312"/>
          <w:b w:val="0"/>
          <w:bCs w:val="0"/>
          <w:color w:val="auto"/>
          <w:sz w:val="32"/>
          <w:szCs w:val="32"/>
          <w:highlight w:val="none"/>
          <w:u w:val="none"/>
          <w:shd w:val="clear" w:color="auto" w:fill="auto"/>
          <w:lang w:val="en-US" w:eastAsia="zh-CN"/>
        </w:rPr>
        <w:t>汉石桥</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湿地</w:t>
      </w:r>
      <w:r>
        <w:rPr>
          <w:rFonts w:hint="eastAsia" w:hAnsi="仿宋_GB2312" w:cs="仿宋_GB2312"/>
          <w:b w:val="0"/>
          <w:bCs w:val="0"/>
          <w:color w:val="auto"/>
          <w:sz w:val="32"/>
          <w:szCs w:val="32"/>
          <w:highlight w:val="none"/>
          <w:u w:val="none"/>
          <w:shd w:val="clear" w:color="auto" w:fill="auto"/>
          <w:lang w:val="en-US" w:eastAsia="zh-CN"/>
        </w:rPr>
        <w:t>智慧</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监测系统应用</w:t>
      </w:r>
      <w:r>
        <w:rPr>
          <w:rFonts w:hint="eastAsia" w:hAnsi="仿宋_GB2312" w:cs="仿宋_GB2312"/>
          <w:b w:val="0"/>
          <w:bCs w:val="0"/>
          <w:color w:val="auto"/>
          <w:sz w:val="32"/>
          <w:szCs w:val="32"/>
          <w:highlight w:val="none"/>
          <w:u w:val="none"/>
          <w:shd w:val="clear" w:color="auto" w:fill="auto"/>
          <w:lang w:val="en-US" w:eastAsia="zh-CN"/>
        </w:rPr>
        <w:t>。</w:t>
      </w:r>
    </w:p>
    <w:p w14:paraId="1572A62A">
      <w:pPr>
        <w:pStyle w:val="4"/>
        <w:keepNext w:val="0"/>
        <w:keepLines w:val="0"/>
        <w:pageBreakBefore w:val="0"/>
        <w:widowControl w:val="0"/>
        <w:kinsoku/>
        <w:wordWrap/>
        <w:overflowPunct/>
        <w:topLinePunct w:val="0"/>
        <w:autoSpaceDE/>
        <w:autoSpaceDN/>
        <w:bidi w:val="0"/>
        <w:adjustRightInd/>
        <w:snapToGrid/>
        <w:textAlignment w:val="auto"/>
        <w:rPr>
          <w:b w:val="0"/>
          <w:bCs w:val="0"/>
          <w:color w:val="auto"/>
          <w:u w:val="none"/>
        </w:rPr>
      </w:pPr>
      <w:bookmarkStart w:id="216" w:name="_Toc18078"/>
      <w:bookmarkStart w:id="217" w:name="_Toc21050"/>
      <w:bookmarkStart w:id="218" w:name="_Toc4439"/>
      <w:bookmarkStart w:id="219" w:name="_Toc1868"/>
      <w:bookmarkStart w:id="220" w:name="_Toc19961"/>
      <w:bookmarkStart w:id="221" w:name="_Toc18237"/>
      <w:bookmarkStart w:id="222" w:name="_Toc22717"/>
      <w:bookmarkStart w:id="223" w:name="_Toc16938"/>
      <w:bookmarkStart w:id="224" w:name="_Toc27306"/>
      <w:bookmarkStart w:id="225" w:name="_Toc23182"/>
      <w:r>
        <w:rPr>
          <w:b w:val="0"/>
          <w:bCs w:val="0"/>
          <w:color w:val="auto"/>
          <w:u w:val="none"/>
        </w:rPr>
        <w:t>（</w:t>
      </w:r>
      <w:r>
        <w:rPr>
          <w:rFonts w:hint="eastAsia"/>
          <w:b w:val="0"/>
          <w:bCs w:val="0"/>
          <w:color w:val="auto"/>
          <w:u w:val="none"/>
          <w:lang w:val="en-US" w:eastAsia="zh-CN"/>
        </w:rPr>
        <w:t>四</w:t>
      </w:r>
      <w:r>
        <w:rPr>
          <w:b w:val="0"/>
          <w:bCs w:val="0"/>
          <w:color w:val="auto"/>
          <w:u w:val="none"/>
        </w:rPr>
        <w:t>）</w:t>
      </w:r>
      <w:r>
        <w:rPr>
          <w:rFonts w:hint="default"/>
          <w:b w:val="0"/>
          <w:bCs w:val="0"/>
          <w:color w:val="auto"/>
          <w:u w:val="none"/>
          <w:lang w:val="en-US" w:eastAsia="zh-CN"/>
        </w:rPr>
        <w:t>加强生物多样性保护</w:t>
      </w:r>
      <w:bookmarkEnd w:id="216"/>
      <w:bookmarkEnd w:id="217"/>
      <w:bookmarkEnd w:id="218"/>
      <w:bookmarkEnd w:id="219"/>
      <w:bookmarkEnd w:id="220"/>
      <w:bookmarkEnd w:id="221"/>
      <w:bookmarkEnd w:id="222"/>
      <w:bookmarkEnd w:id="223"/>
      <w:bookmarkEnd w:id="224"/>
      <w:bookmarkEnd w:id="225"/>
    </w:p>
    <w:p w14:paraId="7462884C">
      <w:pPr>
        <w:keepNext w:val="0"/>
        <w:keepLines w:val="0"/>
        <w:pageBreakBefore w:val="0"/>
        <w:widowControl w:val="0"/>
        <w:numPr>
          <w:ilvl w:val="-1"/>
          <w:numId w:val="0"/>
        </w:numPr>
        <w:kinsoku/>
        <w:wordWrap/>
        <w:overflowPunct/>
        <w:topLinePunct w:val="0"/>
        <w:autoSpaceDE/>
        <w:autoSpaceDN/>
        <w:bidi w:val="0"/>
        <w:adjustRightInd/>
        <w:snapToGrid/>
        <w:ind w:firstLine="640"/>
        <w:textAlignment w:val="auto"/>
        <w:rPr>
          <w:rFonts w:hint="default" w:eastAsia="仿宋_GB2312"/>
          <w:b w:val="0"/>
          <w:bCs w:val="0"/>
          <w:color w:val="auto"/>
          <w:highlight w:val="none"/>
          <w:u w:val="none"/>
          <w:lang w:val="en-US" w:eastAsia="zh-CN"/>
        </w:rPr>
      </w:pPr>
      <w:r>
        <w:rPr>
          <w:rFonts w:hint="eastAsia"/>
          <w:b w:val="0"/>
          <w:bCs w:val="0"/>
          <w:color w:val="auto"/>
          <w:highlight w:val="none"/>
          <w:u w:val="none"/>
          <w:lang w:val="en-US" w:eastAsia="zh-CN"/>
        </w:rPr>
        <w:t>坚持尊重自然、保护优先，以生态关键区域为重点，强化生物多样性监测评估，推进重要栖息地保护修复，加强野生动植物保护，筑牢国门生物安全防线，持续提升生物多样性保护水平。</w:t>
      </w:r>
    </w:p>
    <w:p w14:paraId="7BE741C0">
      <w:pPr>
        <w:pStyle w:val="5"/>
        <w:keepNext w:val="0"/>
        <w:keepLines w:val="0"/>
        <w:pageBreakBefore w:val="0"/>
        <w:widowControl w:val="0"/>
        <w:numPr>
          <w:ilvl w:val="0"/>
          <w:numId w:val="15"/>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强化生物多样性监测评估</w:t>
      </w:r>
    </w:p>
    <w:p w14:paraId="70E894A3">
      <w:pPr>
        <w:keepNext w:val="0"/>
        <w:keepLines w:val="0"/>
        <w:pageBreakBefore w:val="0"/>
        <w:widowControl w:val="0"/>
        <w:kinsoku/>
        <w:wordWrap/>
        <w:overflowPunct/>
        <w:topLinePunct w:val="0"/>
        <w:autoSpaceDE/>
        <w:autoSpaceDN/>
        <w:bidi w:val="0"/>
        <w:adjustRightInd/>
        <w:snapToGrid/>
        <w:ind w:firstLine="643"/>
        <w:textAlignment w:val="auto"/>
        <w:rPr>
          <w:rFonts w:hint="eastAsia" w:ascii="仿宋_GB2312" w:hAnsi="仿宋_GB2312" w:cs="仿宋_GB2312"/>
          <w:b w:val="0"/>
          <w:bCs w:val="0"/>
          <w:color w:val="auto"/>
          <w:highlight w:val="none"/>
          <w:u w:val="none"/>
          <w:lang w:eastAsia="zh-CN"/>
        </w:rPr>
      </w:pPr>
      <w:r>
        <w:rPr>
          <w:rFonts w:hint="eastAsia" w:ascii="仿宋_GB2312" w:hAnsi="仿宋_GB2312" w:cs="仿宋_GB2312"/>
          <w:b w:val="0"/>
          <w:bCs w:val="0"/>
          <w:color w:val="auto"/>
          <w:highlight w:val="none"/>
          <w:u w:val="none"/>
          <w:lang w:eastAsia="zh-CN"/>
        </w:rPr>
        <w:t>依托市级生物多样性长期观测网络，以汉石桥湿地、潮白河沿线、北大沟林场等为重点区域，设立长期固定观测样地，以鸟类、哺乳动物等指示生物类群为核心，定期开展本底调查与动态评估。逐步构建“</w:t>
      </w:r>
      <w:r>
        <w:rPr>
          <w:rFonts w:hint="eastAsia" w:ascii="仿宋_GB2312" w:hAnsi="仿宋_GB2312" w:cs="仿宋_GB2312"/>
          <w:b w:val="0"/>
          <w:bCs w:val="0"/>
          <w:color w:val="auto"/>
          <w:highlight w:val="none"/>
          <w:u w:val="none"/>
          <w:shd w:val="clear" w:color="auto" w:fill="auto"/>
          <w:lang w:val="en-US" w:eastAsia="zh-CN"/>
        </w:rPr>
        <w:t>天空地</w:t>
      </w:r>
      <w:r>
        <w:rPr>
          <w:rFonts w:hint="eastAsia" w:ascii="仿宋_GB2312" w:hAnsi="仿宋_GB2312" w:cs="仿宋_GB2312"/>
          <w:b w:val="0"/>
          <w:bCs w:val="0"/>
          <w:color w:val="auto"/>
          <w:highlight w:val="none"/>
          <w:u w:val="none"/>
          <w:lang w:eastAsia="zh-CN"/>
        </w:rPr>
        <w:t>”一体化生物多样性智慧监测网络，集成应用红外相机、声纹识别、环境DNA等智能化技术，推动监测数据采集、分析、预警、决策全链条智慧管理。</w:t>
      </w:r>
    </w:p>
    <w:p w14:paraId="7722BF2C">
      <w:pPr>
        <w:pStyle w:val="5"/>
        <w:keepNext w:val="0"/>
        <w:keepLines w:val="0"/>
        <w:pageBreakBefore w:val="0"/>
        <w:widowControl w:val="0"/>
        <w:numPr>
          <w:ilvl w:val="0"/>
          <w:numId w:val="15"/>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推进重要生物栖息地保护修复</w:t>
      </w:r>
    </w:p>
    <w:p w14:paraId="4144BBD2">
      <w:pPr>
        <w:keepNext w:val="0"/>
        <w:keepLines w:val="0"/>
        <w:pageBreakBefore w:val="0"/>
        <w:widowControl w:val="0"/>
        <w:kinsoku/>
        <w:wordWrap/>
        <w:overflowPunct/>
        <w:topLinePunct w:val="0"/>
        <w:autoSpaceDE/>
        <w:autoSpaceDN/>
        <w:bidi w:val="0"/>
        <w:adjustRightInd/>
        <w:snapToGrid/>
        <w:ind w:firstLine="643"/>
        <w:textAlignment w:val="auto"/>
        <w:rPr>
          <w:rFonts w:hint="eastAsia" w:ascii="仿宋_GB2312" w:hAnsi="仿宋_GB2312" w:cs="仿宋_GB2312"/>
          <w:b w:val="0"/>
          <w:bCs w:val="0"/>
          <w:color w:val="auto"/>
          <w:highlight w:val="none"/>
          <w:u w:val="none"/>
          <w:shd w:val="clear" w:color="auto" w:fill="auto"/>
        </w:rPr>
      </w:pPr>
      <w:r>
        <w:rPr>
          <w:rFonts w:hint="eastAsia" w:ascii="仿宋_GB2312" w:hAnsi="仿宋_GB2312" w:cs="仿宋_GB2312"/>
          <w:b w:val="0"/>
          <w:bCs w:val="0"/>
          <w:color w:val="auto"/>
          <w:highlight w:val="none"/>
          <w:u w:val="none"/>
          <w:shd w:val="clear" w:color="auto" w:fill="auto"/>
        </w:rPr>
        <w:t>依托野生动植物资源本底调查成果，以汉石桥湿地、潮白河温榆河沿岸、东北部山区等动物适宜栖息地为重点，开展栖息地质量评估与动态监测。</w:t>
      </w:r>
      <w:r>
        <w:rPr>
          <w:rFonts w:hint="eastAsia" w:ascii="仿宋_GB2312" w:hAnsi="仿宋_GB2312" w:cs="仿宋_GB2312"/>
          <w:b w:val="0"/>
          <w:bCs w:val="0"/>
          <w:color w:val="auto"/>
          <w:highlight w:val="none"/>
          <w:u w:val="none"/>
          <w:shd w:val="clear" w:color="auto" w:fill="auto"/>
          <w:lang w:val="en-US" w:eastAsia="zh-CN"/>
        </w:rPr>
        <w:t>加强古树名木及其生境保护。</w:t>
      </w:r>
      <w:r>
        <w:rPr>
          <w:rFonts w:hint="eastAsia" w:ascii="仿宋_GB2312" w:hAnsi="仿宋_GB2312" w:cs="仿宋_GB2312"/>
          <w:b w:val="0"/>
          <w:bCs w:val="0"/>
          <w:color w:val="auto"/>
          <w:highlight w:val="none"/>
          <w:u w:val="none"/>
          <w:shd w:val="clear" w:color="auto" w:fill="auto"/>
        </w:rPr>
        <w:t>研究制定区级野生动物栖息地保护名录，对重点区域实行分类管护。依托平原生态林、郊野公园、湿地等空间，持续推进生物多样性保育小区建设，因地制宜增设人工鸟巢、本杰士堆、昆虫旅馆等生物多样性友好设施，营造小微湿地，优化野生动物觅食、栖息和繁衍条件。</w:t>
      </w:r>
      <w:r>
        <w:rPr>
          <w:rFonts w:hint="eastAsia" w:ascii="仿宋_GB2312" w:hAnsi="仿宋_GB2312" w:cs="仿宋_GB2312"/>
          <w:b w:val="0"/>
          <w:bCs w:val="0"/>
          <w:color w:val="auto"/>
          <w:highlight w:val="none"/>
          <w:u w:val="none"/>
          <w:shd w:val="clear" w:color="auto" w:fill="auto"/>
          <w:lang w:eastAsia="zh-CN"/>
        </w:rPr>
        <w:t>发挥</w:t>
      </w:r>
      <w:r>
        <w:rPr>
          <w:rFonts w:hint="eastAsia" w:ascii="仿宋_GB2312" w:hAnsi="仿宋_GB2312" w:cs="仿宋_GB2312"/>
          <w:b w:val="0"/>
          <w:bCs w:val="0"/>
          <w:color w:val="auto"/>
          <w:highlight w:val="none"/>
          <w:u w:val="none"/>
          <w:shd w:val="clear" w:color="auto" w:fill="auto"/>
        </w:rPr>
        <w:t>生态保育小区示范引领作用</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rPr>
        <w:t>结合郊野公园、城市公园等空间，营建近自然的“生境花园”，通过优化植物配置、增设友好设施，打造“精野结合”的生物多样性微空间。到2030年，生物多样性示范区</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lang w:val="en-US" w:eastAsia="zh-CN"/>
        </w:rPr>
        <w:t>自然生境花园建设达到北京市要求</w:t>
      </w:r>
      <w:r>
        <w:rPr>
          <w:rFonts w:hint="eastAsia" w:ascii="仿宋_GB2312" w:hAnsi="仿宋_GB2312" w:cs="仿宋_GB2312"/>
          <w:b w:val="0"/>
          <w:bCs w:val="0"/>
          <w:color w:val="auto"/>
          <w:highlight w:val="none"/>
          <w:u w:val="none"/>
          <w:shd w:val="clear" w:color="auto" w:fill="auto"/>
        </w:rPr>
        <w:t>，生物多样性友好设施覆盖范围持续扩大。</w:t>
      </w:r>
    </w:p>
    <w:p w14:paraId="521592BA">
      <w:pPr>
        <w:pStyle w:val="5"/>
        <w:keepNext w:val="0"/>
        <w:keepLines w:val="0"/>
        <w:pageBreakBefore w:val="0"/>
        <w:widowControl w:val="0"/>
        <w:numPr>
          <w:ilvl w:val="0"/>
          <w:numId w:val="15"/>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加强野生动植物保护修复</w:t>
      </w:r>
    </w:p>
    <w:p w14:paraId="362D6B2B">
      <w:pPr>
        <w:keepNext w:val="0"/>
        <w:keepLines w:val="0"/>
        <w:pageBreakBefore w:val="0"/>
        <w:widowControl w:val="0"/>
        <w:kinsoku/>
        <w:wordWrap/>
        <w:overflowPunct/>
        <w:topLinePunct w:val="0"/>
        <w:autoSpaceDE/>
        <w:autoSpaceDN/>
        <w:bidi w:val="0"/>
        <w:adjustRightInd/>
        <w:snapToGrid/>
        <w:ind w:firstLine="643"/>
        <w:textAlignment w:val="auto"/>
        <w:rPr>
          <w:rFonts w:hint="eastAsia" w:ascii="仿宋_GB2312" w:hAnsi="仿宋_GB2312" w:cs="仿宋_GB2312"/>
          <w:b w:val="0"/>
          <w:bCs w:val="0"/>
          <w:color w:val="auto"/>
          <w:highlight w:val="none"/>
          <w:u w:val="none"/>
          <w:shd w:val="clear" w:color="auto" w:fill="auto"/>
        </w:rPr>
      </w:pPr>
      <w:r>
        <w:rPr>
          <w:rFonts w:hint="eastAsia" w:ascii="仿宋_GB2312" w:hAnsi="仿宋_GB2312" w:cs="仿宋_GB2312"/>
          <w:b w:val="0"/>
          <w:bCs w:val="0"/>
          <w:color w:val="auto"/>
          <w:highlight w:val="none"/>
          <w:u w:val="none"/>
          <w:shd w:val="clear" w:color="auto" w:fill="auto"/>
        </w:rPr>
        <w:t>依托野生动植物资源本底调查成果，以东北部山区、汉石桥湿地、潮白河</w:t>
      </w:r>
      <w:r>
        <w:rPr>
          <w:rFonts w:hint="eastAsia" w:cs="仿宋_GB2312"/>
          <w:b w:val="0"/>
          <w:bCs w:val="0"/>
          <w:color w:val="auto"/>
          <w:highlight w:val="none"/>
          <w:u w:val="none"/>
          <w:shd w:val="clear" w:color="auto" w:fill="auto"/>
          <w:lang w:eastAsia="zh-CN"/>
        </w:rPr>
        <w:t>与温榆河</w:t>
      </w:r>
      <w:r>
        <w:rPr>
          <w:rFonts w:hint="eastAsia" w:ascii="仿宋_GB2312" w:hAnsi="仿宋_GB2312" w:cs="仿宋_GB2312"/>
          <w:b w:val="0"/>
          <w:bCs w:val="0"/>
          <w:color w:val="auto"/>
          <w:highlight w:val="none"/>
          <w:u w:val="none"/>
          <w:shd w:val="clear" w:color="auto" w:fill="auto"/>
        </w:rPr>
        <w:t>沿岸等珍稀濒危物种集中分布区为重点，对东方白鹳、大天鹅、野大豆</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lang w:val="en-US" w:eastAsia="zh-CN"/>
        </w:rPr>
        <w:t>山丹</w:t>
      </w:r>
      <w:r>
        <w:rPr>
          <w:rFonts w:hint="eastAsia" w:ascii="仿宋_GB2312" w:hAnsi="仿宋_GB2312" w:cs="仿宋_GB2312"/>
          <w:b w:val="0"/>
          <w:bCs w:val="0"/>
          <w:color w:val="auto"/>
          <w:highlight w:val="none"/>
          <w:u w:val="none"/>
          <w:shd w:val="clear" w:color="auto" w:fill="auto"/>
        </w:rPr>
        <w:t>等国家</w:t>
      </w:r>
      <w:r>
        <w:rPr>
          <w:rFonts w:hint="eastAsia" w:ascii="仿宋_GB2312" w:hAnsi="仿宋_GB2312" w:cs="仿宋_GB2312"/>
          <w:b w:val="0"/>
          <w:bCs w:val="0"/>
          <w:color w:val="auto"/>
          <w:highlight w:val="none"/>
          <w:u w:val="none"/>
          <w:shd w:val="clear" w:color="auto" w:fill="auto"/>
          <w:lang w:val="en-US" w:eastAsia="zh-CN"/>
        </w:rPr>
        <w:t>及北京市</w:t>
      </w:r>
      <w:r>
        <w:rPr>
          <w:rFonts w:hint="eastAsia" w:ascii="仿宋_GB2312" w:hAnsi="仿宋_GB2312" w:cs="仿宋_GB2312"/>
          <w:b w:val="0"/>
          <w:bCs w:val="0"/>
          <w:color w:val="auto"/>
          <w:highlight w:val="none"/>
          <w:u w:val="none"/>
          <w:shd w:val="clear" w:color="auto" w:fill="auto"/>
        </w:rPr>
        <w:t>重点保护野生动植物及其栖息地实行优先保护</w:t>
      </w:r>
      <w:r>
        <w:rPr>
          <w:rFonts w:hint="eastAsia" w:ascii="仿宋_GB2312" w:hAnsi="仿宋_GB2312" w:cs="仿宋_GB2312"/>
          <w:b w:val="0"/>
          <w:bCs w:val="0"/>
          <w:color w:val="auto"/>
          <w:highlight w:val="none"/>
          <w:u w:val="none"/>
          <w:shd w:val="clear" w:color="auto" w:fill="auto"/>
          <w:lang w:eastAsia="zh-CN"/>
        </w:rPr>
        <w:t>，</w:t>
      </w:r>
      <w:r>
        <w:rPr>
          <w:rFonts w:hint="eastAsia" w:ascii="仿宋_GB2312" w:hAnsi="仿宋_GB2312" w:cs="仿宋_GB2312"/>
          <w:b w:val="0"/>
          <w:bCs w:val="0"/>
          <w:color w:val="auto"/>
          <w:highlight w:val="none"/>
          <w:u w:val="none"/>
          <w:shd w:val="clear" w:color="auto" w:fill="auto"/>
          <w:lang w:val="en-US" w:eastAsia="zh-CN"/>
        </w:rPr>
        <w:t>维护原生境完整</w:t>
      </w:r>
      <w:r>
        <w:rPr>
          <w:rFonts w:hint="eastAsia" w:ascii="仿宋_GB2312" w:hAnsi="仿宋_GB2312" w:cs="仿宋_GB2312"/>
          <w:b w:val="0"/>
          <w:bCs w:val="0"/>
          <w:color w:val="auto"/>
          <w:highlight w:val="none"/>
          <w:u w:val="none"/>
          <w:shd w:val="clear" w:color="auto" w:fill="auto"/>
        </w:rPr>
        <w:t>。在植物高保护价值区和动物高适宜栖息地内，因地制宜采取围栏防护、栖息地修复、人工辅助繁育等措施，提升珍稀物种生存繁衍条件。完善野生动物收容救护体系，依托北大沟林场野生动物救护站，加强伤病、受困野生动物救助救治，提升收容救护能力。结合麋鹿野化训练、山丹人工扩繁等实践探索，对珍稀濒危物种积极采取人工繁育和野外放归等抢救性保护措施。到2030年，国家重点保护野生动植物物种保护率达到100%。</w:t>
      </w:r>
    </w:p>
    <w:p w14:paraId="04FCAD57">
      <w:pPr>
        <w:pStyle w:val="5"/>
        <w:keepNext w:val="0"/>
        <w:keepLines w:val="0"/>
        <w:pageBreakBefore w:val="0"/>
        <w:widowControl w:val="0"/>
        <w:numPr>
          <w:ilvl w:val="0"/>
          <w:numId w:val="15"/>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筑牢国门生物安全防线</w:t>
      </w:r>
    </w:p>
    <w:p w14:paraId="7F6B3EF4">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充分发挥首都机场所在地优势，强化与海关、边检等口岸部门协作，完善入境风险拦截与信息共享机制，严防外来有害生物随货物、人员、交通工具传入。持续开展农田、林地、湿地、渔业水域等重点区域外来入侵物种监测，依托市级普查成果摸清全区入侵物种种类、分布与危害程度，精准识别重点物种入侵途径并制定“一种一策”管控方案。加强草地贪夜蛾等迁飞性害虫监测预警，强化松材线虫、美国白蛾等重大林业有害生物综合防控，遏制三裂叶豚草等恶性杂草扩散蔓延。健全跨区域联防联控机制，与周边地区协同应对入侵威胁。加强宣传教育，引导社会公众依法参与防控，营造群防群治氛围。</w:t>
      </w:r>
    </w:p>
    <w:p w14:paraId="4F0FC315">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b w:val="0"/>
          <w:bCs w:val="0"/>
          <w:color w:val="auto"/>
          <w:u w:val="none"/>
        </w:rPr>
      </w:pPr>
      <w:bookmarkStart w:id="226" w:name="_Toc13539"/>
      <w:bookmarkStart w:id="227" w:name="_Toc28131"/>
      <w:bookmarkStart w:id="228" w:name="_Toc24765"/>
      <w:bookmarkStart w:id="229" w:name="_Toc23850"/>
      <w:bookmarkStart w:id="230" w:name="_Toc13032"/>
      <w:bookmarkStart w:id="231" w:name="_Toc17489"/>
      <w:bookmarkStart w:id="232" w:name="_Toc3586"/>
      <w:bookmarkStart w:id="233" w:name="_Toc2007"/>
      <w:bookmarkStart w:id="234" w:name="_Toc26015"/>
      <w:bookmarkStart w:id="235" w:name="_Toc31318"/>
      <w:r>
        <w:rPr>
          <w:rFonts w:hint="eastAsia" w:ascii="Times New Roman" w:hAnsi="Times New Roman" w:eastAsia="楷体_GB2312" w:cs="Times New Roman"/>
          <w:b w:val="0"/>
          <w:bCs w:val="0"/>
          <w:color w:val="auto"/>
          <w:kern w:val="2"/>
          <w:sz w:val="32"/>
          <w:szCs w:val="32"/>
          <w:u w:val="none"/>
          <w:lang w:val="en-US" w:eastAsia="zh-CN" w:bidi="ar-SA"/>
        </w:rPr>
        <w:t>（</w:t>
      </w:r>
      <w:r>
        <w:rPr>
          <w:rFonts w:hint="eastAsia" w:cs="Times New Roman"/>
          <w:b w:val="0"/>
          <w:bCs w:val="0"/>
          <w:color w:val="auto"/>
          <w:kern w:val="2"/>
          <w:sz w:val="32"/>
          <w:szCs w:val="32"/>
          <w:u w:val="none"/>
          <w:lang w:val="en-US" w:eastAsia="zh-CN" w:bidi="ar-SA"/>
        </w:rPr>
        <w:t>五</w:t>
      </w:r>
      <w:r>
        <w:rPr>
          <w:rFonts w:hint="eastAsia" w:ascii="Times New Roman" w:hAnsi="Times New Roman" w:eastAsia="楷体_GB2312" w:cs="Times New Roman"/>
          <w:b w:val="0"/>
          <w:bCs w:val="0"/>
          <w:color w:val="auto"/>
          <w:kern w:val="2"/>
          <w:sz w:val="32"/>
          <w:szCs w:val="32"/>
          <w:u w:val="none"/>
          <w:lang w:val="en-US" w:eastAsia="zh-CN" w:bidi="ar-SA"/>
        </w:rPr>
        <w:t>）</w:t>
      </w:r>
      <w:r>
        <w:rPr>
          <w:b w:val="0"/>
          <w:bCs w:val="0"/>
          <w:color w:val="auto"/>
          <w:u w:val="none"/>
        </w:rPr>
        <w:t>推动生态产品价值实现</w:t>
      </w:r>
      <w:bookmarkEnd w:id="226"/>
      <w:bookmarkEnd w:id="227"/>
      <w:bookmarkEnd w:id="228"/>
      <w:bookmarkEnd w:id="229"/>
      <w:bookmarkEnd w:id="230"/>
      <w:bookmarkEnd w:id="231"/>
      <w:bookmarkEnd w:id="232"/>
      <w:bookmarkEnd w:id="233"/>
      <w:bookmarkEnd w:id="234"/>
      <w:bookmarkEnd w:id="235"/>
    </w:p>
    <w:p w14:paraId="590C374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b w:val="0"/>
          <w:bCs w:val="0"/>
          <w:color w:val="auto"/>
          <w:highlight w:val="none"/>
          <w:u w:val="none"/>
        </w:rPr>
      </w:pPr>
      <w:r>
        <w:rPr>
          <w:rFonts w:hint="eastAsia"/>
          <w:b w:val="0"/>
          <w:bCs w:val="0"/>
          <w:color w:val="auto"/>
          <w:highlight w:val="none"/>
          <w:u w:val="none"/>
        </w:rPr>
        <w:t>健全生态产品价值实现机制，因地制宜探索价值转化路径，推动生态优势向发展优势转化。</w:t>
      </w:r>
    </w:p>
    <w:p w14:paraId="66FCD10C">
      <w:pPr>
        <w:pStyle w:val="5"/>
        <w:keepNext w:val="0"/>
        <w:keepLines w:val="0"/>
        <w:pageBreakBefore w:val="0"/>
        <w:widowControl w:val="0"/>
        <w:numPr>
          <w:ilvl w:val="0"/>
          <w:numId w:val="16"/>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cs="仿宋_GB2312"/>
          <w:b w:val="0"/>
          <w:bCs w:val="0"/>
          <w:color w:val="auto"/>
          <w:kern w:val="2"/>
          <w:sz w:val="32"/>
          <w:szCs w:val="32"/>
          <w:u w:val="none"/>
          <w:shd w:val="clear" w:color="auto" w:fill="auto"/>
          <w:lang w:val="en-US" w:eastAsia="zh-CN" w:bidi="ar-SA"/>
        </w:rPr>
        <w:t>落实</w:t>
      </w:r>
      <w:r>
        <w:rPr>
          <w:rFonts w:hint="eastAsia" w:ascii="仿宋_GB2312" w:hAnsi="仿宋_GB2312" w:eastAsia="仿宋_GB2312" w:cs="仿宋_GB2312"/>
          <w:b w:val="0"/>
          <w:bCs w:val="0"/>
          <w:color w:val="auto"/>
          <w:kern w:val="2"/>
          <w:sz w:val="32"/>
          <w:szCs w:val="32"/>
          <w:u w:val="none"/>
          <w:shd w:val="clear" w:color="auto" w:fill="auto"/>
          <w:lang w:val="en-US" w:eastAsia="zh-CN" w:bidi="ar-SA"/>
        </w:rPr>
        <w:t>生态产品价值实现机制</w:t>
      </w:r>
    </w:p>
    <w:p w14:paraId="362190C1">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b w:val="0"/>
          <w:bCs w:val="0"/>
          <w:color w:val="auto"/>
          <w:highlight w:val="none"/>
          <w:u w:val="none"/>
        </w:rPr>
      </w:pPr>
      <w:r>
        <w:rPr>
          <w:rFonts w:hint="eastAsia"/>
          <w:b w:val="0"/>
          <w:bCs w:val="0"/>
          <w:highlight w:val="none"/>
          <w:u w:val="none"/>
          <w:lang w:val="en-US" w:eastAsia="zh-CN"/>
        </w:rPr>
        <w:t>落实</w:t>
      </w:r>
      <w:r>
        <w:rPr>
          <w:rFonts w:hint="eastAsia"/>
          <w:b w:val="0"/>
          <w:bCs w:val="0"/>
          <w:highlight w:val="none"/>
          <w:u w:val="none"/>
        </w:rPr>
        <w:t>市级GEP-R与GDP交换补偿方案及优化调整后的考核目标和交易规则，</w:t>
      </w:r>
      <w:r>
        <w:rPr>
          <w:rFonts w:hint="eastAsia"/>
          <w:b w:val="0"/>
          <w:bCs w:val="0"/>
          <w:highlight w:val="none"/>
          <w:u w:val="none"/>
          <w:lang w:val="en-US" w:eastAsia="zh-CN"/>
        </w:rPr>
        <w:t>有序推进</w:t>
      </w:r>
      <w:r>
        <w:rPr>
          <w:rFonts w:hint="eastAsia"/>
          <w:b w:val="0"/>
          <w:bCs w:val="0"/>
          <w:highlight w:val="none"/>
          <w:u w:val="none"/>
        </w:rPr>
        <w:t>顺义区GEP-R与GDP交换补偿工作。深化顺义区各镇街GEP-R核算结果应用，逐步探索建立GEP-R定期诊断评估与问题反馈机制，充分发挥GEP-R绿色指挥棒的作用。深化与昌平区结对协作机制</w:t>
      </w:r>
      <w:r>
        <w:rPr>
          <w:rFonts w:hint="eastAsia"/>
          <w:b w:val="0"/>
          <w:bCs w:val="0"/>
          <w:highlight w:val="none"/>
          <w:u w:val="none"/>
          <w:lang w:eastAsia="zh-CN"/>
        </w:rPr>
        <w:t>。</w:t>
      </w:r>
    </w:p>
    <w:p w14:paraId="0C17705E">
      <w:pPr>
        <w:pStyle w:val="5"/>
        <w:keepNext w:val="0"/>
        <w:keepLines w:val="0"/>
        <w:pageBreakBefore w:val="0"/>
        <w:widowControl w:val="0"/>
        <w:numPr>
          <w:ilvl w:val="0"/>
          <w:numId w:val="16"/>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推动生态产品价值提升转化</w:t>
      </w:r>
    </w:p>
    <w:p w14:paraId="1B63E934">
      <w:pPr>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b w:val="0"/>
          <w:bCs w:val="0"/>
          <w:color w:val="auto"/>
          <w:highlight w:val="none"/>
          <w:u w:val="none"/>
        </w:rPr>
      </w:pPr>
      <w:r>
        <w:rPr>
          <w:rFonts w:hint="eastAsia"/>
          <w:b w:val="0"/>
          <w:bCs w:val="0"/>
          <w:color w:val="auto"/>
          <w:highlight w:val="none"/>
          <w:u w:val="none"/>
          <w:lang w:val="en-US" w:eastAsia="zh-CN"/>
        </w:rPr>
        <w:t>结合市级“保稳、提质、扩绿、控损”要求，编制GEP-R提升工作方案，聚焦突出短板，制定“一地一策”精准提升策略，指导行业部门和相关镇街有序开展生态空间保护与生态建设。充分发挥龙湾屯镇“龙湾质造”典型引领作用，挖掘各涉农属地生态产品特色优势，培育一批区域特产公共品牌，通过“品种培优、品质提升、品牌打造”激发动能、拓展空间、提升价值。积极推进产业生态化，大力发展林下经济、生态旅游、循环经济等生态产业，推动生态农业、生态工业、生态文化融合发展。因地制宜探索生态导向型开发模式（EOD），在潮白河、温榆河沿线等重点区域，将生态环境治理与周边区域开发、产业发展有机结合，通过区域增值反哺生态投入，实现生态保护与经济发展的良性循环。到</w:t>
      </w:r>
      <w:r>
        <w:rPr>
          <w:rFonts w:hint="eastAsia"/>
          <w:b w:val="0"/>
          <w:bCs w:val="0"/>
          <w:color w:val="auto"/>
          <w:highlight w:val="none"/>
          <w:u w:val="none"/>
        </w:rPr>
        <w:t>2030年，全区GEP-R稳步提升。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F97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01F2C2BD">
            <w:pPr>
              <w:widowControl/>
              <w:ind w:firstLine="560" w:firstLineChars="200"/>
              <w:jc w:val="center"/>
              <w:rPr>
                <w:rFonts w:hint="default"/>
                <w:b w:val="0"/>
                <w:bCs w:val="0"/>
                <w:sz w:val="28"/>
                <w:szCs w:val="28"/>
                <w:highlight w:val="none"/>
                <w:u w:val="none"/>
                <w:lang w:val="en-US"/>
              </w:rPr>
            </w:pPr>
            <w:r>
              <w:rPr>
                <w:rFonts w:hint="eastAsia" w:cs="仿宋_GB2312"/>
                <w:b w:val="0"/>
                <w:bCs w:val="0"/>
                <w:sz w:val="28"/>
                <w:szCs w:val="28"/>
                <w:highlight w:val="none"/>
                <w:u w:val="none"/>
                <w:lang w:val="en-US" w:eastAsia="zh-CN"/>
              </w:rPr>
              <w:t>专栏5  GEP-R提升行动</w:t>
            </w:r>
          </w:p>
        </w:tc>
      </w:tr>
      <w:tr w14:paraId="2B16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59C97EA5">
            <w:pPr>
              <w:pStyle w:val="19"/>
              <w:widowControl/>
              <w:spacing w:after="0"/>
              <w:ind w:firstLine="560"/>
              <w:jc w:val="left"/>
              <w:rPr>
                <w:rFonts w:hint="default" w:eastAsia="仿宋_GB2312"/>
                <w:b w:val="0"/>
                <w:bCs w:val="0"/>
                <w:sz w:val="28"/>
                <w:szCs w:val="28"/>
                <w:highlight w:val="none"/>
                <w:u w:val="none"/>
                <w:lang w:val="en-US" w:eastAsia="zh-CN"/>
              </w:rPr>
            </w:pPr>
            <w:r>
              <w:rPr>
                <w:rFonts w:hint="eastAsia"/>
                <w:b w:val="0"/>
                <w:bCs w:val="0"/>
                <w:sz w:val="28"/>
                <w:szCs w:val="28"/>
                <w:highlight w:val="none"/>
                <w:u w:val="none"/>
                <w:lang w:val="en-US" w:eastAsia="zh-CN"/>
              </w:rPr>
              <w:t>水源涵养与面源污染防控行动。</w:t>
            </w:r>
            <w:r>
              <w:rPr>
                <w:rFonts w:hint="eastAsia"/>
                <w:b w:val="0"/>
                <w:bCs w:val="0"/>
                <w:sz w:val="28"/>
                <w:szCs w:val="28"/>
                <w:highlight w:val="none"/>
                <w:u w:val="none"/>
              </w:rPr>
              <w:t>依托潮白河、温榆河及汉石桥湿地</w:t>
            </w:r>
            <w:r>
              <w:rPr>
                <w:rFonts w:hint="eastAsia"/>
                <w:b w:val="0"/>
                <w:bCs w:val="0"/>
                <w:sz w:val="28"/>
                <w:szCs w:val="28"/>
                <w:highlight w:val="none"/>
                <w:u w:val="none"/>
                <w:lang w:val="en-US" w:eastAsia="zh-CN"/>
              </w:rPr>
              <w:t>等主要水系，在主河道两侧实施水源涵养与面源污染防控工程</w:t>
            </w:r>
            <w:r>
              <w:rPr>
                <w:rFonts w:hint="eastAsia"/>
                <w:b w:val="0"/>
                <w:bCs w:val="0"/>
                <w:sz w:val="28"/>
                <w:szCs w:val="28"/>
                <w:highlight w:val="none"/>
                <w:u w:val="none"/>
              </w:rPr>
              <w:t>，恢复河漫滩湿地，拓展滨河缓冲区，修复生态驳岸。推进河道综合整治</w:t>
            </w:r>
            <w:r>
              <w:rPr>
                <w:rFonts w:hint="eastAsia"/>
                <w:b w:val="0"/>
                <w:bCs w:val="0"/>
                <w:sz w:val="28"/>
                <w:szCs w:val="28"/>
                <w:highlight w:val="none"/>
                <w:u w:val="none"/>
                <w:lang w:val="en-US" w:eastAsia="zh-CN"/>
              </w:rPr>
              <w:t>与滞洪湿地织补</w:t>
            </w:r>
            <w:r>
              <w:rPr>
                <w:rFonts w:hint="eastAsia"/>
                <w:b w:val="0"/>
                <w:bCs w:val="0"/>
                <w:sz w:val="28"/>
                <w:szCs w:val="28"/>
                <w:highlight w:val="none"/>
                <w:u w:val="none"/>
              </w:rPr>
              <w:t>，在北部山区与东部平原间补植恢复约500公顷滞洪洼地和生态湿地。统筹推进蓄滞洪区、防洪设施与生态湿地系统的协同建设</w:t>
            </w:r>
            <w:r>
              <w:rPr>
                <w:rFonts w:hint="eastAsia"/>
                <w:b w:val="0"/>
                <w:bCs w:val="0"/>
                <w:sz w:val="28"/>
                <w:szCs w:val="28"/>
                <w:highlight w:val="none"/>
                <w:u w:val="none"/>
                <w:lang w:eastAsia="zh-CN"/>
              </w:rPr>
              <w:t>。</w:t>
            </w:r>
          </w:p>
          <w:p w14:paraId="286E9707">
            <w:pPr>
              <w:pStyle w:val="19"/>
              <w:spacing w:after="0"/>
              <w:ind w:firstLine="560"/>
              <w:rPr>
                <w:rFonts w:hint="eastAsia"/>
                <w:b w:val="0"/>
                <w:bCs w:val="0"/>
                <w:sz w:val="28"/>
                <w:szCs w:val="28"/>
                <w:highlight w:val="none"/>
                <w:u w:val="none"/>
                <w:lang w:val="en-US" w:eastAsia="zh-CN"/>
              </w:rPr>
            </w:pPr>
            <w:r>
              <w:rPr>
                <w:rFonts w:hint="eastAsia"/>
                <w:b w:val="0"/>
                <w:bCs w:val="0"/>
                <w:sz w:val="28"/>
                <w:szCs w:val="28"/>
                <w:highlight w:val="none"/>
                <w:u w:val="none"/>
                <w:lang w:val="en-US" w:eastAsia="zh-CN"/>
              </w:rPr>
              <w:t>森林与农田生态功能提升行动</w:t>
            </w:r>
            <w:r>
              <w:rPr>
                <w:rFonts w:hint="eastAsia"/>
                <w:b w:val="0"/>
                <w:bCs w:val="0"/>
                <w:sz w:val="28"/>
                <w:szCs w:val="28"/>
                <w:highlight w:val="none"/>
                <w:u w:val="none"/>
                <w:lang w:eastAsia="zh-CN"/>
              </w:rPr>
              <w:t>。</w:t>
            </w:r>
            <w:r>
              <w:rPr>
                <w:rFonts w:hint="eastAsia"/>
                <w:b w:val="0"/>
                <w:bCs w:val="0"/>
                <w:sz w:val="28"/>
                <w:szCs w:val="28"/>
                <w:highlight w:val="none"/>
                <w:u w:val="none"/>
              </w:rPr>
              <w:t>加快浅山区低效林改造与平原造林</w:t>
            </w:r>
            <w:r>
              <w:rPr>
                <w:rFonts w:hint="eastAsia"/>
                <w:b w:val="0"/>
                <w:bCs w:val="0"/>
                <w:sz w:val="28"/>
                <w:szCs w:val="28"/>
                <w:highlight w:val="none"/>
                <w:u w:val="none"/>
                <w:lang w:eastAsia="zh-CN"/>
              </w:rPr>
              <w:t>，</w:t>
            </w:r>
            <w:r>
              <w:rPr>
                <w:rFonts w:hint="eastAsia"/>
                <w:b w:val="0"/>
                <w:bCs w:val="0"/>
                <w:sz w:val="28"/>
                <w:szCs w:val="28"/>
                <w:highlight w:val="none"/>
                <w:u w:val="none"/>
                <w:lang w:val="en-US" w:eastAsia="zh-CN"/>
              </w:rPr>
              <w:t>提高森林碳汇与水源涵养能力</w:t>
            </w:r>
            <w:r>
              <w:rPr>
                <w:rFonts w:hint="eastAsia"/>
                <w:b w:val="0"/>
                <w:bCs w:val="0"/>
                <w:sz w:val="28"/>
                <w:szCs w:val="28"/>
                <w:highlight w:val="none"/>
                <w:u w:val="none"/>
              </w:rPr>
              <w:t>。推广</w:t>
            </w:r>
            <w:r>
              <w:rPr>
                <w:rFonts w:hint="eastAsia"/>
                <w:b w:val="0"/>
                <w:bCs w:val="0"/>
                <w:sz w:val="28"/>
                <w:szCs w:val="28"/>
                <w:highlight w:val="none"/>
                <w:u w:val="none"/>
                <w:lang w:val="en-US" w:eastAsia="zh-CN"/>
              </w:rPr>
              <w:t>高效环保化肥</w:t>
            </w:r>
            <w:r>
              <w:rPr>
                <w:rFonts w:hint="eastAsia"/>
                <w:b w:val="0"/>
                <w:bCs w:val="0"/>
                <w:sz w:val="28"/>
                <w:szCs w:val="28"/>
                <w:highlight w:val="none"/>
                <w:u w:val="none"/>
              </w:rPr>
              <w:t>，采用生物防治、生态种草、轮作控害等绿色技术。对中低产田和零散地块实施耕作层剥离、土壤改良、增施有机肥</w:t>
            </w:r>
            <w:r>
              <w:rPr>
                <w:rFonts w:hint="eastAsia"/>
                <w:b w:val="0"/>
                <w:bCs w:val="0"/>
                <w:sz w:val="28"/>
                <w:szCs w:val="28"/>
                <w:highlight w:val="none"/>
                <w:u w:val="none"/>
                <w:lang w:val="en-US" w:eastAsia="zh-CN"/>
              </w:rPr>
              <w:t>。推进</w:t>
            </w:r>
            <w:r>
              <w:rPr>
                <w:rFonts w:hint="eastAsia"/>
                <w:b w:val="0"/>
                <w:bCs w:val="0"/>
                <w:sz w:val="28"/>
                <w:szCs w:val="28"/>
                <w:highlight w:val="none"/>
                <w:u w:val="none"/>
              </w:rPr>
              <w:t>集中连片高标准农田</w:t>
            </w:r>
            <w:r>
              <w:rPr>
                <w:rFonts w:hint="eastAsia"/>
                <w:b w:val="0"/>
                <w:bCs w:val="0"/>
                <w:sz w:val="28"/>
                <w:szCs w:val="28"/>
                <w:highlight w:val="none"/>
                <w:u w:val="none"/>
                <w:lang w:val="en-US" w:eastAsia="zh-CN"/>
              </w:rPr>
              <w:t>建设</w:t>
            </w:r>
            <w:r>
              <w:rPr>
                <w:rFonts w:hint="eastAsia"/>
                <w:b w:val="0"/>
                <w:bCs w:val="0"/>
                <w:sz w:val="28"/>
                <w:szCs w:val="28"/>
                <w:highlight w:val="none"/>
                <w:u w:val="none"/>
              </w:rPr>
              <w:t>。</w:t>
            </w:r>
          </w:p>
          <w:p w14:paraId="588FE1C8">
            <w:pPr>
              <w:pStyle w:val="19"/>
              <w:spacing w:after="0"/>
              <w:ind w:firstLine="560"/>
              <w:rPr>
                <w:rFonts w:hint="eastAsia"/>
                <w:b w:val="0"/>
                <w:bCs w:val="0"/>
                <w:highlight w:val="none"/>
                <w:u w:val="none"/>
                <w:lang w:eastAsia="zh-CN"/>
              </w:rPr>
            </w:pPr>
            <w:r>
              <w:rPr>
                <w:rFonts w:hint="eastAsia"/>
                <w:b w:val="0"/>
                <w:bCs w:val="0"/>
                <w:sz w:val="28"/>
                <w:szCs w:val="28"/>
                <w:highlight w:val="none"/>
                <w:u w:val="none"/>
                <w:lang w:val="en-US" w:eastAsia="zh-CN"/>
              </w:rPr>
              <w:t>生态修复与价值转化行动。</w:t>
            </w:r>
            <w:r>
              <w:rPr>
                <w:rFonts w:hint="eastAsia"/>
                <w:b w:val="0"/>
                <w:bCs w:val="0"/>
                <w:sz w:val="28"/>
                <w:szCs w:val="28"/>
                <w:highlight w:val="none"/>
                <w:u w:val="none"/>
              </w:rPr>
              <w:t>腾退低效集体建设用地，</w:t>
            </w:r>
            <w:r>
              <w:rPr>
                <w:rFonts w:hint="eastAsia"/>
                <w:b w:val="0"/>
                <w:bCs w:val="0"/>
                <w:sz w:val="28"/>
                <w:szCs w:val="28"/>
                <w:highlight w:val="none"/>
                <w:u w:val="none"/>
                <w:lang w:val="en-US" w:eastAsia="zh-CN"/>
              </w:rPr>
              <w:t>实施</w:t>
            </w:r>
            <w:r>
              <w:rPr>
                <w:rFonts w:hint="eastAsia"/>
                <w:b w:val="0"/>
                <w:bCs w:val="0"/>
                <w:sz w:val="28"/>
                <w:szCs w:val="28"/>
                <w:highlight w:val="none"/>
                <w:u w:val="none"/>
              </w:rPr>
              <w:t>复垦还耕</w:t>
            </w:r>
            <w:r>
              <w:rPr>
                <w:rFonts w:hint="eastAsia"/>
                <w:b w:val="0"/>
                <w:bCs w:val="0"/>
                <w:sz w:val="28"/>
                <w:szCs w:val="28"/>
                <w:highlight w:val="none"/>
                <w:u w:val="none"/>
                <w:lang w:val="en-US" w:eastAsia="zh-CN"/>
              </w:rPr>
              <w:t>或复垦</w:t>
            </w:r>
            <w:r>
              <w:rPr>
                <w:rFonts w:hint="eastAsia"/>
                <w:b w:val="0"/>
                <w:bCs w:val="0"/>
                <w:sz w:val="28"/>
                <w:szCs w:val="28"/>
                <w:highlight w:val="none"/>
                <w:u w:val="none"/>
              </w:rPr>
              <w:t>还绿。</w:t>
            </w:r>
            <w:r>
              <w:rPr>
                <w:rFonts w:hint="eastAsia"/>
                <w:b w:val="0"/>
                <w:bCs w:val="0"/>
                <w:sz w:val="28"/>
                <w:szCs w:val="28"/>
                <w:highlight w:val="none"/>
                <w:u w:val="none"/>
                <w:lang w:val="en-US" w:eastAsia="zh-CN"/>
              </w:rPr>
              <w:t>以</w:t>
            </w:r>
            <w:r>
              <w:rPr>
                <w:rFonts w:hint="eastAsia"/>
                <w:b w:val="0"/>
                <w:bCs w:val="0"/>
                <w:sz w:val="28"/>
                <w:szCs w:val="28"/>
                <w:highlight w:val="none"/>
                <w:u w:val="none"/>
              </w:rPr>
              <w:t>治理废弃矿山、采石坑、砂石场</w:t>
            </w:r>
            <w:r>
              <w:rPr>
                <w:rFonts w:hint="eastAsia"/>
                <w:b w:val="0"/>
                <w:bCs w:val="0"/>
                <w:sz w:val="28"/>
                <w:szCs w:val="28"/>
                <w:highlight w:val="none"/>
                <w:u w:val="none"/>
                <w:lang w:val="en-US" w:eastAsia="zh-CN"/>
              </w:rPr>
              <w:t>为重点，采取整地</w:t>
            </w:r>
            <w:r>
              <w:rPr>
                <w:rFonts w:hint="eastAsia"/>
                <w:b w:val="0"/>
                <w:bCs w:val="0"/>
                <w:sz w:val="28"/>
                <w:szCs w:val="28"/>
                <w:highlight w:val="none"/>
                <w:u w:val="none"/>
              </w:rPr>
              <w:t>覆土、坡面治理、</w:t>
            </w:r>
            <w:r>
              <w:rPr>
                <w:rFonts w:hint="eastAsia"/>
                <w:b w:val="0"/>
                <w:bCs w:val="0"/>
                <w:sz w:val="28"/>
                <w:szCs w:val="28"/>
                <w:highlight w:val="none"/>
                <w:u w:val="none"/>
                <w:lang w:val="en-US" w:eastAsia="zh-CN"/>
              </w:rPr>
              <w:t>地形塑造与</w:t>
            </w:r>
            <w:r>
              <w:rPr>
                <w:rFonts w:hint="eastAsia"/>
                <w:b w:val="0"/>
                <w:bCs w:val="0"/>
                <w:sz w:val="28"/>
                <w:szCs w:val="28"/>
                <w:highlight w:val="none"/>
                <w:u w:val="none"/>
              </w:rPr>
              <w:t>植被恢复</w:t>
            </w:r>
            <w:r>
              <w:rPr>
                <w:rFonts w:hint="eastAsia"/>
                <w:b w:val="0"/>
                <w:bCs w:val="0"/>
                <w:sz w:val="28"/>
                <w:szCs w:val="28"/>
                <w:highlight w:val="none"/>
                <w:u w:val="none"/>
                <w:lang w:val="en-US" w:eastAsia="zh-CN"/>
              </w:rPr>
              <w:t>等手段开展生态修复</w:t>
            </w:r>
            <w:r>
              <w:rPr>
                <w:rFonts w:hint="eastAsia"/>
                <w:b w:val="0"/>
                <w:bCs w:val="0"/>
                <w:sz w:val="28"/>
                <w:szCs w:val="28"/>
                <w:highlight w:val="none"/>
                <w:u w:val="none"/>
              </w:rPr>
              <w:t>。鼓励</w:t>
            </w:r>
            <w:r>
              <w:rPr>
                <w:rFonts w:hint="eastAsia"/>
                <w:b w:val="0"/>
                <w:bCs w:val="0"/>
                <w:sz w:val="28"/>
                <w:szCs w:val="28"/>
                <w:highlight w:val="none"/>
                <w:u w:val="none"/>
                <w:lang w:val="en-US" w:eastAsia="zh-CN"/>
              </w:rPr>
              <w:t>以村镇为单元</w:t>
            </w:r>
            <w:r>
              <w:rPr>
                <w:rFonts w:hint="eastAsia"/>
                <w:b w:val="0"/>
                <w:bCs w:val="0"/>
                <w:sz w:val="28"/>
                <w:szCs w:val="28"/>
                <w:highlight w:val="none"/>
                <w:u w:val="none"/>
              </w:rPr>
              <w:t>建设农田碳汇示范区</w:t>
            </w:r>
            <w:r>
              <w:rPr>
                <w:rFonts w:hint="eastAsia"/>
                <w:b w:val="0"/>
                <w:bCs w:val="0"/>
                <w:sz w:val="28"/>
                <w:szCs w:val="28"/>
                <w:highlight w:val="none"/>
                <w:u w:val="none"/>
                <w:lang w:val="en-US" w:eastAsia="zh-CN"/>
              </w:rPr>
              <w:t>。</w:t>
            </w:r>
          </w:p>
        </w:tc>
      </w:tr>
    </w:tbl>
    <w:p w14:paraId="2057DC30">
      <w:pPr>
        <w:pStyle w:val="3"/>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u w:val="none"/>
        </w:rPr>
      </w:pPr>
      <w:bookmarkStart w:id="236" w:name="_Toc6495"/>
      <w:bookmarkStart w:id="237" w:name="_Toc2603"/>
      <w:bookmarkStart w:id="238" w:name="_Toc11218"/>
      <w:bookmarkStart w:id="239" w:name="_Toc27447"/>
      <w:bookmarkStart w:id="240" w:name="_Toc15847"/>
      <w:bookmarkStart w:id="241" w:name="_Toc10633"/>
      <w:bookmarkStart w:id="242" w:name="_Toc6994"/>
      <w:bookmarkStart w:id="243" w:name="_Toc3199"/>
      <w:bookmarkStart w:id="244" w:name="_Toc13417"/>
      <w:bookmarkStart w:id="245" w:name="_Toc17441"/>
      <w:r>
        <w:rPr>
          <w:rFonts w:hint="eastAsia" w:ascii="黑体" w:hAnsi="黑体" w:eastAsia="黑体" w:cs="黑体"/>
          <w:b w:val="0"/>
          <w:bCs w:val="0"/>
          <w:color w:val="auto"/>
          <w:highlight w:val="none"/>
          <w:u w:val="none"/>
        </w:rPr>
        <w:t>六、</w:t>
      </w:r>
      <w:r>
        <w:rPr>
          <w:rFonts w:hint="eastAsia" w:ascii="黑体" w:hAnsi="黑体" w:eastAsia="黑体" w:cs="黑体"/>
          <w:b w:val="0"/>
          <w:bCs w:val="0"/>
          <w:color w:val="auto"/>
          <w:highlight w:val="none"/>
          <w:u w:val="none"/>
          <w:lang w:val="en-US" w:eastAsia="zh-CN"/>
        </w:rPr>
        <w:t>筑牢风险防控</w:t>
      </w:r>
      <w:r>
        <w:rPr>
          <w:rFonts w:hint="eastAsia" w:ascii="黑体" w:hAnsi="黑体" w:eastAsia="黑体" w:cs="黑体"/>
          <w:b w:val="0"/>
          <w:bCs w:val="0"/>
          <w:color w:val="auto"/>
          <w:highlight w:val="none"/>
          <w:u w:val="none"/>
        </w:rPr>
        <w:t>安全底线</w:t>
      </w:r>
      <w:bookmarkEnd w:id="236"/>
      <w:bookmarkEnd w:id="237"/>
      <w:bookmarkEnd w:id="238"/>
      <w:bookmarkEnd w:id="239"/>
      <w:bookmarkEnd w:id="240"/>
      <w:bookmarkEnd w:id="241"/>
      <w:bookmarkEnd w:id="242"/>
      <w:bookmarkEnd w:id="243"/>
      <w:bookmarkEnd w:id="244"/>
      <w:bookmarkEnd w:id="245"/>
    </w:p>
    <w:p w14:paraId="3079C9F2">
      <w:pPr>
        <w:pStyle w:val="4"/>
        <w:keepNext w:val="0"/>
        <w:keepLines w:val="0"/>
        <w:pageBreakBefore w:val="0"/>
        <w:widowControl w:val="0"/>
        <w:kinsoku/>
        <w:wordWrap/>
        <w:overflowPunct/>
        <w:topLinePunct w:val="0"/>
        <w:autoSpaceDE/>
        <w:autoSpaceDN/>
        <w:bidi w:val="0"/>
        <w:adjustRightInd/>
        <w:snapToGrid/>
        <w:textAlignment w:val="auto"/>
        <w:rPr>
          <w:rFonts w:hint="default" w:eastAsia="楷体_GB2312"/>
          <w:b w:val="0"/>
          <w:bCs w:val="0"/>
          <w:color w:val="auto"/>
          <w:u w:val="none"/>
          <w:lang w:val="en-US" w:eastAsia="zh-CN"/>
        </w:rPr>
      </w:pPr>
      <w:bookmarkStart w:id="246" w:name="_Toc16485"/>
      <w:bookmarkStart w:id="247" w:name="_Toc20914"/>
      <w:bookmarkStart w:id="248" w:name="_Toc21557"/>
      <w:bookmarkStart w:id="249" w:name="_Toc20175"/>
      <w:bookmarkStart w:id="250" w:name="_Toc3962"/>
      <w:bookmarkStart w:id="251" w:name="_Toc22935"/>
      <w:bookmarkStart w:id="252" w:name="_Toc27416"/>
      <w:bookmarkStart w:id="253" w:name="_Toc25318"/>
      <w:bookmarkStart w:id="254" w:name="_Toc29058"/>
      <w:bookmarkStart w:id="255" w:name="_Toc16854"/>
      <w:r>
        <w:rPr>
          <w:b w:val="0"/>
          <w:bCs w:val="0"/>
          <w:color w:val="auto"/>
          <w:u w:val="none"/>
        </w:rPr>
        <w:t>（一）</w:t>
      </w:r>
      <w:r>
        <w:rPr>
          <w:rFonts w:hint="eastAsia"/>
          <w:b w:val="0"/>
          <w:bCs w:val="0"/>
          <w:color w:val="auto"/>
          <w:u w:val="none"/>
          <w:lang w:val="en-US" w:eastAsia="zh-CN"/>
        </w:rPr>
        <w:t>织密生态安全风险防控网</w:t>
      </w:r>
      <w:bookmarkEnd w:id="246"/>
      <w:bookmarkEnd w:id="247"/>
      <w:bookmarkEnd w:id="248"/>
      <w:bookmarkEnd w:id="249"/>
      <w:bookmarkEnd w:id="250"/>
      <w:bookmarkEnd w:id="251"/>
      <w:bookmarkEnd w:id="252"/>
      <w:bookmarkEnd w:id="253"/>
      <w:bookmarkEnd w:id="254"/>
      <w:bookmarkEnd w:id="255"/>
    </w:p>
    <w:p w14:paraId="623B7190">
      <w:pPr>
        <w:pStyle w:val="5"/>
        <w:keepNext w:val="0"/>
        <w:keepLines w:val="0"/>
        <w:pageBreakBefore w:val="0"/>
        <w:widowControl w:val="0"/>
        <w:numPr>
          <w:ilvl w:val="0"/>
          <w:numId w:val="17"/>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健全生态风险防控体系</w:t>
      </w:r>
    </w:p>
    <w:p w14:paraId="2B1257E0">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依托全区“分级负责、分类管理、属地为主”的应急预案体系，将生态安全要求融入产业发展、空间规划、项目建设等决策环节，完善生态风险监测预警、研判评估、应急响应全链条机制。依托重点污染源风险隐患排查、水环境综合监管、生态系统质量监测等工作基础，加强生态安全形势研判和风险早期识别，推动监测预警与应急响应有效衔接，实现风险早发现、快响应。深化“三监联动”机制运用，提升非现场执法检查和科技应急手段应用水平，强化风险处置全过程监管。加强与河北省廊坊市三河市等周边地区的跨域联动执法，落实《京津冀环境执法联动工作机制》，推进信息共享、定期会商、联合巡查，共同筑牢区域生态安全屏障。</w:t>
      </w:r>
    </w:p>
    <w:p w14:paraId="3CA8DA89">
      <w:pPr>
        <w:pStyle w:val="5"/>
        <w:keepNext w:val="0"/>
        <w:keepLines w:val="0"/>
        <w:pageBreakBefore w:val="0"/>
        <w:widowControl w:val="0"/>
        <w:numPr>
          <w:ilvl w:val="0"/>
          <w:numId w:val="17"/>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提升环境应急保障能力</w:t>
      </w:r>
    </w:p>
    <w:p w14:paraId="1F0D7945">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围绕重点流域与重点产业园区，推进环境风险源、应急空间及设施、敏感目标“三图”的整合工作，探索构建区级环境应急专题数据库。在此基础上，探索运用人工智能等先进技术，推动“一张图”实现集成展示、智能调度与辅助决策功能，逐步构建覆盖全过程、多层级的突发水污染事件应急防范体系。健全区、镇、村三级联动应急响应体系，动态更新突发环境事件应急预案。推行企业应急预案“卡片化”管理模式，建立常态化演练机制，推动应急演练向无脚本化、实战化方向发展。强化应急物资储备库建设，加强专业化队伍的实战培训。</w:t>
      </w:r>
    </w:p>
    <w:p w14:paraId="46638E90">
      <w:pPr>
        <w:pStyle w:val="5"/>
        <w:keepNext w:val="0"/>
        <w:keepLines w:val="0"/>
        <w:pageBreakBefore w:val="0"/>
        <w:widowControl w:val="0"/>
        <w:numPr>
          <w:ilvl w:val="0"/>
          <w:numId w:val="17"/>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深化重点领域风险管控</w:t>
      </w:r>
    </w:p>
    <w:p w14:paraId="20E698C7">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eastAsia="zh-CN"/>
        </w:rPr>
      </w:pPr>
      <w:r>
        <w:rPr>
          <w:rFonts w:hint="eastAsia"/>
          <w:b w:val="0"/>
          <w:bCs w:val="0"/>
          <w:color w:val="auto"/>
          <w:highlight w:val="none"/>
          <w:u w:val="none"/>
          <w:lang w:val="en-US" w:eastAsia="zh-CN"/>
        </w:rPr>
        <w:t>深化固废专项整治。</w:t>
      </w:r>
      <w:r>
        <w:rPr>
          <w:rFonts w:hint="eastAsia"/>
          <w:b w:val="0"/>
          <w:bCs w:val="0"/>
          <w:color w:val="auto"/>
          <w:highlight w:val="none"/>
          <w:u w:val="none"/>
          <w:lang w:eastAsia="zh-CN"/>
        </w:rPr>
        <w:t>依托“人防+技防”“网格+执法”联动机制，聚焦城乡接合部、河道沿线、拆迁腾退地块等重点区域，常态化开展固废非法倾倒排查整治。</w:t>
      </w:r>
      <w:r>
        <w:rPr>
          <w:rFonts w:hint="eastAsia"/>
          <w:b w:val="0"/>
          <w:bCs w:val="0"/>
          <w:color w:val="auto"/>
          <w:highlight w:val="none"/>
          <w:u w:val="none"/>
          <w:lang w:val="en-US" w:eastAsia="zh-CN"/>
        </w:rPr>
        <w:t>综合运用卫星遥感、视频监控、固废管理系统等数字化手段，对</w:t>
      </w:r>
      <w:r>
        <w:rPr>
          <w:rFonts w:hint="eastAsia"/>
          <w:b w:val="0"/>
          <w:bCs w:val="0"/>
          <w:color w:val="auto"/>
          <w:highlight w:val="none"/>
          <w:u w:val="none"/>
          <w:lang w:eastAsia="zh-CN"/>
        </w:rPr>
        <w:t>建筑垃圾等重点领域实行“产-运-消”全链条执法监管，建立“发现—溯源—处置”闭环机制。强化与周边地区跨域联动执法，严防固废跨省转移风险。</w:t>
      </w:r>
    </w:p>
    <w:p w14:paraId="31CE5C00">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eastAsia="zh-CN"/>
        </w:rPr>
      </w:pPr>
      <w:r>
        <w:rPr>
          <w:rFonts w:hint="eastAsia"/>
          <w:b w:val="0"/>
          <w:bCs w:val="0"/>
          <w:color w:val="auto"/>
          <w:highlight w:val="none"/>
          <w:u w:val="none"/>
          <w:lang w:eastAsia="zh-CN"/>
        </w:rPr>
        <w:t>强化重金属风险防控。参照国家重金属环境安全隐患排查整治要求，对辖区内涉重金属重点行业企业、遗留地块实施风险筛查，建立排查清单，开展环境风险评估并实行分级管控，有效防范重金属次生环境风险。严格涉重金属重点行业环境准入，对</w:t>
      </w:r>
      <w:r>
        <w:rPr>
          <w:rFonts w:hint="eastAsia"/>
          <w:b w:val="0"/>
          <w:bCs w:val="0"/>
          <w:color w:val="auto"/>
          <w:highlight w:val="none"/>
          <w:u w:val="none"/>
          <w:lang w:val="en-US" w:eastAsia="zh-CN"/>
        </w:rPr>
        <w:t>区内</w:t>
      </w:r>
      <w:r>
        <w:rPr>
          <w:rFonts w:hint="eastAsia"/>
          <w:b w:val="0"/>
          <w:bCs w:val="0"/>
          <w:color w:val="auto"/>
          <w:highlight w:val="none"/>
          <w:u w:val="none"/>
          <w:lang w:eastAsia="zh-CN"/>
        </w:rPr>
        <w:t>涉重金属重点行业企业实行“一企一档”动态管理。推动涉重金属企业开展清洁生产审核，鼓励采用低</w:t>
      </w:r>
      <w:r>
        <w:rPr>
          <w:rFonts w:hint="eastAsia"/>
          <w:b w:val="0"/>
          <w:bCs w:val="0"/>
          <w:color w:val="auto"/>
          <w:highlight w:val="none"/>
          <w:u w:val="none"/>
          <w:lang w:val="en-US" w:eastAsia="zh-CN"/>
        </w:rPr>
        <w:t>剂量</w:t>
      </w:r>
      <w:r>
        <w:rPr>
          <w:rFonts w:hint="eastAsia"/>
          <w:b w:val="0"/>
          <w:bCs w:val="0"/>
          <w:color w:val="auto"/>
          <w:highlight w:val="none"/>
          <w:u w:val="none"/>
          <w:lang w:eastAsia="zh-CN"/>
        </w:rPr>
        <w:t>替代、过程控制等绿色技术，促进企业升级改造和绿色转型。</w:t>
      </w:r>
    </w:p>
    <w:p w14:paraId="6AE1FBDB">
      <w:pPr>
        <w:pStyle w:val="4"/>
        <w:keepNext w:val="0"/>
        <w:keepLines w:val="0"/>
        <w:pageBreakBefore w:val="0"/>
        <w:widowControl w:val="0"/>
        <w:kinsoku/>
        <w:wordWrap/>
        <w:overflowPunct/>
        <w:topLinePunct w:val="0"/>
        <w:autoSpaceDE/>
        <w:autoSpaceDN/>
        <w:bidi w:val="0"/>
        <w:adjustRightInd/>
        <w:snapToGrid/>
        <w:textAlignment w:val="auto"/>
        <w:rPr>
          <w:rFonts w:hint="default"/>
          <w:b w:val="0"/>
          <w:bCs w:val="0"/>
          <w:color w:val="auto"/>
          <w:u w:val="none"/>
          <w:shd w:val="clear" w:color="auto" w:fill="auto"/>
          <w:lang w:val="en-US"/>
        </w:rPr>
      </w:pPr>
      <w:bookmarkStart w:id="256" w:name="_Toc22585"/>
      <w:bookmarkStart w:id="257" w:name="_Toc19899"/>
      <w:bookmarkStart w:id="258" w:name="_Toc4552"/>
      <w:bookmarkStart w:id="259" w:name="_Toc308"/>
      <w:bookmarkStart w:id="260" w:name="_Toc3936"/>
      <w:bookmarkStart w:id="261" w:name="_Toc17422"/>
      <w:bookmarkStart w:id="262" w:name="_Toc17916"/>
      <w:bookmarkStart w:id="263" w:name="_Toc18331"/>
      <w:bookmarkStart w:id="264" w:name="_Toc23151"/>
      <w:bookmarkStart w:id="265" w:name="_Toc31972"/>
      <w:r>
        <w:rPr>
          <w:b w:val="0"/>
          <w:bCs w:val="0"/>
          <w:color w:val="auto"/>
          <w:u w:val="none"/>
          <w:shd w:val="clear" w:color="auto" w:fill="auto"/>
        </w:rPr>
        <w:t>（二）</w:t>
      </w:r>
      <w:r>
        <w:rPr>
          <w:rFonts w:hint="eastAsia"/>
          <w:b w:val="0"/>
          <w:bCs w:val="0"/>
          <w:color w:val="auto"/>
          <w:u w:val="none"/>
          <w:shd w:val="clear" w:color="auto" w:fill="auto"/>
          <w:lang w:val="en-US" w:eastAsia="zh-CN"/>
        </w:rPr>
        <w:t>深化危险废物安全监管</w:t>
      </w:r>
      <w:bookmarkEnd w:id="256"/>
      <w:bookmarkEnd w:id="257"/>
      <w:bookmarkEnd w:id="258"/>
      <w:bookmarkEnd w:id="259"/>
      <w:bookmarkEnd w:id="260"/>
      <w:bookmarkEnd w:id="261"/>
      <w:bookmarkEnd w:id="262"/>
      <w:bookmarkEnd w:id="263"/>
      <w:bookmarkEnd w:id="264"/>
      <w:bookmarkEnd w:id="265"/>
    </w:p>
    <w:p w14:paraId="19DFBE4C">
      <w:pPr>
        <w:pStyle w:val="5"/>
        <w:keepNext w:val="0"/>
        <w:keepLines w:val="0"/>
        <w:pageBreakBefore w:val="0"/>
        <w:widowControl w:val="0"/>
        <w:numPr>
          <w:ilvl w:val="0"/>
          <w:numId w:val="18"/>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推行危险废物全过程智慧监管</w:t>
      </w:r>
    </w:p>
    <w:p w14:paraId="0639EAB7">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eastAsia="zh-CN"/>
        </w:rPr>
      </w:pPr>
      <w:r>
        <w:rPr>
          <w:rFonts w:hint="eastAsia"/>
          <w:b w:val="0"/>
          <w:bCs w:val="0"/>
          <w:color w:val="auto"/>
          <w:highlight w:val="none"/>
          <w:u w:val="none"/>
          <w:lang w:eastAsia="zh-CN"/>
        </w:rPr>
        <w:t>按照国家“五即”规范化建设要求（即产生、即包装、即称重、即打码、即入库），推动危险废物重点监管单位配备智能称重、二维码打印等物联网设备，实现危险废物产生、贮存、转移、利用、处置全过程实时动态信息化追溯。运用统一的电子标签二维码，推行“一码贯通”跟踪管理，确保危险废物从产生到处置的信息流与废物流合一。巩固深化医疗废物、生活垃圾焚烧飞灰等重点类别危险废物全过程监管，提升医疗废物在线追溯系统试点成果，推动智能收集设备在更多医疗机构应用。探索“AI+”智能监管应用，通过大数据分析精准发现违法违规线索。</w:t>
      </w:r>
    </w:p>
    <w:p w14:paraId="640AC539">
      <w:pPr>
        <w:pStyle w:val="5"/>
        <w:keepNext w:val="0"/>
        <w:keepLines w:val="0"/>
        <w:pageBreakBefore w:val="0"/>
        <w:widowControl w:val="0"/>
        <w:numPr>
          <w:ilvl w:val="0"/>
          <w:numId w:val="18"/>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健全危险废物收运处置体系</w:t>
      </w:r>
    </w:p>
    <w:p w14:paraId="4E06B950">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eastAsia="zh-CN"/>
        </w:rPr>
      </w:pPr>
      <w:r>
        <w:rPr>
          <w:rFonts w:hint="eastAsia"/>
          <w:b w:val="0"/>
          <w:bCs w:val="0"/>
          <w:color w:val="auto"/>
          <w:highlight w:val="none"/>
          <w:u w:val="none"/>
          <w:lang w:eastAsia="zh-CN"/>
        </w:rPr>
        <w:t>深化小微企业危险废物收集试点，推行“网格化”收集模式，推动小微企业危险废物“应收尽收”。结合顺义航空企业聚集的特点，鼓励收集单位为航空地服、汽车维修等产生零星分散危险废物的单位提供便利化服务。动态完善医疗废物“平急两用”集中处置能力建设。推动危险废物年产生量超过5000吨的新改（扩）建项目配套建设自行利用处置设施，鼓励企业开展“点对点”梯级利用和定向利用，支持符合条件的危险废物作为替代原料或燃料进入工业生产环节，逐步减少可直接利用、焚烧处置的危险废物直接填埋。健全与周边地区的跨区域协同监管机制，严防危险废物跨省转移风险。</w:t>
      </w:r>
    </w:p>
    <w:p w14:paraId="0C757C12">
      <w:pPr>
        <w:pStyle w:val="4"/>
        <w:keepNext w:val="0"/>
        <w:keepLines w:val="0"/>
        <w:pageBreakBefore w:val="0"/>
        <w:widowControl w:val="0"/>
        <w:kinsoku/>
        <w:wordWrap/>
        <w:overflowPunct/>
        <w:topLinePunct w:val="0"/>
        <w:autoSpaceDE/>
        <w:autoSpaceDN/>
        <w:bidi w:val="0"/>
        <w:adjustRightInd/>
        <w:snapToGrid/>
        <w:textAlignment w:val="auto"/>
        <w:rPr>
          <w:b w:val="0"/>
          <w:bCs w:val="0"/>
          <w:color w:val="auto"/>
          <w:u w:val="none"/>
          <w:shd w:val="clear" w:color="auto" w:fill="auto"/>
        </w:rPr>
      </w:pPr>
      <w:bookmarkStart w:id="266" w:name="_Toc23242"/>
      <w:bookmarkStart w:id="267" w:name="_Toc28565"/>
      <w:bookmarkStart w:id="268" w:name="_Toc32609"/>
      <w:bookmarkStart w:id="269" w:name="_Toc19824"/>
      <w:bookmarkStart w:id="270" w:name="_Toc12204"/>
      <w:bookmarkStart w:id="271" w:name="_Toc10395"/>
      <w:bookmarkStart w:id="272" w:name="_Toc25554"/>
      <w:bookmarkStart w:id="273" w:name="_Toc28260"/>
      <w:bookmarkStart w:id="274" w:name="_Toc31327"/>
      <w:bookmarkStart w:id="275" w:name="_Toc13438"/>
      <w:r>
        <w:rPr>
          <w:b w:val="0"/>
          <w:bCs w:val="0"/>
          <w:color w:val="auto"/>
          <w:u w:val="none"/>
          <w:shd w:val="clear" w:color="auto" w:fill="auto"/>
        </w:rPr>
        <w:t>（</w:t>
      </w:r>
      <w:r>
        <w:rPr>
          <w:rFonts w:hint="eastAsia"/>
          <w:b w:val="0"/>
          <w:bCs w:val="0"/>
          <w:color w:val="auto"/>
          <w:u w:val="none"/>
          <w:shd w:val="clear" w:color="auto" w:fill="auto"/>
          <w:lang w:val="en-US" w:eastAsia="zh-CN"/>
        </w:rPr>
        <w:t>三</w:t>
      </w:r>
      <w:r>
        <w:rPr>
          <w:b w:val="0"/>
          <w:bCs w:val="0"/>
          <w:color w:val="auto"/>
          <w:u w:val="none"/>
          <w:shd w:val="clear" w:color="auto" w:fill="auto"/>
        </w:rPr>
        <w:t>）</w:t>
      </w:r>
      <w:r>
        <w:rPr>
          <w:rFonts w:hint="eastAsia"/>
          <w:b w:val="0"/>
          <w:bCs w:val="0"/>
          <w:color w:val="auto"/>
          <w:u w:val="none"/>
          <w:shd w:val="clear" w:color="auto" w:fill="auto"/>
          <w:lang w:val="en-US" w:eastAsia="zh-CN"/>
        </w:rPr>
        <w:t>深入推进新污染物治理</w:t>
      </w:r>
      <w:bookmarkEnd w:id="266"/>
      <w:bookmarkEnd w:id="267"/>
      <w:bookmarkEnd w:id="268"/>
      <w:bookmarkEnd w:id="269"/>
      <w:bookmarkEnd w:id="270"/>
      <w:bookmarkEnd w:id="271"/>
      <w:bookmarkEnd w:id="272"/>
      <w:bookmarkEnd w:id="273"/>
      <w:bookmarkEnd w:id="274"/>
      <w:bookmarkEnd w:id="275"/>
    </w:p>
    <w:p w14:paraId="7AA76946">
      <w:pPr>
        <w:pStyle w:val="5"/>
        <w:keepNext w:val="0"/>
        <w:keepLines w:val="0"/>
        <w:pageBreakBefore w:val="0"/>
        <w:widowControl w:val="0"/>
        <w:numPr>
          <w:ilvl w:val="0"/>
          <w:numId w:val="19"/>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深化新污染物调查监测</w:t>
      </w:r>
    </w:p>
    <w:p w14:paraId="7FB1E7C6">
      <w:pPr>
        <w:keepNext w:val="0"/>
        <w:keepLines w:val="0"/>
        <w:pageBreakBefore w:val="0"/>
        <w:widowControl w:val="0"/>
        <w:kinsoku/>
        <w:wordWrap/>
        <w:overflowPunct/>
        <w:topLinePunct w:val="0"/>
        <w:autoSpaceDE/>
        <w:autoSpaceDN/>
        <w:bidi w:val="0"/>
        <w:adjustRightInd/>
        <w:snapToGrid/>
        <w:textAlignment w:val="auto"/>
        <w:rPr>
          <w:rFonts w:hint="eastAsia" w:eastAsia="仿宋_GB2312"/>
          <w:b w:val="0"/>
          <w:bCs w:val="0"/>
          <w:color w:val="auto"/>
          <w:highlight w:val="none"/>
          <w:u w:val="none"/>
          <w:lang w:eastAsia="zh-CN"/>
        </w:rPr>
      </w:pPr>
      <w:r>
        <w:rPr>
          <w:rFonts w:hint="eastAsia"/>
          <w:b w:val="0"/>
          <w:bCs w:val="0"/>
          <w:color w:val="auto"/>
          <w:highlight w:val="none"/>
          <w:u w:val="none"/>
        </w:rPr>
        <w:t>落实新一轮化学物质环境信息统计调查要求，对辖区内涉重点管控</w:t>
      </w:r>
      <w:r>
        <w:rPr>
          <w:rFonts w:hint="eastAsia"/>
          <w:b w:val="0"/>
          <w:bCs w:val="0"/>
          <w:color w:val="auto"/>
          <w:highlight w:val="none"/>
          <w:u w:val="none"/>
          <w:lang w:val="en-US" w:eastAsia="zh-CN"/>
        </w:rPr>
        <w:t>化学物质生产使用</w:t>
      </w:r>
      <w:r>
        <w:rPr>
          <w:rFonts w:hint="eastAsia"/>
          <w:b w:val="0"/>
          <w:bCs w:val="0"/>
          <w:color w:val="auto"/>
          <w:highlight w:val="none"/>
          <w:u w:val="none"/>
        </w:rPr>
        <w:t>企业进行全面筛查，动态更新企业名单。在首轮统计调查基础上，建立数据质量核查与结果运用机制，将调查成果运用于重点企业风险评估和靶向监管。聚焦抗生素、全氟化合物等重点新污染物，以污水处理厂、医疗机构、工业集聚区为重点，开展重点区域、重点流域环境调查监测，逐步摸清全区新污染物赋存水平。加快建成与新污染物治理需求相适应的监督执法、监测评估与信息化管理能力，加强专业人才队伍培养</w:t>
      </w:r>
      <w:r>
        <w:rPr>
          <w:rFonts w:hint="eastAsia"/>
          <w:b w:val="0"/>
          <w:bCs w:val="0"/>
          <w:color w:val="auto"/>
          <w:highlight w:val="none"/>
          <w:u w:val="none"/>
          <w:lang w:eastAsia="zh-CN"/>
        </w:rPr>
        <w:t>。</w:t>
      </w:r>
    </w:p>
    <w:p w14:paraId="02318B74">
      <w:pPr>
        <w:pStyle w:val="5"/>
        <w:keepNext w:val="0"/>
        <w:keepLines w:val="0"/>
        <w:pageBreakBefore w:val="0"/>
        <w:widowControl w:val="0"/>
        <w:numPr>
          <w:ilvl w:val="0"/>
          <w:numId w:val="19"/>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强化新污染物环境风险防控</w:t>
      </w:r>
    </w:p>
    <w:p w14:paraId="1FB1E820">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rPr>
      </w:pPr>
      <w:r>
        <w:rPr>
          <w:rFonts w:hint="eastAsia"/>
          <w:b w:val="0"/>
          <w:bCs w:val="0"/>
          <w:color w:val="auto"/>
          <w:highlight w:val="none"/>
          <w:u w:val="none"/>
        </w:rPr>
        <w:t>落实新化学物质环境管理要求，将新化学物质环境管理事项纳入年度环境执法工作计划，对辖区内涉及新化学物质生产、进口、加工使用的企业开展监督执法。对照国家重点管控新污染物清单，动态排查涉清单物质企业，严格落实禁止、限制、限排等环境风险管控措施。依托环境影响评价、排污许可、清洁生产审核等现有环境管理制度，对涉及重点管控新污染物的新建项目实施准入管理，强化新污染物识别与管控措施论证</w:t>
      </w:r>
      <w:r>
        <w:rPr>
          <w:rFonts w:hint="eastAsia"/>
          <w:b w:val="0"/>
          <w:bCs w:val="0"/>
          <w:color w:val="auto"/>
          <w:highlight w:val="none"/>
          <w:u w:val="none"/>
          <w:lang w:eastAsia="zh-CN"/>
        </w:rPr>
        <w:t>；</w:t>
      </w:r>
      <w:r>
        <w:rPr>
          <w:rFonts w:hint="eastAsia"/>
          <w:b w:val="0"/>
          <w:bCs w:val="0"/>
          <w:color w:val="auto"/>
          <w:highlight w:val="none"/>
          <w:u w:val="none"/>
        </w:rPr>
        <w:t>对现有企业强化过程排放管控。加强与市场监管等部门联动，对可能含有重点管控新污染物的产品开展质量抽检，依法处理不合格产品。压实企业主体责任，督促</w:t>
      </w:r>
      <w:r>
        <w:rPr>
          <w:rFonts w:hint="eastAsia"/>
          <w:b w:val="0"/>
          <w:bCs w:val="0"/>
          <w:color w:val="auto"/>
          <w:highlight w:val="none"/>
          <w:u w:val="none"/>
          <w:lang w:val="en-US" w:eastAsia="zh-CN"/>
        </w:rPr>
        <w:t>指导</w:t>
      </w:r>
      <w:r>
        <w:rPr>
          <w:rFonts w:hint="eastAsia"/>
          <w:b w:val="0"/>
          <w:bCs w:val="0"/>
          <w:color w:val="auto"/>
          <w:highlight w:val="none"/>
          <w:u w:val="none"/>
        </w:rPr>
        <w:t>涉新污染物企业</w:t>
      </w:r>
      <w:r>
        <w:rPr>
          <w:rFonts w:hint="eastAsia"/>
          <w:b w:val="0"/>
          <w:bCs w:val="0"/>
          <w:color w:val="auto"/>
          <w:highlight w:val="none"/>
          <w:u w:val="none"/>
          <w:lang w:eastAsia="zh-CN"/>
        </w:rPr>
        <w:t>依法</w:t>
      </w:r>
      <w:r>
        <w:rPr>
          <w:rFonts w:hint="eastAsia"/>
          <w:b w:val="0"/>
          <w:bCs w:val="0"/>
          <w:color w:val="auto"/>
          <w:highlight w:val="none"/>
          <w:u w:val="none"/>
        </w:rPr>
        <w:t>开展环境风险评估，完善风险防控措施。</w:t>
      </w:r>
    </w:p>
    <w:p w14:paraId="35445004">
      <w:pPr>
        <w:pStyle w:val="5"/>
        <w:keepNext w:val="0"/>
        <w:keepLines w:val="0"/>
        <w:pageBreakBefore w:val="0"/>
        <w:widowControl w:val="0"/>
        <w:numPr>
          <w:ilvl w:val="0"/>
          <w:numId w:val="19"/>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深化重点领域新污染物治理</w:t>
      </w:r>
    </w:p>
    <w:p w14:paraId="71F8402C">
      <w:pPr>
        <w:keepNext w:val="0"/>
        <w:keepLines w:val="0"/>
        <w:pageBreakBefore w:val="0"/>
        <w:widowControl w:val="0"/>
        <w:kinsoku/>
        <w:wordWrap/>
        <w:overflowPunct/>
        <w:topLinePunct w:val="0"/>
        <w:autoSpaceDE/>
        <w:autoSpaceDN/>
        <w:bidi w:val="0"/>
        <w:adjustRightInd/>
        <w:snapToGrid/>
        <w:textAlignment w:val="auto"/>
        <w:rPr>
          <w:b w:val="0"/>
          <w:bCs w:val="0"/>
          <w:color w:val="auto"/>
          <w:highlight w:val="none"/>
          <w:u w:val="none"/>
        </w:rPr>
      </w:pPr>
      <w:r>
        <w:rPr>
          <w:rFonts w:hint="eastAsia"/>
          <w:b w:val="0"/>
          <w:bCs w:val="0"/>
          <w:color w:val="auto"/>
          <w:highlight w:val="none"/>
          <w:u w:val="none"/>
          <w:lang w:val="en-US" w:eastAsia="zh-CN"/>
        </w:rPr>
        <w:t>加强重点领域新污染物治理。在医疗领域，规范抗生素药品使用管理，</w:t>
      </w:r>
      <w:r>
        <w:rPr>
          <w:rFonts w:hint="eastAsia"/>
          <w:b w:val="0"/>
          <w:bCs w:val="0"/>
          <w:color w:val="auto"/>
          <w:highlight w:val="none"/>
          <w:u w:val="none"/>
        </w:rPr>
        <w:t>持续开展抗菌药物临床应用监测与细菌耐药监测，结合顺义区垃圾分类回收体系，依托“集中投放日”品牌活动及各村（居）回收点，探索建立居民家庭废药品规范化回收渠道。在畜禽养殖领域，实施兽用抗菌药使用减量化行动，引导养殖主体科学规范用药，对磺胺、四环素类、氯霉素等兽药残留开展常态化监测。在</w:t>
      </w:r>
      <w:r>
        <w:rPr>
          <w:rFonts w:hint="eastAsia"/>
          <w:b w:val="0"/>
          <w:bCs w:val="0"/>
          <w:color w:val="auto"/>
          <w:highlight w:val="none"/>
          <w:u w:val="none"/>
          <w:lang w:val="en-US" w:eastAsia="zh-CN"/>
        </w:rPr>
        <w:t>农业</w:t>
      </w:r>
      <w:r>
        <w:rPr>
          <w:rFonts w:hint="eastAsia"/>
          <w:b w:val="0"/>
          <w:bCs w:val="0"/>
          <w:color w:val="auto"/>
          <w:highlight w:val="none"/>
          <w:u w:val="none"/>
        </w:rPr>
        <w:t>种植领域，严格管控具有环境持久性、高毒高风险农药及助剂，加大禁限用农药排查力度，推广应用高效低风险农药，落实农药包装废弃物回收处置机制。聚焦医疗机构、污水处理厂等重点场景，配合市级部门开展典型新污染物多介质协同治理试点，探索污水、污泥中抗生素等新污染物去除治理技术应用。加强含特定新污染物废物的收集利用处置监管，防范二次污染风险。开展全氟辛酸污染隐患排查整治专项行动。</w:t>
      </w:r>
    </w:p>
    <w:p w14:paraId="0EA1C6AA">
      <w:pPr>
        <w:pStyle w:val="4"/>
        <w:keepNext w:val="0"/>
        <w:keepLines w:val="0"/>
        <w:pageBreakBefore w:val="0"/>
        <w:widowControl w:val="0"/>
        <w:kinsoku/>
        <w:wordWrap/>
        <w:overflowPunct/>
        <w:topLinePunct w:val="0"/>
        <w:autoSpaceDE/>
        <w:autoSpaceDN/>
        <w:bidi w:val="0"/>
        <w:adjustRightInd/>
        <w:snapToGrid/>
        <w:textAlignment w:val="auto"/>
        <w:rPr>
          <w:b w:val="0"/>
          <w:bCs w:val="0"/>
          <w:color w:val="auto"/>
          <w:u w:val="none"/>
          <w:shd w:val="clear" w:color="auto" w:fill="auto"/>
        </w:rPr>
      </w:pPr>
      <w:bookmarkStart w:id="276" w:name="_Toc17599"/>
      <w:bookmarkStart w:id="277" w:name="_Toc11251"/>
      <w:bookmarkStart w:id="278" w:name="_Toc28803"/>
      <w:bookmarkStart w:id="279" w:name="_Toc14538"/>
      <w:bookmarkStart w:id="280" w:name="_Toc5976"/>
      <w:bookmarkStart w:id="281" w:name="_Toc14289"/>
      <w:bookmarkStart w:id="282" w:name="_Toc446"/>
      <w:bookmarkStart w:id="283" w:name="_Toc11520"/>
      <w:bookmarkStart w:id="284" w:name="_Toc27177"/>
      <w:bookmarkStart w:id="285" w:name="_Toc656"/>
      <w:r>
        <w:rPr>
          <w:b w:val="0"/>
          <w:bCs w:val="0"/>
          <w:color w:val="auto"/>
          <w:u w:val="none"/>
          <w:shd w:val="clear" w:color="auto" w:fill="auto"/>
        </w:rPr>
        <w:t>（</w:t>
      </w:r>
      <w:r>
        <w:rPr>
          <w:rFonts w:hint="eastAsia"/>
          <w:b w:val="0"/>
          <w:bCs w:val="0"/>
          <w:color w:val="auto"/>
          <w:u w:val="none"/>
          <w:shd w:val="clear" w:color="auto" w:fill="auto"/>
          <w:lang w:val="en-US" w:eastAsia="zh-CN"/>
        </w:rPr>
        <w:t>四</w:t>
      </w:r>
      <w:r>
        <w:rPr>
          <w:b w:val="0"/>
          <w:bCs w:val="0"/>
          <w:color w:val="auto"/>
          <w:u w:val="none"/>
          <w:shd w:val="clear" w:color="auto" w:fill="auto"/>
        </w:rPr>
        <w:t>）</w:t>
      </w:r>
      <w:r>
        <w:rPr>
          <w:rFonts w:hint="eastAsia"/>
          <w:b w:val="0"/>
          <w:bCs w:val="0"/>
          <w:color w:val="auto"/>
          <w:u w:val="none"/>
          <w:shd w:val="clear" w:color="auto" w:fill="auto"/>
          <w:lang w:val="en-US" w:eastAsia="zh-CN"/>
        </w:rPr>
        <w:t>强化辐射安全监管</w:t>
      </w:r>
      <w:bookmarkEnd w:id="276"/>
      <w:bookmarkEnd w:id="277"/>
      <w:bookmarkEnd w:id="278"/>
      <w:bookmarkEnd w:id="279"/>
      <w:bookmarkEnd w:id="280"/>
      <w:bookmarkEnd w:id="281"/>
      <w:bookmarkEnd w:id="282"/>
      <w:bookmarkEnd w:id="283"/>
      <w:bookmarkEnd w:id="284"/>
      <w:bookmarkEnd w:id="285"/>
    </w:p>
    <w:p w14:paraId="6FF7CB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b w:val="0"/>
          <w:bCs w:val="0"/>
          <w:color w:val="auto"/>
          <w:highlight w:val="none"/>
          <w:u w:val="none"/>
          <w:shd w:val="clear" w:color="auto" w:fill="auto"/>
        </w:rPr>
      </w:pPr>
      <w:r>
        <w:rPr>
          <w:rFonts w:hint="eastAsia"/>
          <w:b w:val="0"/>
          <w:bCs w:val="0"/>
          <w:color w:val="auto"/>
          <w:highlight w:val="none"/>
          <w:u w:val="none"/>
          <w:shd w:val="clear" w:color="auto" w:fill="auto"/>
        </w:rPr>
        <w:t>严格落实辐射安全许可管理制度，规范核技术利用单位准入管理。建立基于风险的辐射分类分级监管机制，对高风险放射源使用单位实行重点监管，督促落实物防、技防措施，加强日常巡检和应急值守；对中低风险源以常规检查和非现场监管为主，提升监管效能。</w:t>
      </w:r>
      <w:r>
        <w:rPr>
          <w:rFonts w:hint="eastAsia"/>
          <w:b w:val="0"/>
          <w:bCs w:val="0"/>
          <w:color w:val="auto"/>
          <w:highlight w:val="none"/>
          <w:u w:val="none"/>
          <w:shd w:val="clear" w:color="auto" w:fill="auto"/>
          <w:lang w:val="en-US" w:eastAsia="zh-CN"/>
        </w:rPr>
        <w:t>加强对</w:t>
      </w:r>
      <w:r>
        <w:rPr>
          <w:rFonts w:hint="eastAsia"/>
          <w:b w:val="0"/>
          <w:bCs w:val="0"/>
          <w:color w:val="auto"/>
          <w:highlight w:val="none"/>
          <w:u w:val="none"/>
          <w:shd w:val="clear" w:color="auto" w:fill="auto"/>
        </w:rPr>
        <w:t>移动伽马探伤</w:t>
      </w:r>
      <w:r>
        <w:rPr>
          <w:rFonts w:hint="eastAsia"/>
          <w:b w:val="0"/>
          <w:bCs w:val="0"/>
          <w:color w:val="auto"/>
          <w:highlight w:val="none"/>
          <w:u w:val="none"/>
          <w:shd w:val="clear" w:color="auto" w:fill="auto"/>
          <w:lang w:val="en-US" w:eastAsia="zh-CN"/>
        </w:rPr>
        <w:t>等高风险活动监管水平</w:t>
      </w:r>
      <w:r>
        <w:rPr>
          <w:rFonts w:hint="eastAsia"/>
          <w:b w:val="0"/>
          <w:bCs w:val="0"/>
          <w:color w:val="auto"/>
          <w:highlight w:val="none"/>
          <w:u w:val="none"/>
          <w:shd w:val="clear" w:color="auto" w:fill="auto"/>
        </w:rPr>
        <w:t>。按照市级统一部署，做好核设施周边及重点辐射设施的监督性监测。完善辐射事故应急预案，定期组织专项应急演练。开展放射性废物排查，督促相关单位及时送贮废旧放射源，推进放射性废物减量化管理。</w:t>
      </w:r>
    </w:p>
    <w:p w14:paraId="301061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b w:val="0"/>
          <w:bCs w:val="0"/>
          <w:color w:val="auto"/>
          <w:highlight w:val="none"/>
          <w:u w:val="none"/>
          <w:shd w:val="clear" w:color="auto" w:fill="auto"/>
        </w:rPr>
      </w:pPr>
      <w:r>
        <w:rPr>
          <w:rFonts w:hint="eastAsia"/>
          <w:b w:val="0"/>
          <w:bCs w:val="0"/>
          <w:color w:val="auto"/>
          <w:highlight w:val="none"/>
          <w:u w:val="none"/>
          <w:shd w:val="clear" w:color="auto" w:fill="auto"/>
        </w:rPr>
        <w:t>配合市级部门开展区域电磁环境现状调查，加强输变电、广播台站等电磁设施环境管理，落实设施选址选线要求。对群众投诉的电磁辐射问题，依法依规开展监督性监测，做好科普宣传和矛盾化解。配合推进微型电磁辐射自动监测站研究，提升电磁辐射监测能力。</w:t>
      </w:r>
    </w:p>
    <w:p w14:paraId="41378896">
      <w:pPr>
        <w:pStyle w:val="4"/>
        <w:keepNext w:val="0"/>
        <w:keepLines w:val="0"/>
        <w:pageBreakBefore w:val="0"/>
        <w:widowControl w:val="0"/>
        <w:kinsoku/>
        <w:wordWrap/>
        <w:overflowPunct/>
        <w:topLinePunct w:val="0"/>
        <w:autoSpaceDE/>
        <w:autoSpaceDN/>
        <w:bidi w:val="0"/>
        <w:adjustRightInd/>
        <w:snapToGrid/>
        <w:textAlignment w:val="auto"/>
        <w:rPr>
          <w:rFonts w:hint="default"/>
          <w:b w:val="0"/>
          <w:bCs w:val="0"/>
          <w:color w:val="auto"/>
          <w:u w:val="none"/>
          <w:shd w:val="clear" w:color="auto" w:fill="auto"/>
          <w:lang w:val="en-US"/>
        </w:rPr>
      </w:pPr>
      <w:bookmarkStart w:id="286" w:name="_Toc18540"/>
      <w:bookmarkStart w:id="287" w:name="_Toc6245"/>
      <w:bookmarkStart w:id="288" w:name="_Toc16284"/>
      <w:bookmarkStart w:id="289" w:name="_Toc24806"/>
      <w:bookmarkStart w:id="290" w:name="_Toc5649"/>
      <w:bookmarkStart w:id="291" w:name="_Toc22805"/>
      <w:bookmarkStart w:id="292" w:name="_Toc14501"/>
      <w:bookmarkStart w:id="293" w:name="_Toc9076"/>
      <w:bookmarkStart w:id="294" w:name="_Toc29409"/>
      <w:bookmarkStart w:id="295" w:name="_Toc1154"/>
      <w:r>
        <w:rPr>
          <w:b w:val="0"/>
          <w:bCs w:val="0"/>
          <w:color w:val="auto"/>
          <w:u w:val="none"/>
          <w:shd w:val="clear" w:color="auto" w:fill="auto"/>
        </w:rPr>
        <w:t>（</w:t>
      </w:r>
      <w:r>
        <w:rPr>
          <w:rFonts w:hint="eastAsia"/>
          <w:b w:val="0"/>
          <w:bCs w:val="0"/>
          <w:color w:val="auto"/>
          <w:u w:val="none"/>
          <w:shd w:val="clear" w:color="auto" w:fill="auto"/>
          <w:lang w:val="en-US" w:eastAsia="zh-CN"/>
        </w:rPr>
        <w:t>五</w:t>
      </w:r>
      <w:r>
        <w:rPr>
          <w:b w:val="0"/>
          <w:bCs w:val="0"/>
          <w:color w:val="auto"/>
          <w:u w:val="none"/>
          <w:shd w:val="clear" w:color="auto" w:fill="auto"/>
        </w:rPr>
        <w:t>）</w:t>
      </w:r>
      <w:r>
        <w:rPr>
          <w:rFonts w:hint="eastAsia"/>
          <w:b w:val="0"/>
          <w:bCs w:val="0"/>
          <w:color w:val="auto"/>
          <w:u w:val="none"/>
          <w:shd w:val="clear" w:color="auto" w:fill="auto"/>
          <w:lang w:val="en-US" w:eastAsia="zh-CN"/>
        </w:rPr>
        <w:t>推进气候韧性城市建设</w:t>
      </w:r>
      <w:bookmarkEnd w:id="286"/>
      <w:bookmarkEnd w:id="287"/>
      <w:bookmarkEnd w:id="288"/>
      <w:bookmarkEnd w:id="289"/>
      <w:bookmarkEnd w:id="290"/>
      <w:bookmarkEnd w:id="291"/>
      <w:bookmarkEnd w:id="292"/>
      <w:bookmarkEnd w:id="293"/>
      <w:bookmarkEnd w:id="294"/>
      <w:bookmarkEnd w:id="295"/>
    </w:p>
    <w:p w14:paraId="2D22A50A">
      <w:pPr>
        <w:pStyle w:val="5"/>
        <w:keepNext w:val="0"/>
        <w:keepLines w:val="0"/>
        <w:pageBreakBefore w:val="0"/>
        <w:widowControl w:val="0"/>
        <w:numPr>
          <w:ilvl w:val="0"/>
          <w:numId w:val="20"/>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提升综合防灾减灾能力</w:t>
      </w:r>
    </w:p>
    <w:p w14:paraId="21369DA1">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完善气象监测站网布局，健全暴雨、大风、雷电等极端天气监测预警体系，加强气象监测预警与应急响应的衔接联动。健全突发事件应急保障工作机制，完善区级专项应急预案体系，强化部门间信息共享与应急联动。做好应急资金保障，落实区级应急物资装备储备，优化物资调用流程，确保重要物资快速响应、高效送达。加强区级抢险救援队伍专业化建设，定期开展无脚本应急演练，提升实战应对能力。结合城市更新，动态完善应急避难场所布局，推进“平急两用”公共设施建设与利用。</w:t>
      </w:r>
    </w:p>
    <w:p w14:paraId="39569DE2">
      <w:pPr>
        <w:pStyle w:val="5"/>
        <w:keepNext w:val="0"/>
        <w:keepLines w:val="0"/>
        <w:pageBreakBefore w:val="0"/>
        <w:widowControl w:val="0"/>
        <w:numPr>
          <w:ilvl w:val="0"/>
          <w:numId w:val="20"/>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提升重点领域气候韧性</w:t>
      </w:r>
    </w:p>
    <w:p w14:paraId="05186BE6">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val="en-US" w:eastAsia="zh-CN"/>
        </w:rPr>
      </w:pPr>
      <w:r>
        <w:rPr>
          <w:rFonts w:hint="eastAsia"/>
          <w:b w:val="0"/>
          <w:bCs w:val="0"/>
          <w:color w:val="auto"/>
          <w:highlight w:val="none"/>
          <w:u w:val="none"/>
        </w:rPr>
        <w:t>提升城市基础设施气候韧性</w:t>
      </w:r>
      <w:r>
        <w:rPr>
          <w:rFonts w:hint="eastAsia"/>
          <w:b w:val="0"/>
          <w:bCs w:val="0"/>
          <w:color w:val="auto"/>
          <w:highlight w:val="none"/>
          <w:u w:val="none"/>
          <w:lang w:eastAsia="zh-CN"/>
        </w:rPr>
        <w:t>，定期开展重要基础设施气候风险评估与隐患排查，推广应用高弹改性沥青，提升路面耐久性和抗高温形变能力；推进老旧管网检测修复与智能化监测，提升生命线工程运行可靠性。</w:t>
      </w:r>
      <w:r>
        <w:rPr>
          <w:rFonts w:hint="eastAsia"/>
          <w:b w:val="0"/>
          <w:bCs w:val="0"/>
          <w:color w:val="auto"/>
          <w:highlight w:val="none"/>
          <w:u w:val="none"/>
          <w:lang w:val="en-US" w:eastAsia="zh-CN"/>
        </w:rPr>
        <w:t>增强水资源韧性，配合市级部门推进重点流域防洪工程建设，实施潮白河密怀顺段综合治理工程（一期）；依托多水源联合调度机制，持续实施春秋两季生态补水，保障河湖生态流量；推进南彩组团西南片区雨水入潮白河、京津冀智能网联新能源汽车科技生态港雨水下游等工程建设，完善区域雨水排除系统，强化城市防洪排涝与应急保障水平。深化新型电力系统建设，打造“安全高效、清洁灵活、智慧融合”的配电网络。构建气候友好型生态系统，优化城镇绿地空间布局，推进集雨型绿地建设。提升农业系统气候韧性，依托顺义区现代农业产业园，聚焦生猪和设施蔬菜两大主导产业，发展智能化育苗、智能养殖全链条数字化等都市型现代农业，推广应用智能化排灌、林果应变栽植等技术，完善农业防灾减灾和应急救援体系。到2030年，气候适应型城市建设取得明显成效。</w:t>
      </w:r>
    </w:p>
    <w:p w14:paraId="312D0B18">
      <w:pPr>
        <w:pStyle w:val="3"/>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highlight w:val="none"/>
          <w:u w:val="none"/>
          <w:lang w:val="en-US"/>
        </w:rPr>
      </w:pPr>
      <w:bookmarkStart w:id="296" w:name="_Toc12058"/>
      <w:bookmarkStart w:id="297" w:name="_Toc7001"/>
      <w:bookmarkStart w:id="298" w:name="_Toc31799"/>
      <w:bookmarkStart w:id="299" w:name="_Toc32343"/>
      <w:bookmarkStart w:id="300" w:name="_Toc23225"/>
      <w:bookmarkStart w:id="301" w:name="_Toc5642"/>
      <w:bookmarkStart w:id="302" w:name="_Toc21210"/>
      <w:bookmarkStart w:id="303" w:name="_Toc25954"/>
      <w:bookmarkStart w:id="304" w:name="_Toc22669"/>
      <w:bookmarkStart w:id="305" w:name="_Toc12543"/>
      <w:r>
        <w:rPr>
          <w:rFonts w:hint="eastAsia" w:ascii="黑体" w:hAnsi="黑体" w:eastAsia="黑体" w:cs="黑体"/>
          <w:b w:val="0"/>
          <w:bCs w:val="0"/>
          <w:highlight w:val="none"/>
          <w:u w:val="none"/>
          <w:lang w:val="en-US" w:eastAsia="zh-CN"/>
        </w:rPr>
        <w:t>七</w:t>
      </w:r>
      <w:r>
        <w:rPr>
          <w:rFonts w:hint="eastAsia" w:ascii="黑体" w:hAnsi="黑体" w:eastAsia="黑体" w:cs="黑体"/>
          <w:b w:val="0"/>
          <w:bCs w:val="0"/>
          <w:highlight w:val="none"/>
          <w:u w:val="none"/>
        </w:rPr>
        <w:t>、</w:t>
      </w:r>
      <w:r>
        <w:rPr>
          <w:rFonts w:hint="eastAsia" w:ascii="黑体" w:hAnsi="黑体" w:eastAsia="黑体" w:cs="黑体"/>
          <w:b w:val="0"/>
          <w:bCs w:val="0"/>
          <w:highlight w:val="none"/>
          <w:u w:val="none"/>
          <w:lang w:val="en-US" w:eastAsia="zh-CN"/>
        </w:rPr>
        <w:t>打造美丽宜居示范样板</w:t>
      </w:r>
      <w:bookmarkEnd w:id="296"/>
      <w:bookmarkEnd w:id="297"/>
      <w:bookmarkEnd w:id="298"/>
      <w:bookmarkEnd w:id="299"/>
      <w:bookmarkEnd w:id="300"/>
      <w:bookmarkEnd w:id="301"/>
      <w:bookmarkEnd w:id="302"/>
      <w:bookmarkEnd w:id="303"/>
      <w:bookmarkEnd w:id="304"/>
      <w:bookmarkEnd w:id="305"/>
    </w:p>
    <w:p w14:paraId="16525B89">
      <w:pPr>
        <w:pStyle w:val="4"/>
        <w:keepNext w:val="0"/>
        <w:keepLines w:val="0"/>
        <w:pageBreakBefore w:val="0"/>
        <w:widowControl w:val="0"/>
        <w:kinsoku/>
        <w:wordWrap/>
        <w:overflowPunct/>
        <w:topLinePunct w:val="0"/>
        <w:autoSpaceDE/>
        <w:autoSpaceDN/>
        <w:bidi w:val="0"/>
        <w:adjustRightInd/>
        <w:snapToGrid/>
        <w:textAlignment w:val="auto"/>
        <w:rPr>
          <w:rFonts w:hint="default" w:eastAsia="楷体_GB2312"/>
          <w:b w:val="0"/>
          <w:bCs w:val="0"/>
          <w:color w:val="auto"/>
          <w:u w:val="none"/>
          <w:lang w:val="en-US" w:eastAsia="zh-CN"/>
        </w:rPr>
      </w:pPr>
      <w:bookmarkStart w:id="306" w:name="_Toc22754"/>
      <w:bookmarkStart w:id="307" w:name="_Toc4227"/>
      <w:bookmarkStart w:id="308" w:name="_Toc10117"/>
      <w:bookmarkStart w:id="309" w:name="_Toc16650"/>
      <w:bookmarkStart w:id="310" w:name="_Toc20880"/>
      <w:bookmarkStart w:id="311" w:name="_Toc10400"/>
      <w:bookmarkStart w:id="312" w:name="_Toc12417"/>
      <w:bookmarkStart w:id="313" w:name="_Toc8975"/>
      <w:bookmarkStart w:id="314" w:name="_Toc2013"/>
      <w:bookmarkStart w:id="315" w:name="_Toc30723"/>
      <w:r>
        <w:rPr>
          <w:b w:val="0"/>
          <w:bCs w:val="0"/>
          <w:color w:val="auto"/>
          <w:u w:val="none"/>
        </w:rPr>
        <w:t>（</w:t>
      </w:r>
      <w:r>
        <w:rPr>
          <w:rFonts w:hint="eastAsia"/>
          <w:b w:val="0"/>
          <w:bCs w:val="0"/>
          <w:color w:val="auto"/>
          <w:u w:val="none"/>
          <w:lang w:val="en-US" w:eastAsia="zh-CN"/>
        </w:rPr>
        <w:t>一</w:t>
      </w:r>
      <w:r>
        <w:rPr>
          <w:b w:val="0"/>
          <w:bCs w:val="0"/>
          <w:color w:val="auto"/>
          <w:u w:val="none"/>
        </w:rPr>
        <w:t>）</w:t>
      </w:r>
      <w:r>
        <w:rPr>
          <w:rFonts w:hint="eastAsia"/>
          <w:b w:val="0"/>
          <w:bCs w:val="0"/>
          <w:color w:val="auto"/>
          <w:u w:val="none"/>
          <w:lang w:val="en-US" w:eastAsia="zh-CN"/>
        </w:rPr>
        <w:t>打造国际新城样板</w:t>
      </w:r>
      <w:bookmarkEnd w:id="306"/>
      <w:bookmarkEnd w:id="307"/>
      <w:bookmarkEnd w:id="308"/>
      <w:bookmarkEnd w:id="309"/>
      <w:bookmarkEnd w:id="310"/>
      <w:bookmarkEnd w:id="311"/>
      <w:bookmarkEnd w:id="312"/>
      <w:bookmarkEnd w:id="313"/>
      <w:bookmarkEnd w:id="314"/>
      <w:bookmarkEnd w:id="315"/>
    </w:p>
    <w:p w14:paraId="03DE91E4">
      <w:pPr>
        <w:pStyle w:val="5"/>
        <w:keepNext w:val="0"/>
        <w:keepLines w:val="0"/>
        <w:pageBreakBefore w:val="0"/>
        <w:widowControl w:val="0"/>
        <w:numPr>
          <w:ilvl w:val="0"/>
          <w:numId w:val="21"/>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打造“美丽北京体验地”</w:t>
      </w:r>
    </w:p>
    <w:p w14:paraId="6F0681FF">
      <w:pPr>
        <w:keepNext w:val="0"/>
        <w:keepLines w:val="0"/>
        <w:pageBreakBefore w:val="0"/>
        <w:widowControl w:val="0"/>
        <w:kinsoku/>
        <w:wordWrap/>
        <w:overflowPunct/>
        <w:topLinePunct w:val="0"/>
        <w:autoSpaceDE/>
        <w:autoSpaceDN/>
        <w:bidi w:val="0"/>
        <w:adjustRightInd/>
        <w:snapToGrid/>
        <w:ind w:firstLine="640"/>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立足国际化建设，聚焦首都机场周边核心区域，依托首都国际会展中心、HICOOL产业园周边既有环境提升基础，加快推进首都机场临空经济区周边环境提升建设工程，建设复合型城市绿道，串联沿线景观节点，打造集中展示美丽顺义建设成效的体验地。依托汉石桥湿地一般控制区生态资源，整合湿地观光、生态科普、麋鹿野化训练等特色资源，在限定区域适度拓展科普互动等体验场景，打造东部生态体验节点。</w:t>
      </w:r>
    </w:p>
    <w:p w14:paraId="09D7C06B">
      <w:pPr>
        <w:pStyle w:val="5"/>
        <w:keepNext w:val="0"/>
        <w:keepLines w:val="0"/>
        <w:pageBreakBefore w:val="0"/>
        <w:widowControl w:val="0"/>
        <w:numPr>
          <w:ilvl w:val="0"/>
          <w:numId w:val="21"/>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建设花园示范精华片区</w:t>
      </w:r>
    </w:p>
    <w:p w14:paraId="79759E20">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b w:val="0"/>
          <w:bCs w:val="0"/>
          <w:highlight w:val="none"/>
          <w:u w:val="none"/>
          <w:lang w:val="en-US" w:eastAsia="zh-CN"/>
        </w:rPr>
      </w:pPr>
      <w:r>
        <w:rPr>
          <w:rFonts w:hint="eastAsia"/>
          <w:b w:val="0"/>
          <w:bCs w:val="0"/>
          <w:highlight w:val="none"/>
          <w:u w:val="none"/>
        </w:rPr>
        <w:t>在北京中德产业园南、北区</w:t>
      </w:r>
      <w:r>
        <w:rPr>
          <w:rFonts w:hint="eastAsia"/>
          <w:b w:val="0"/>
          <w:bCs w:val="0"/>
          <w:highlight w:val="none"/>
          <w:u w:val="none"/>
          <w:lang w:val="en-US" w:eastAsia="zh-CN"/>
        </w:rPr>
        <w:t>推进</w:t>
      </w:r>
      <w:r>
        <w:rPr>
          <w:rFonts w:hint="eastAsia"/>
          <w:b w:val="0"/>
          <w:bCs w:val="0"/>
          <w:highlight w:val="none"/>
          <w:u w:val="none"/>
        </w:rPr>
        <w:t>景观提升工程。南区（李桥镇）重点打造中德花园、友谊公园及四纬路、鑫桥路等景观轴，</w:t>
      </w:r>
      <w:r>
        <w:rPr>
          <w:rFonts w:hint="eastAsia"/>
          <w:b w:val="0"/>
          <w:bCs w:val="0"/>
          <w:highlight w:val="none"/>
          <w:u w:val="none"/>
          <w:lang w:val="en-US" w:eastAsia="zh-CN"/>
        </w:rPr>
        <w:t>优化</w:t>
      </w:r>
      <w:r>
        <w:rPr>
          <w:rFonts w:hint="eastAsia"/>
          <w:b w:val="0"/>
          <w:bCs w:val="0"/>
          <w:highlight w:val="none"/>
          <w:u w:val="none"/>
        </w:rPr>
        <w:t>林荫道优化慢行体验，营造“三季有花”的多彩街道景观，构建产景交融、内外融合的花园式生态空间。北区（赵全营镇）建设集产业服务、生态绿廊、休闲公园于一体的花园式产业园区，完善基础服务与休闲设施，形成全龄友好的城市休闲景观带。通过深化产业绿色低碳转型，推动“生产—生态—生活”融合</w:t>
      </w:r>
      <w:r>
        <w:rPr>
          <w:rFonts w:hint="eastAsia"/>
          <w:b w:val="0"/>
          <w:bCs w:val="0"/>
          <w:highlight w:val="none"/>
          <w:u w:val="none"/>
          <w:lang w:val="en-US" w:eastAsia="zh-CN"/>
        </w:rPr>
        <w:t>发展，打造</w:t>
      </w:r>
      <w:r>
        <w:rPr>
          <w:rFonts w:hint="eastAsia"/>
          <w:b w:val="0"/>
          <w:bCs w:val="0"/>
          <w:highlight w:val="none"/>
          <w:u w:val="none"/>
        </w:rPr>
        <w:t>可复制、可推广的产城融合样板。</w:t>
      </w:r>
    </w:p>
    <w:p w14:paraId="3C4952F5">
      <w:pPr>
        <w:pStyle w:val="5"/>
        <w:keepNext w:val="0"/>
        <w:keepLines w:val="0"/>
        <w:pageBreakBefore w:val="0"/>
        <w:widowControl w:val="0"/>
        <w:numPr>
          <w:ilvl w:val="0"/>
          <w:numId w:val="21"/>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推广美丽低碳示范场景</w:t>
      </w:r>
    </w:p>
    <w:p w14:paraId="3DF05118">
      <w:pPr>
        <w:keepNext w:val="0"/>
        <w:keepLines w:val="0"/>
        <w:pageBreakBefore w:val="0"/>
        <w:widowControl w:val="0"/>
        <w:kinsoku/>
        <w:wordWrap/>
        <w:overflowPunct/>
        <w:topLinePunct w:val="0"/>
        <w:autoSpaceDE/>
        <w:autoSpaceDN/>
        <w:bidi w:val="0"/>
        <w:adjustRightInd/>
        <w:snapToGrid/>
        <w:ind w:firstLine="640"/>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深入开展绿色、清洁、零碳引领行动，推动社区、园区、工厂等打造各具特色的美丽标杆。依托国家级绿色工厂、绿色企业基础，支持低碳领跑企业持续发挥示范作用，推广“绿色绩效评级”“一企一策”深度治理经验。巩固江山赋社区“生态堆肥”低碳实践，推广空港街道国际化社区治理模式，引导更多社区、商圈、学校参与美丽建设。</w:t>
      </w:r>
    </w:p>
    <w:p w14:paraId="6D64385B">
      <w:pPr>
        <w:pStyle w:val="4"/>
        <w:keepNext w:val="0"/>
        <w:keepLines w:val="0"/>
        <w:pageBreakBefore w:val="0"/>
        <w:widowControl w:val="0"/>
        <w:kinsoku/>
        <w:wordWrap/>
        <w:overflowPunct/>
        <w:topLinePunct w:val="0"/>
        <w:autoSpaceDE/>
        <w:autoSpaceDN/>
        <w:bidi w:val="0"/>
        <w:adjustRightInd/>
        <w:snapToGrid/>
        <w:textAlignment w:val="auto"/>
        <w:rPr>
          <w:rFonts w:hint="default" w:eastAsia="楷体_GB2312"/>
          <w:b w:val="0"/>
          <w:bCs w:val="0"/>
          <w:color w:val="auto"/>
          <w:highlight w:val="none"/>
          <w:u w:val="none"/>
          <w:lang w:val="en-US" w:eastAsia="zh-CN"/>
        </w:rPr>
      </w:pPr>
      <w:bookmarkStart w:id="316" w:name="_Toc17747"/>
      <w:bookmarkStart w:id="317" w:name="_Toc27273"/>
      <w:bookmarkStart w:id="318" w:name="_Toc14656"/>
      <w:bookmarkStart w:id="319" w:name="_Toc7657"/>
      <w:bookmarkStart w:id="320" w:name="_Toc4892"/>
      <w:bookmarkStart w:id="321" w:name="_Toc29911"/>
      <w:bookmarkStart w:id="322" w:name="_Toc6330"/>
      <w:bookmarkStart w:id="323" w:name="_Toc4469"/>
      <w:bookmarkStart w:id="324" w:name="_Toc14154"/>
      <w:bookmarkStart w:id="325" w:name="_Toc1024"/>
      <w:r>
        <w:rPr>
          <w:b w:val="0"/>
          <w:bCs w:val="0"/>
          <w:color w:val="auto"/>
          <w:highlight w:val="none"/>
          <w:u w:val="none"/>
        </w:rPr>
        <w:t>（</w:t>
      </w:r>
      <w:r>
        <w:rPr>
          <w:rFonts w:hint="eastAsia"/>
          <w:b w:val="0"/>
          <w:bCs w:val="0"/>
          <w:color w:val="auto"/>
          <w:highlight w:val="none"/>
          <w:u w:val="none"/>
          <w:lang w:val="en-US" w:eastAsia="zh-CN"/>
        </w:rPr>
        <w:t>二</w:t>
      </w:r>
      <w:r>
        <w:rPr>
          <w:b w:val="0"/>
          <w:bCs w:val="0"/>
          <w:color w:val="auto"/>
          <w:highlight w:val="none"/>
          <w:u w:val="none"/>
        </w:rPr>
        <w:t>）</w:t>
      </w:r>
      <w:r>
        <w:rPr>
          <w:rFonts w:hint="eastAsia"/>
          <w:b w:val="0"/>
          <w:bCs w:val="0"/>
          <w:color w:val="auto"/>
          <w:highlight w:val="none"/>
          <w:u w:val="none"/>
          <w:lang w:val="en-US" w:eastAsia="zh-CN"/>
        </w:rPr>
        <w:t>推进美丽乡村建设</w:t>
      </w:r>
      <w:bookmarkEnd w:id="316"/>
      <w:bookmarkEnd w:id="317"/>
      <w:bookmarkEnd w:id="318"/>
      <w:bookmarkEnd w:id="319"/>
      <w:bookmarkEnd w:id="320"/>
      <w:bookmarkEnd w:id="321"/>
      <w:bookmarkEnd w:id="322"/>
      <w:bookmarkEnd w:id="323"/>
      <w:bookmarkEnd w:id="324"/>
      <w:bookmarkEnd w:id="325"/>
    </w:p>
    <w:p w14:paraId="5A115334">
      <w:pPr>
        <w:pStyle w:val="5"/>
        <w:keepNext w:val="0"/>
        <w:keepLines w:val="0"/>
        <w:pageBreakBefore w:val="0"/>
        <w:widowControl w:val="0"/>
        <w:numPr>
          <w:ilvl w:val="0"/>
          <w:numId w:val="22"/>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加快建成美丽乡村</w:t>
      </w:r>
    </w:p>
    <w:p w14:paraId="09EE3F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hAnsi="仿宋_GB2312" w:cs="仿宋_GB2312"/>
          <w:b w:val="0"/>
          <w:bCs w:val="0"/>
          <w:color w:val="auto"/>
          <w:sz w:val="32"/>
          <w:szCs w:val="32"/>
          <w:highlight w:val="none"/>
          <w:u w:val="none"/>
          <w:lang w:val="en-US" w:eastAsia="zh-CN"/>
        </w:rPr>
      </w:pPr>
      <w:r>
        <w:rPr>
          <w:rFonts w:hint="eastAsia" w:hAnsi="仿宋_GB2312" w:cs="仿宋_GB2312"/>
          <w:b w:val="0"/>
          <w:bCs w:val="0"/>
          <w:color w:val="auto"/>
          <w:sz w:val="32"/>
          <w:szCs w:val="32"/>
          <w:highlight w:val="none"/>
          <w:u w:val="none"/>
          <w:lang w:val="en-US" w:eastAsia="zh-CN"/>
        </w:rPr>
        <w:t>深入落实乡村振兴战略，统筹乡村生态振兴和农村人居环境整治，推动美丽乡村建设从达标合格向品质提升转变。鼓励有条件的镇先行先试，依托牛栏山镇等乡村振兴示范片区创建经验，探索以镇为单位、跨村联建的片区化建设模式，整区推进美丽乡村提档升级。落实农村生态环境监测评价要求，完善“责任落实、监督检查、成效评估”闭环体系。引导群众因地制宜做好乡村绿化美化，打造四季有景、三季有花、层次丰富的绿美村庄，形成一批可复制、可推广的美丽乡村建设“顺义样本”。到2030年，整区推进美丽乡村建设达到北京市要求。</w:t>
      </w:r>
    </w:p>
    <w:p w14:paraId="6168C6CD">
      <w:pPr>
        <w:pStyle w:val="5"/>
        <w:keepNext w:val="0"/>
        <w:keepLines w:val="0"/>
        <w:pageBreakBefore w:val="0"/>
        <w:widowControl w:val="0"/>
        <w:numPr>
          <w:ilvl w:val="0"/>
          <w:numId w:val="22"/>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持续改善农村人居环境</w:t>
      </w:r>
    </w:p>
    <w:p w14:paraId="186300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hAnsi="仿宋_GB2312" w:cs="仿宋_GB2312"/>
          <w:b w:val="0"/>
          <w:bCs w:val="0"/>
          <w:color w:val="auto"/>
          <w:sz w:val="32"/>
          <w:szCs w:val="32"/>
          <w:highlight w:val="none"/>
          <w:u w:val="none"/>
          <w:lang w:val="en-US" w:eastAsia="zh-CN"/>
        </w:rPr>
      </w:pPr>
      <w:r>
        <w:rPr>
          <w:rFonts w:hint="eastAsia" w:hAnsi="仿宋_GB2312" w:cs="仿宋_GB2312"/>
          <w:b w:val="0"/>
          <w:bCs w:val="0"/>
          <w:color w:val="auto"/>
          <w:sz w:val="32"/>
          <w:szCs w:val="32"/>
          <w:highlight w:val="none"/>
          <w:u w:val="none"/>
          <w:lang w:val="en-US" w:eastAsia="zh-CN"/>
        </w:rPr>
        <w:t>统筹农村生活污水、生活垃圾和黑臭水体治理，健全长效管护机制。扎实推进农村黑臭水体治理，对农村坑塘、沟渠、小微水体实行动态监控与闭环管理，加快推进</w:t>
      </w:r>
      <w:r>
        <w:rPr>
          <w:rFonts w:hint="eastAsia"/>
          <w:b w:val="0"/>
          <w:bCs w:val="0"/>
          <w:color w:val="auto"/>
          <w:highlight w:val="none"/>
          <w:u w:val="none"/>
          <w:lang w:val="en-US" w:eastAsia="zh-CN"/>
        </w:rPr>
        <w:t>杨镇、高丽营镇等重点区域农村坑塘整治项目工程建设</w:t>
      </w:r>
      <w:r>
        <w:rPr>
          <w:rFonts w:hint="eastAsia" w:hAnsi="仿宋_GB2312" w:cs="仿宋_GB2312"/>
          <w:b w:val="0"/>
          <w:bCs w:val="0"/>
          <w:color w:val="auto"/>
          <w:sz w:val="32"/>
          <w:szCs w:val="32"/>
          <w:highlight w:val="none"/>
          <w:u w:val="none"/>
          <w:lang w:val="en-US" w:eastAsia="zh-CN"/>
        </w:rPr>
        <w:t>，并统筹推进水体治理与村庄人居环境改善、生态清洁小流域建设有机结合，持续改善水生态环境。到2027年，农村黑臭水体基本消除</w:t>
      </w:r>
      <w:r>
        <w:rPr>
          <w:rFonts w:hint="eastAsia" w:cs="仿宋_GB2312"/>
          <w:b w:val="0"/>
          <w:bCs w:val="0"/>
          <w:color w:val="auto"/>
          <w:sz w:val="32"/>
          <w:szCs w:val="32"/>
          <w:highlight w:val="none"/>
          <w:u w:val="none"/>
          <w:lang w:val="en-US" w:eastAsia="zh-CN"/>
        </w:rPr>
        <w:t>，此后保持动态清零</w:t>
      </w:r>
      <w:r>
        <w:rPr>
          <w:rFonts w:hint="eastAsia" w:hAnsi="仿宋_GB2312" w:cs="仿宋_GB2312"/>
          <w:b w:val="0"/>
          <w:bCs w:val="0"/>
          <w:color w:val="auto"/>
          <w:sz w:val="32"/>
          <w:szCs w:val="32"/>
          <w:highlight w:val="none"/>
          <w:u w:val="none"/>
          <w:lang w:val="en-US" w:eastAsia="zh-CN"/>
        </w:rPr>
        <w:t>；到2030年，农村生活污水处理率达到北京市要求，水质持续改善。扎实推进农村厕所革命，巩固提升农村三格式化粪池建设成果，对因地势等原因无法接入污水管网的户厕，严格落实定期清掏管护机制，确保粪污无害化处理全覆盖。深入开展“五边”问题专项整治，聚焦村边、路边、田边、水边、房边等薄弱区域，清理私搭乱建、乱堆乱放，消除卫生死角和管理盲区，引导村民打造小花园、小果园、小菜园，见缝插绿、应绿尽绿，推动农村人居环境从“干净整洁”向“生态宜居”提升。</w:t>
      </w:r>
    </w:p>
    <w:p w14:paraId="26662FBF">
      <w:pPr>
        <w:pStyle w:val="5"/>
        <w:keepNext w:val="0"/>
        <w:keepLines w:val="0"/>
        <w:pageBreakBefore w:val="0"/>
        <w:widowControl w:val="0"/>
        <w:numPr>
          <w:ilvl w:val="0"/>
          <w:numId w:val="22"/>
        </w:numPr>
        <w:kinsoku/>
        <w:wordWrap/>
        <w:overflowPunct/>
        <w:topLinePunct w:val="0"/>
        <w:autoSpaceDE/>
        <w:autoSpaceDN/>
        <w:bidi w:val="0"/>
        <w:adjustRightInd/>
        <w:snapToGrid/>
        <w:ind w:left="0" w:leftChars="0" w:firstLineChars="200"/>
        <w:textAlignment w:val="auto"/>
        <w:rPr>
          <w:rFonts w:hint="eastAsia" w:ascii="仿宋_GB2312" w:hAnsi="仿宋_GB2312" w:eastAsia="仿宋_GB2312" w:cs="仿宋_GB2312"/>
          <w:b w:val="0"/>
          <w:bCs w:val="0"/>
          <w:color w:val="auto"/>
          <w:kern w:val="2"/>
          <w:sz w:val="32"/>
          <w:szCs w:val="32"/>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u w:val="none"/>
          <w:shd w:val="clear" w:color="auto" w:fill="auto"/>
          <w:lang w:val="en-US" w:eastAsia="zh-CN" w:bidi="ar-SA"/>
        </w:rPr>
        <w:t>推进农业农村绿色低碳转型</w:t>
      </w:r>
    </w:p>
    <w:p w14:paraId="64CE8A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因地制宜推进太阳能光伏、光热在农村地区的应用，在设施农业、民居屋顶等科学布局光伏发电设施。统筹发展科技、绿色、质量、品牌农业，依托顺义区现代农业产业园，聚焦生猪（种业）和设施蔬菜两大主导产业，持续巩固“大基地+大加工+大科技+大融合+大服务”发展格局，提升农业全产业链现代化水平。加快农业投入品减量增效技术集成创新和推广应用，推广绿色防控、生物防治等替代化学防治技术，推进废旧地膜回收利用。</w:t>
      </w:r>
    </w:p>
    <w:p w14:paraId="1A82303C">
      <w:pPr>
        <w:pStyle w:val="4"/>
        <w:keepNext w:val="0"/>
        <w:keepLines w:val="0"/>
        <w:pageBreakBefore w:val="0"/>
        <w:widowControl w:val="0"/>
        <w:kinsoku/>
        <w:wordWrap/>
        <w:overflowPunct/>
        <w:topLinePunct w:val="0"/>
        <w:autoSpaceDE/>
        <w:autoSpaceDN/>
        <w:bidi w:val="0"/>
        <w:adjustRightInd/>
        <w:snapToGrid/>
        <w:textAlignment w:val="auto"/>
        <w:rPr>
          <w:rFonts w:hint="default" w:eastAsia="楷体_GB2312"/>
          <w:b w:val="0"/>
          <w:bCs w:val="0"/>
          <w:color w:val="auto"/>
          <w:highlight w:val="none"/>
          <w:u w:val="none"/>
          <w:shd w:val="clear" w:color="auto" w:fill="auto"/>
          <w:lang w:val="en-US" w:eastAsia="zh-CN"/>
        </w:rPr>
      </w:pPr>
      <w:bookmarkStart w:id="326" w:name="_Toc4914"/>
      <w:bookmarkStart w:id="327" w:name="_Toc16122"/>
      <w:bookmarkStart w:id="328" w:name="_Toc9537"/>
      <w:bookmarkStart w:id="329" w:name="_Toc24177"/>
      <w:bookmarkStart w:id="330" w:name="_Toc23929"/>
      <w:bookmarkStart w:id="331" w:name="_Toc8264"/>
      <w:bookmarkStart w:id="332" w:name="_Toc23104"/>
      <w:bookmarkStart w:id="333" w:name="_Toc30347"/>
      <w:bookmarkStart w:id="334" w:name="_Toc17362"/>
      <w:r>
        <w:rPr>
          <w:b w:val="0"/>
          <w:bCs w:val="0"/>
          <w:color w:val="auto"/>
          <w:highlight w:val="none"/>
          <w:u w:val="none"/>
          <w:shd w:val="clear" w:color="auto" w:fill="auto"/>
        </w:rPr>
        <w:t>（</w:t>
      </w:r>
      <w:r>
        <w:rPr>
          <w:rFonts w:hint="eastAsia"/>
          <w:b w:val="0"/>
          <w:bCs w:val="0"/>
          <w:color w:val="auto"/>
          <w:highlight w:val="none"/>
          <w:u w:val="none"/>
          <w:shd w:val="clear" w:color="auto" w:fill="auto"/>
          <w:lang w:val="en-US" w:eastAsia="zh-CN"/>
        </w:rPr>
        <w:t>三</w:t>
      </w:r>
      <w:r>
        <w:rPr>
          <w:b w:val="0"/>
          <w:bCs w:val="0"/>
          <w:color w:val="auto"/>
          <w:highlight w:val="none"/>
          <w:u w:val="none"/>
          <w:shd w:val="clear" w:color="auto" w:fill="auto"/>
        </w:rPr>
        <w:t>）</w:t>
      </w:r>
      <w:r>
        <w:rPr>
          <w:rFonts w:hint="eastAsia"/>
          <w:b w:val="0"/>
          <w:bCs w:val="0"/>
          <w:color w:val="auto"/>
          <w:highlight w:val="none"/>
          <w:u w:val="none"/>
          <w:shd w:val="clear" w:color="auto" w:fill="auto"/>
          <w:lang w:val="en-US" w:eastAsia="zh-CN"/>
        </w:rPr>
        <w:t>深化京津冀协同发展</w:t>
      </w:r>
      <w:bookmarkEnd w:id="326"/>
      <w:bookmarkEnd w:id="327"/>
      <w:bookmarkEnd w:id="328"/>
      <w:bookmarkEnd w:id="329"/>
      <w:bookmarkEnd w:id="330"/>
      <w:bookmarkEnd w:id="331"/>
      <w:bookmarkEnd w:id="332"/>
      <w:bookmarkEnd w:id="333"/>
      <w:bookmarkEnd w:id="334"/>
    </w:p>
    <w:p w14:paraId="373D276F">
      <w:pPr>
        <w:pStyle w:val="5"/>
        <w:keepNext w:val="0"/>
        <w:keepLines w:val="0"/>
        <w:pageBreakBefore w:val="0"/>
        <w:widowControl w:val="0"/>
        <w:numPr>
          <w:ilvl w:val="0"/>
          <w:numId w:val="23"/>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u w:val="none"/>
          <w:shd w:val="clear" w:color="auto" w:fill="auto"/>
        </w:rPr>
      </w:pPr>
      <w:r>
        <w:rPr>
          <w:rFonts w:hint="eastAsia" w:ascii="仿宋_GB2312" w:hAnsi="仿宋_GB2312" w:eastAsia="仿宋_GB2312" w:cs="仿宋_GB2312"/>
          <w:b w:val="0"/>
          <w:bCs w:val="0"/>
          <w:color w:val="auto"/>
          <w:u w:val="none"/>
          <w:shd w:val="clear" w:color="auto" w:fill="auto"/>
          <w:lang w:val="en-US" w:eastAsia="zh-CN"/>
        </w:rPr>
        <w:t>共筑区域绿色</w:t>
      </w:r>
      <w:r>
        <w:rPr>
          <w:rFonts w:hint="eastAsia" w:ascii="仿宋_GB2312" w:hAnsi="仿宋_GB2312" w:eastAsia="仿宋_GB2312" w:cs="仿宋_GB2312"/>
          <w:b w:val="0"/>
          <w:bCs w:val="0"/>
          <w:color w:val="auto"/>
          <w:u w:val="none"/>
          <w:shd w:val="clear" w:color="auto" w:fill="auto"/>
        </w:rPr>
        <w:t>发展</w:t>
      </w:r>
      <w:r>
        <w:rPr>
          <w:rFonts w:hint="eastAsia" w:ascii="仿宋_GB2312" w:hAnsi="仿宋_GB2312" w:eastAsia="仿宋_GB2312" w:cs="仿宋_GB2312"/>
          <w:b w:val="0"/>
          <w:bCs w:val="0"/>
          <w:color w:val="auto"/>
          <w:u w:val="none"/>
          <w:shd w:val="clear" w:color="auto" w:fill="auto"/>
          <w:lang w:val="en-US" w:eastAsia="zh-CN"/>
        </w:rPr>
        <w:t>高地</w:t>
      </w:r>
    </w:p>
    <w:p w14:paraId="30EA6BC7">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b w:val="0"/>
          <w:bCs w:val="0"/>
          <w:color w:val="auto"/>
          <w:highlight w:val="none"/>
          <w:u w:val="none"/>
        </w:rPr>
      </w:pPr>
      <w:r>
        <w:rPr>
          <w:rFonts w:hint="eastAsia"/>
          <w:b w:val="0"/>
          <w:bCs w:val="0"/>
          <w:color w:val="auto"/>
          <w:highlight w:val="none"/>
          <w:u w:val="none"/>
          <w:lang w:val="en-US" w:eastAsia="zh-CN"/>
        </w:rPr>
        <w:t>聚</w:t>
      </w:r>
      <w:r>
        <w:rPr>
          <w:rFonts w:hint="eastAsia"/>
          <w:b w:val="0"/>
          <w:bCs w:val="0"/>
          <w:color w:val="auto"/>
          <w:highlight w:val="none"/>
          <w:u w:val="none"/>
        </w:rPr>
        <w:t>焦新能源智能汽车、氢能装备等优势产业链，</w:t>
      </w:r>
      <w:r>
        <w:rPr>
          <w:rFonts w:hint="eastAsia"/>
          <w:b w:val="0"/>
          <w:bCs w:val="0"/>
          <w:highlight w:val="none"/>
          <w:u w:val="none"/>
        </w:rPr>
        <w:t>依托京津冀智能网联新能源汽车科技生态港等重点平台，</w:t>
      </w:r>
      <w:r>
        <w:rPr>
          <w:rFonts w:hint="eastAsia"/>
          <w:b w:val="0"/>
          <w:bCs w:val="0"/>
          <w:color w:val="auto"/>
          <w:highlight w:val="none"/>
          <w:u w:val="none"/>
        </w:rPr>
        <w:t>探索开展产业链清洁生产审核试点，推动供应链碳排放数据互认。依托区域绿电进京通道及区内分布式光伏基础，提升临空经济区等重点板块绿电消费比例；</w:t>
      </w:r>
      <w:r>
        <w:rPr>
          <w:rFonts w:hint="eastAsia"/>
          <w:b w:val="0"/>
          <w:bCs w:val="0"/>
          <w:color w:val="auto"/>
          <w:highlight w:val="none"/>
          <w:u w:val="none"/>
          <w:lang w:val="en-US" w:eastAsia="zh-CN"/>
        </w:rPr>
        <w:t>积极引入周边地区</w:t>
      </w:r>
      <w:r>
        <w:rPr>
          <w:rFonts w:hint="eastAsia"/>
          <w:b w:val="0"/>
          <w:bCs w:val="0"/>
          <w:color w:val="auto"/>
          <w:highlight w:val="none"/>
          <w:u w:val="none"/>
        </w:rPr>
        <w:t>绿氢资源，</w:t>
      </w:r>
      <w:r>
        <w:rPr>
          <w:rFonts w:hint="eastAsia"/>
          <w:b w:val="0"/>
          <w:bCs w:val="0"/>
          <w:color w:val="auto"/>
          <w:highlight w:val="none"/>
          <w:u w:val="none"/>
          <w:lang w:val="en-US" w:eastAsia="zh-CN"/>
        </w:rPr>
        <w:t>探索</w:t>
      </w:r>
      <w:r>
        <w:rPr>
          <w:rFonts w:hint="eastAsia"/>
          <w:b w:val="0"/>
          <w:bCs w:val="0"/>
          <w:color w:val="auto"/>
          <w:highlight w:val="none"/>
          <w:u w:val="none"/>
        </w:rPr>
        <w:t>在机场货运、城市物流等领域开展氢能车辆示范应用，配套建设加氢站和充换电站。依托已贯通的“天津港—顺义”氢能重卡零碳运输干线，联合津冀毗邻地区推进跨省零排放货运通道建设。</w:t>
      </w:r>
    </w:p>
    <w:p w14:paraId="25B4EBF4">
      <w:pPr>
        <w:pStyle w:val="5"/>
        <w:keepNext w:val="0"/>
        <w:keepLines w:val="0"/>
        <w:pageBreakBefore w:val="0"/>
        <w:widowControl w:val="0"/>
        <w:numPr>
          <w:ilvl w:val="0"/>
          <w:numId w:val="23"/>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u w:val="none"/>
          <w:shd w:val="clear" w:color="auto" w:fill="auto"/>
        </w:rPr>
      </w:pPr>
      <w:r>
        <w:rPr>
          <w:rFonts w:hint="eastAsia" w:ascii="仿宋_GB2312" w:hAnsi="仿宋_GB2312" w:eastAsia="仿宋_GB2312" w:cs="仿宋_GB2312"/>
          <w:b w:val="0"/>
          <w:bCs w:val="0"/>
          <w:color w:val="auto"/>
          <w:u w:val="none"/>
          <w:shd w:val="clear" w:color="auto" w:fill="auto"/>
          <w:lang w:val="en-US" w:eastAsia="zh-CN"/>
        </w:rPr>
        <w:t>共建区域生态环境屏障</w:t>
      </w:r>
    </w:p>
    <w:p w14:paraId="6BDF6122">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b w:val="0"/>
          <w:bCs w:val="0"/>
          <w:color w:val="auto"/>
          <w:highlight w:val="none"/>
          <w:u w:val="none"/>
        </w:rPr>
      </w:pPr>
      <w:r>
        <w:rPr>
          <w:rFonts w:hint="eastAsia"/>
          <w:b w:val="0"/>
          <w:bCs w:val="0"/>
          <w:color w:val="auto"/>
          <w:highlight w:val="none"/>
          <w:u w:val="none"/>
        </w:rPr>
        <w:t>深化重污染天气区域应急联动，实施重点企业差异化生产</w:t>
      </w:r>
      <w:r>
        <w:rPr>
          <w:rFonts w:hint="eastAsia"/>
          <w:b w:val="0"/>
          <w:bCs w:val="0"/>
          <w:color w:val="auto"/>
          <w:highlight w:val="none"/>
          <w:u w:val="none"/>
          <w:lang w:eastAsia="zh-CN"/>
        </w:rPr>
        <w:t>、</w:t>
      </w:r>
      <w:r>
        <w:rPr>
          <w:rFonts w:hint="eastAsia"/>
          <w:b w:val="0"/>
          <w:bCs w:val="0"/>
          <w:color w:val="auto"/>
          <w:highlight w:val="none"/>
          <w:u w:val="none"/>
          <w:lang w:val="en-US" w:eastAsia="zh-CN"/>
        </w:rPr>
        <w:t>运输</w:t>
      </w:r>
      <w:r>
        <w:rPr>
          <w:rFonts w:hint="eastAsia"/>
          <w:b w:val="0"/>
          <w:bCs w:val="0"/>
          <w:color w:val="auto"/>
          <w:highlight w:val="none"/>
          <w:u w:val="none"/>
        </w:rPr>
        <w:t>调控。落实潮白河流域联合河长制，与通州、廊坊、三河协同推进生态缓冲带建设和水生生物恢复。落实危险废物跨省转移“白名单”机制。积极参与潮白河流域横向生态补偿，探索在森林碳汇、湿地生态价值等领域与毗邻地区建立多元化</w:t>
      </w:r>
      <w:r>
        <w:rPr>
          <w:rFonts w:hint="eastAsia"/>
          <w:b w:val="0"/>
          <w:bCs w:val="0"/>
          <w:color w:val="auto"/>
          <w:highlight w:val="none"/>
          <w:u w:val="none"/>
          <w:lang w:val="en-US" w:eastAsia="zh-CN"/>
        </w:rPr>
        <w:t>生态</w:t>
      </w:r>
      <w:r>
        <w:rPr>
          <w:rFonts w:hint="eastAsia"/>
          <w:b w:val="0"/>
          <w:bCs w:val="0"/>
          <w:color w:val="auto"/>
          <w:highlight w:val="none"/>
          <w:u w:val="none"/>
        </w:rPr>
        <w:t>补偿机制。</w:t>
      </w:r>
    </w:p>
    <w:p w14:paraId="39C42182">
      <w:pPr>
        <w:pStyle w:val="5"/>
        <w:keepNext w:val="0"/>
        <w:keepLines w:val="0"/>
        <w:pageBreakBefore w:val="0"/>
        <w:widowControl w:val="0"/>
        <w:numPr>
          <w:ilvl w:val="0"/>
          <w:numId w:val="23"/>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u w:val="none"/>
          <w:shd w:val="clear" w:color="auto" w:fill="auto"/>
          <w:lang w:val="en-US" w:eastAsia="zh-CN"/>
        </w:rPr>
      </w:pPr>
      <w:r>
        <w:rPr>
          <w:rFonts w:hint="eastAsia" w:cs="仿宋_GB2312"/>
          <w:b w:val="0"/>
          <w:bCs w:val="0"/>
          <w:color w:val="auto"/>
          <w:u w:val="none"/>
          <w:shd w:val="clear" w:color="auto" w:fill="auto"/>
          <w:lang w:val="en-US" w:eastAsia="zh-CN"/>
        </w:rPr>
        <w:t>深化区域生态环境协同治理</w:t>
      </w:r>
    </w:p>
    <w:p w14:paraId="092C35E4">
      <w:pPr>
        <w:pStyle w:val="19"/>
        <w:keepNext w:val="0"/>
        <w:keepLines w:val="0"/>
        <w:pageBreakBefore w:val="0"/>
        <w:widowControl w:val="0"/>
        <w:kinsoku/>
        <w:wordWrap/>
        <w:overflowPunct/>
        <w:topLinePunct w:val="0"/>
        <w:autoSpaceDE/>
        <w:autoSpaceDN/>
        <w:bidi w:val="0"/>
        <w:adjustRightInd/>
        <w:snapToGrid/>
        <w:spacing w:after="0"/>
        <w:textAlignment w:val="auto"/>
        <w:rPr>
          <w:rFonts w:hint="eastAsia"/>
          <w:b w:val="0"/>
          <w:bCs w:val="0"/>
          <w:color w:val="auto"/>
          <w:highlight w:val="none"/>
          <w:u w:val="none"/>
        </w:rPr>
      </w:pPr>
      <w:r>
        <w:rPr>
          <w:rFonts w:hint="eastAsia"/>
          <w:b w:val="0"/>
          <w:bCs w:val="0"/>
          <w:highlight w:val="none"/>
          <w:u w:val="none"/>
        </w:rPr>
        <w:t>深化区域环境影响评价会商，对跨省的建设项目，配合健全环评会商机制。加强交界区域生态环境分区协同管控，配合市级部门推动生态环境分区管控成果共享共用，参与交界区域相邻管控单元边界校准。深化毗邻地区信息共享与联合执法，推动生态环境监测数据、执法信息常态化互通，重点针对跨界流域污染、秸秆焚烧、移动源污染等区域共性问题，建立线索互移机制。完善区域环境应急联动机制，持续深化潮白河流域上下游突发水污染事件联防联控，健全跨区域环境应急响应和协同处置机制。</w:t>
      </w:r>
    </w:p>
    <w:p w14:paraId="06363AAA">
      <w:pPr>
        <w:pStyle w:val="3"/>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u w:val="none"/>
        </w:rPr>
      </w:pPr>
      <w:bookmarkStart w:id="335" w:name="_Toc31622"/>
      <w:bookmarkStart w:id="336" w:name="_Toc13761"/>
      <w:bookmarkStart w:id="337" w:name="_Toc545"/>
      <w:bookmarkStart w:id="338" w:name="_Toc21468"/>
      <w:bookmarkStart w:id="339" w:name="_Toc9117"/>
      <w:bookmarkStart w:id="340" w:name="_Toc11140"/>
      <w:bookmarkStart w:id="341" w:name="_Toc3511"/>
      <w:bookmarkStart w:id="342" w:name="_Toc5423"/>
      <w:bookmarkStart w:id="343" w:name="_Toc31426"/>
      <w:bookmarkStart w:id="344" w:name="_Toc18717"/>
      <w:r>
        <w:rPr>
          <w:rFonts w:hint="eastAsia" w:ascii="黑体" w:hAnsi="黑体" w:eastAsia="黑体" w:cs="黑体"/>
          <w:b w:val="0"/>
          <w:bCs w:val="0"/>
          <w:color w:val="auto"/>
          <w:highlight w:val="none"/>
          <w:u w:val="none"/>
          <w:lang w:val="en-US" w:eastAsia="zh-CN"/>
        </w:rPr>
        <w:t>八</w:t>
      </w:r>
      <w:r>
        <w:rPr>
          <w:rFonts w:hint="eastAsia" w:ascii="黑体" w:hAnsi="黑体" w:eastAsia="黑体" w:cs="黑体"/>
          <w:b w:val="0"/>
          <w:bCs w:val="0"/>
          <w:color w:val="auto"/>
          <w:highlight w:val="none"/>
          <w:u w:val="none"/>
        </w:rPr>
        <w:t>、</w:t>
      </w:r>
      <w:r>
        <w:rPr>
          <w:rFonts w:hint="eastAsia" w:ascii="黑体" w:hAnsi="黑体" w:eastAsia="黑体" w:cs="黑体"/>
          <w:b w:val="0"/>
          <w:bCs w:val="0"/>
          <w:color w:val="auto"/>
          <w:highlight w:val="none"/>
          <w:u w:val="none"/>
          <w:lang w:val="en-US" w:eastAsia="zh-CN"/>
        </w:rPr>
        <w:t>多元参与</w:t>
      </w:r>
      <w:r>
        <w:rPr>
          <w:rFonts w:hint="eastAsia" w:ascii="黑体" w:hAnsi="黑体" w:eastAsia="黑体" w:cs="黑体"/>
          <w:b w:val="0"/>
          <w:bCs w:val="0"/>
          <w:color w:val="auto"/>
          <w:highlight w:val="none"/>
          <w:u w:val="none"/>
        </w:rPr>
        <w:t>共享</w:t>
      </w:r>
      <w:r>
        <w:rPr>
          <w:rFonts w:hint="eastAsia" w:ascii="黑体" w:hAnsi="黑体" w:eastAsia="黑体" w:cs="黑体"/>
          <w:b w:val="0"/>
          <w:bCs w:val="0"/>
          <w:color w:val="auto"/>
          <w:highlight w:val="none"/>
          <w:u w:val="none"/>
          <w:lang w:val="en-US" w:eastAsia="zh-CN"/>
        </w:rPr>
        <w:t>宜居家园</w:t>
      </w:r>
      <w:bookmarkEnd w:id="335"/>
      <w:bookmarkEnd w:id="336"/>
      <w:bookmarkEnd w:id="337"/>
      <w:bookmarkEnd w:id="338"/>
      <w:bookmarkEnd w:id="339"/>
      <w:bookmarkEnd w:id="340"/>
      <w:bookmarkEnd w:id="341"/>
      <w:bookmarkEnd w:id="342"/>
      <w:bookmarkEnd w:id="343"/>
      <w:bookmarkEnd w:id="344"/>
    </w:p>
    <w:p w14:paraId="41F98E05">
      <w:pPr>
        <w:pStyle w:val="4"/>
        <w:keepNext w:val="0"/>
        <w:keepLines w:val="0"/>
        <w:pageBreakBefore w:val="0"/>
        <w:widowControl w:val="0"/>
        <w:kinsoku/>
        <w:wordWrap/>
        <w:overflowPunct/>
        <w:topLinePunct w:val="0"/>
        <w:autoSpaceDE/>
        <w:autoSpaceDN/>
        <w:bidi w:val="0"/>
        <w:adjustRightInd/>
        <w:snapToGrid/>
        <w:textAlignment w:val="auto"/>
        <w:rPr>
          <w:b w:val="0"/>
          <w:bCs w:val="0"/>
          <w:color w:val="auto"/>
          <w:u w:val="none"/>
        </w:rPr>
      </w:pPr>
      <w:bookmarkStart w:id="345" w:name="_Toc8349"/>
      <w:bookmarkStart w:id="346" w:name="_Toc11062"/>
      <w:bookmarkStart w:id="347" w:name="_Toc14605"/>
      <w:bookmarkStart w:id="348" w:name="_Toc26234"/>
      <w:bookmarkStart w:id="349" w:name="_Toc12378"/>
      <w:bookmarkStart w:id="350" w:name="_Toc11741"/>
      <w:bookmarkStart w:id="351" w:name="_Toc8728"/>
      <w:bookmarkStart w:id="352" w:name="_Toc7739"/>
      <w:bookmarkStart w:id="353" w:name="_Toc27538"/>
      <w:bookmarkStart w:id="354" w:name="_Toc24323"/>
      <w:r>
        <w:rPr>
          <w:b w:val="0"/>
          <w:bCs w:val="0"/>
          <w:color w:val="auto"/>
          <w:u w:val="none"/>
        </w:rPr>
        <w:t>（一）践行</w:t>
      </w:r>
      <w:r>
        <w:rPr>
          <w:rFonts w:hint="eastAsia"/>
          <w:b w:val="0"/>
          <w:bCs w:val="0"/>
          <w:color w:val="auto"/>
          <w:u w:val="none"/>
          <w:lang w:val="en-US" w:eastAsia="zh-CN"/>
        </w:rPr>
        <w:t>绿色低碳</w:t>
      </w:r>
      <w:r>
        <w:rPr>
          <w:b w:val="0"/>
          <w:bCs w:val="0"/>
          <w:color w:val="auto"/>
          <w:u w:val="none"/>
        </w:rPr>
        <w:t>生活</w:t>
      </w:r>
      <w:bookmarkEnd w:id="345"/>
      <w:bookmarkEnd w:id="346"/>
      <w:bookmarkEnd w:id="347"/>
      <w:bookmarkEnd w:id="348"/>
      <w:bookmarkEnd w:id="349"/>
      <w:bookmarkEnd w:id="350"/>
      <w:bookmarkEnd w:id="351"/>
      <w:bookmarkEnd w:id="352"/>
      <w:bookmarkEnd w:id="353"/>
      <w:bookmarkEnd w:id="354"/>
    </w:p>
    <w:p w14:paraId="1AC330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bookmarkStart w:id="355" w:name="_Toc157499952"/>
      <w:r>
        <w:rPr>
          <w:rFonts w:hint="eastAsia" w:ascii="仿宋_GB2312" w:hAnsi="仿宋_GB2312" w:eastAsia="仿宋_GB2312" w:cs="仿宋_GB2312"/>
          <w:b w:val="0"/>
          <w:bCs w:val="0"/>
          <w:color w:val="auto"/>
          <w:sz w:val="32"/>
          <w:szCs w:val="32"/>
          <w:highlight w:val="none"/>
          <w:u w:val="none"/>
          <w:lang w:val="en-US" w:eastAsia="zh-CN"/>
        </w:rPr>
        <w:t>倡导简约适度、绿色低碳、文明健康的生活方式和消费模式。持续提升生活垃圾分类精细化管理水平，推进“光盘行动”、文明餐桌等文明行为落细落实，鼓励践行绿色低碳生活方式，引导公众自觉、主动参与。</w:t>
      </w:r>
    </w:p>
    <w:p w14:paraId="3D500C34">
      <w:pPr>
        <w:pStyle w:val="4"/>
        <w:keepNext w:val="0"/>
        <w:keepLines w:val="0"/>
        <w:pageBreakBefore w:val="0"/>
        <w:widowControl w:val="0"/>
        <w:kinsoku/>
        <w:wordWrap/>
        <w:overflowPunct/>
        <w:topLinePunct w:val="0"/>
        <w:autoSpaceDE/>
        <w:autoSpaceDN/>
        <w:bidi w:val="0"/>
        <w:adjustRightInd/>
        <w:snapToGrid/>
        <w:textAlignment w:val="auto"/>
        <w:rPr>
          <w:rFonts w:hint="default"/>
          <w:b w:val="0"/>
          <w:bCs w:val="0"/>
          <w:color w:val="auto"/>
          <w:u w:val="none"/>
          <w:lang w:val="en-US"/>
        </w:rPr>
      </w:pPr>
      <w:bookmarkStart w:id="356" w:name="_Toc287"/>
      <w:bookmarkStart w:id="357" w:name="_Toc28213"/>
      <w:bookmarkStart w:id="358" w:name="_Toc7425"/>
      <w:bookmarkStart w:id="359" w:name="_Toc5129"/>
      <w:bookmarkStart w:id="360" w:name="_Toc31236"/>
      <w:bookmarkStart w:id="361" w:name="_Toc12089"/>
      <w:bookmarkStart w:id="362" w:name="_Toc31852"/>
      <w:bookmarkStart w:id="363" w:name="_Toc21023"/>
      <w:bookmarkStart w:id="364" w:name="_Toc29003"/>
      <w:bookmarkStart w:id="365" w:name="_Toc29539"/>
      <w:r>
        <w:rPr>
          <w:b w:val="0"/>
          <w:bCs w:val="0"/>
          <w:color w:val="auto"/>
          <w:u w:val="none"/>
        </w:rPr>
        <w:t>（</w:t>
      </w:r>
      <w:r>
        <w:rPr>
          <w:rFonts w:hint="eastAsia"/>
          <w:b w:val="0"/>
          <w:bCs w:val="0"/>
          <w:color w:val="auto"/>
          <w:u w:val="none"/>
          <w:lang w:val="en-US" w:eastAsia="zh-CN"/>
        </w:rPr>
        <w:t>二</w:t>
      </w:r>
      <w:r>
        <w:rPr>
          <w:b w:val="0"/>
          <w:bCs w:val="0"/>
          <w:color w:val="auto"/>
          <w:u w:val="none"/>
        </w:rPr>
        <w:t>）</w:t>
      </w:r>
      <w:r>
        <w:rPr>
          <w:rFonts w:hint="eastAsia"/>
          <w:b w:val="0"/>
          <w:bCs w:val="0"/>
          <w:color w:val="auto"/>
          <w:highlight w:val="none"/>
          <w:u w:val="none"/>
          <w:lang w:val="en-US" w:eastAsia="zh-CN"/>
        </w:rPr>
        <w:t>推动全民共建共享</w:t>
      </w:r>
      <w:bookmarkEnd w:id="356"/>
      <w:bookmarkEnd w:id="357"/>
      <w:bookmarkEnd w:id="358"/>
      <w:bookmarkEnd w:id="359"/>
      <w:bookmarkEnd w:id="360"/>
      <w:bookmarkEnd w:id="361"/>
      <w:bookmarkEnd w:id="362"/>
      <w:bookmarkEnd w:id="363"/>
      <w:bookmarkEnd w:id="364"/>
      <w:bookmarkEnd w:id="365"/>
    </w:p>
    <w:p w14:paraId="311164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深入推进“美丽中国，我是行动者”主题实践活动，围绕全国生态日、环境日等重点节日，创新开展实践活动、科普宣传。扎实开展生态环境志愿服务，加大环境教育基地、环保设施开放单位向公众开放力度，吸引更多公众了解生态文明，践行文明行为。</w:t>
      </w:r>
    </w:p>
    <w:p w14:paraId="748ED34F">
      <w:pPr>
        <w:pStyle w:val="4"/>
        <w:keepNext w:val="0"/>
        <w:keepLines w:val="0"/>
        <w:pageBreakBefore w:val="0"/>
        <w:widowControl w:val="0"/>
        <w:kinsoku/>
        <w:wordWrap/>
        <w:overflowPunct/>
        <w:topLinePunct w:val="0"/>
        <w:autoSpaceDE/>
        <w:autoSpaceDN/>
        <w:bidi w:val="0"/>
        <w:adjustRightInd/>
        <w:snapToGrid/>
        <w:textAlignment w:val="auto"/>
        <w:rPr>
          <w:rFonts w:hint="default"/>
          <w:b w:val="0"/>
          <w:bCs w:val="0"/>
          <w:color w:val="auto"/>
          <w:u w:val="none"/>
          <w:lang w:val="en-US"/>
        </w:rPr>
      </w:pPr>
      <w:bookmarkStart w:id="366" w:name="_Toc6917"/>
      <w:bookmarkStart w:id="367" w:name="_Toc11228"/>
      <w:bookmarkStart w:id="368" w:name="_Toc21948"/>
      <w:bookmarkStart w:id="369" w:name="_Toc15161"/>
      <w:bookmarkStart w:id="370" w:name="_Toc4333"/>
      <w:bookmarkStart w:id="371" w:name="_Toc11226"/>
      <w:bookmarkStart w:id="372" w:name="_Toc18884"/>
      <w:bookmarkStart w:id="373" w:name="_Toc30666"/>
      <w:bookmarkStart w:id="374" w:name="_Toc19875"/>
      <w:bookmarkStart w:id="375" w:name="_Toc16682"/>
      <w:r>
        <w:rPr>
          <w:b w:val="0"/>
          <w:bCs w:val="0"/>
          <w:color w:val="auto"/>
          <w:u w:val="none"/>
        </w:rPr>
        <w:t>（</w:t>
      </w:r>
      <w:r>
        <w:rPr>
          <w:rFonts w:hint="eastAsia"/>
          <w:b w:val="0"/>
          <w:bCs w:val="0"/>
          <w:color w:val="auto"/>
          <w:u w:val="none"/>
          <w:lang w:val="en-US" w:eastAsia="zh-CN"/>
        </w:rPr>
        <w:t>三</w:t>
      </w:r>
      <w:r>
        <w:rPr>
          <w:b w:val="0"/>
          <w:bCs w:val="0"/>
          <w:color w:val="auto"/>
          <w:u w:val="none"/>
        </w:rPr>
        <w:t>）</w:t>
      </w:r>
      <w:r>
        <w:rPr>
          <w:rFonts w:hint="eastAsia"/>
          <w:b w:val="0"/>
          <w:bCs w:val="0"/>
          <w:color w:val="auto"/>
          <w:u w:val="none"/>
          <w:lang w:val="en-US" w:eastAsia="zh-CN"/>
        </w:rPr>
        <w:t>丰富宣传教育方式</w:t>
      </w:r>
      <w:bookmarkEnd w:id="366"/>
      <w:bookmarkEnd w:id="367"/>
      <w:bookmarkEnd w:id="368"/>
      <w:bookmarkEnd w:id="369"/>
      <w:bookmarkEnd w:id="370"/>
      <w:bookmarkEnd w:id="371"/>
      <w:bookmarkEnd w:id="372"/>
      <w:bookmarkEnd w:id="373"/>
      <w:bookmarkEnd w:id="374"/>
      <w:bookmarkEnd w:id="375"/>
    </w:p>
    <w:p w14:paraId="7588A9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针对不同受众群体、不同环保知识需求的群体，推广具有针对性的宣传教育方式，使生态文明宣传教育更加适应差异化、分众化的传播趋势。</w:t>
      </w:r>
      <w:r>
        <w:rPr>
          <w:rFonts w:hint="eastAsia" w:hAnsi="仿宋_GB2312" w:cs="仿宋_GB2312"/>
          <w:b w:val="0"/>
          <w:bCs w:val="0"/>
          <w:color w:val="auto"/>
          <w:sz w:val="32"/>
          <w:szCs w:val="32"/>
          <w:highlight w:val="none"/>
          <w:u w:val="none"/>
          <w:lang w:val="en-US" w:eastAsia="zh-CN"/>
        </w:rPr>
        <w:t>持续</w:t>
      </w:r>
      <w:r>
        <w:rPr>
          <w:rFonts w:hint="eastAsia" w:ascii="仿宋_GB2312" w:hAnsi="仿宋_GB2312" w:eastAsia="仿宋_GB2312" w:cs="仿宋_GB2312"/>
          <w:b w:val="0"/>
          <w:bCs w:val="0"/>
          <w:color w:val="auto"/>
          <w:sz w:val="32"/>
          <w:szCs w:val="32"/>
          <w:highlight w:val="none"/>
          <w:u w:val="none"/>
          <w:lang w:val="en-US" w:eastAsia="zh-CN"/>
        </w:rPr>
        <w:t>推进生态环境教育进课堂、进校园，探索建立以全学校参与为核心的生态文明教育模式。推广具有区域特色的生态文明建设典型人物、案例，展示美丽顺义建设成果。</w:t>
      </w:r>
    </w:p>
    <w:p w14:paraId="748E6415">
      <w:pPr>
        <w:pStyle w:val="4"/>
        <w:keepNext w:val="0"/>
        <w:keepLines w:val="0"/>
        <w:pageBreakBefore w:val="0"/>
        <w:widowControl w:val="0"/>
        <w:kinsoku/>
        <w:wordWrap/>
        <w:overflowPunct/>
        <w:topLinePunct w:val="0"/>
        <w:autoSpaceDE/>
        <w:autoSpaceDN/>
        <w:bidi w:val="0"/>
        <w:adjustRightInd/>
        <w:snapToGrid/>
        <w:textAlignment w:val="auto"/>
        <w:rPr>
          <w:b w:val="0"/>
          <w:bCs w:val="0"/>
          <w:color w:val="auto"/>
          <w:u w:val="none"/>
        </w:rPr>
      </w:pPr>
      <w:bookmarkStart w:id="376" w:name="_Toc9056"/>
      <w:bookmarkStart w:id="377" w:name="_Toc23564"/>
      <w:bookmarkStart w:id="378" w:name="_Toc3898"/>
      <w:bookmarkStart w:id="379" w:name="_Toc17956"/>
      <w:r>
        <w:rPr>
          <w:b w:val="0"/>
          <w:bCs w:val="0"/>
          <w:color w:val="auto"/>
          <w:u w:val="none"/>
        </w:rPr>
        <w:t>（</w:t>
      </w:r>
      <w:r>
        <w:rPr>
          <w:rFonts w:hint="eastAsia"/>
          <w:b w:val="0"/>
          <w:bCs w:val="0"/>
          <w:color w:val="auto"/>
          <w:u w:val="none"/>
          <w:lang w:val="en-US" w:eastAsia="zh-CN"/>
        </w:rPr>
        <w:t>四</w:t>
      </w:r>
      <w:r>
        <w:rPr>
          <w:b w:val="0"/>
          <w:bCs w:val="0"/>
          <w:color w:val="auto"/>
          <w:u w:val="none"/>
        </w:rPr>
        <w:t>）</w:t>
      </w:r>
      <w:r>
        <w:rPr>
          <w:rFonts w:hint="eastAsia"/>
          <w:b w:val="0"/>
          <w:bCs w:val="0"/>
          <w:color w:val="auto"/>
          <w:u w:val="none"/>
          <w:lang w:val="en-US" w:eastAsia="zh-CN"/>
        </w:rPr>
        <w:t>培育弘扬生态文化</w:t>
      </w:r>
      <w:bookmarkEnd w:id="376"/>
      <w:bookmarkEnd w:id="377"/>
      <w:bookmarkEnd w:id="378"/>
      <w:bookmarkEnd w:id="379"/>
    </w:p>
    <w:p w14:paraId="7F1CE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加强生态文化基础理论研究，深入挖掘顺义区域内传统文化的生态智慧，围绕区域历史文化内容，培育具有顺义特色的生态文化，鼓励文艺界人士参与其中，带动创作和发展生态文化产品。</w:t>
      </w:r>
    </w:p>
    <w:bookmarkEnd w:id="355"/>
    <w:p w14:paraId="4ECDFCC1">
      <w:pPr>
        <w:pStyle w:val="3"/>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u w:val="none"/>
          <w:lang w:val="en-US" w:eastAsia="zh-CN"/>
        </w:rPr>
      </w:pPr>
      <w:bookmarkStart w:id="380" w:name="_Toc23367"/>
      <w:bookmarkStart w:id="381" w:name="_Toc22864"/>
      <w:bookmarkStart w:id="382" w:name="_Toc14145"/>
      <w:bookmarkStart w:id="383" w:name="_Toc26497"/>
      <w:bookmarkStart w:id="384" w:name="_Toc17249"/>
      <w:bookmarkStart w:id="385" w:name="_Toc19585"/>
      <w:bookmarkStart w:id="386" w:name="_Toc19253"/>
      <w:bookmarkStart w:id="387" w:name="_Toc5341"/>
      <w:bookmarkStart w:id="388" w:name="_Toc4492"/>
      <w:bookmarkStart w:id="389" w:name="_Toc17334"/>
      <w:r>
        <w:rPr>
          <w:rFonts w:hint="eastAsia" w:ascii="黑体" w:hAnsi="黑体" w:eastAsia="黑体" w:cs="黑体"/>
          <w:b w:val="0"/>
          <w:bCs w:val="0"/>
          <w:color w:val="auto"/>
          <w:highlight w:val="none"/>
          <w:u w:val="none"/>
          <w:lang w:val="en-US" w:eastAsia="zh-CN"/>
        </w:rPr>
        <w:t>九</w:t>
      </w:r>
      <w:r>
        <w:rPr>
          <w:rFonts w:hint="eastAsia" w:ascii="黑体" w:hAnsi="黑体" w:eastAsia="黑体" w:cs="黑体"/>
          <w:b w:val="0"/>
          <w:bCs w:val="0"/>
          <w:color w:val="auto"/>
          <w:highlight w:val="none"/>
          <w:u w:val="none"/>
        </w:rPr>
        <w:t>、</w:t>
      </w:r>
      <w:r>
        <w:rPr>
          <w:rFonts w:hint="eastAsia" w:ascii="黑体" w:hAnsi="黑体" w:eastAsia="黑体" w:cs="黑体"/>
          <w:b w:val="0"/>
          <w:bCs w:val="0"/>
          <w:color w:val="auto"/>
          <w:highlight w:val="none"/>
          <w:u w:val="none"/>
          <w:lang w:eastAsia="zh-CN"/>
        </w:rPr>
        <w:t>夯实</w:t>
      </w:r>
      <w:r>
        <w:rPr>
          <w:rFonts w:hint="eastAsia" w:ascii="黑体" w:hAnsi="黑体" w:eastAsia="黑体" w:cs="黑体"/>
          <w:b w:val="0"/>
          <w:bCs w:val="0"/>
          <w:color w:val="auto"/>
          <w:highlight w:val="none"/>
          <w:u w:val="none"/>
          <w:lang w:val="en-US" w:eastAsia="zh-CN"/>
        </w:rPr>
        <w:t>基础保障</w:t>
      </w:r>
      <w:bookmarkEnd w:id="380"/>
      <w:bookmarkEnd w:id="381"/>
      <w:bookmarkEnd w:id="382"/>
      <w:bookmarkEnd w:id="383"/>
      <w:bookmarkEnd w:id="384"/>
      <w:bookmarkEnd w:id="385"/>
      <w:bookmarkEnd w:id="386"/>
      <w:bookmarkEnd w:id="387"/>
      <w:bookmarkEnd w:id="388"/>
      <w:bookmarkEnd w:id="389"/>
    </w:p>
    <w:p w14:paraId="161C7D83">
      <w:pPr>
        <w:pStyle w:val="4"/>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val="0"/>
          <w:bCs w:val="0"/>
          <w:color w:val="auto"/>
          <w:u w:val="none"/>
          <w:lang w:val="en-US" w:eastAsia="zh-CN"/>
        </w:rPr>
      </w:pPr>
      <w:bookmarkStart w:id="390" w:name="_Toc17452"/>
      <w:bookmarkStart w:id="391" w:name="_Toc967"/>
      <w:bookmarkStart w:id="392" w:name="_Toc30766"/>
      <w:bookmarkStart w:id="393" w:name="_Toc13743"/>
      <w:bookmarkStart w:id="394" w:name="_Toc24567"/>
      <w:bookmarkStart w:id="395" w:name="_Toc29646"/>
      <w:bookmarkStart w:id="396" w:name="_Toc22989"/>
      <w:bookmarkStart w:id="397" w:name="_Toc8692"/>
      <w:bookmarkStart w:id="398" w:name="_Toc3900"/>
      <w:bookmarkStart w:id="399" w:name="_Toc5947"/>
      <w:r>
        <w:rPr>
          <w:rFonts w:ascii="Times New Roman" w:hAnsi="Times New Roman" w:cs="Times New Roman"/>
          <w:b w:val="0"/>
          <w:bCs w:val="0"/>
          <w:color w:val="auto"/>
          <w:u w:val="none"/>
        </w:rPr>
        <w:t>（一）</w:t>
      </w:r>
      <w:r>
        <w:rPr>
          <w:rFonts w:hint="eastAsia" w:ascii="Times New Roman" w:hAnsi="Times New Roman" w:cs="Times New Roman"/>
          <w:b w:val="0"/>
          <w:bCs w:val="0"/>
          <w:color w:val="auto"/>
          <w:u w:val="none"/>
          <w:lang w:val="en-US" w:eastAsia="zh-CN"/>
        </w:rPr>
        <w:t>完善机制体制</w:t>
      </w:r>
      <w:bookmarkEnd w:id="390"/>
      <w:bookmarkEnd w:id="391"/>
      <w:bookmarkEnd w:id="392"/>
      <w:bookmarkEnd w:id="393"/>
      <w:bookmarkEnd w:id="394"/>
      <w:bookmarkEnd w:id="395"/>
      <w:bookmarkEnd w:id="396"/>
      <w:bookmarkEnd w:id="397"/>
      <w:bookmarkEnd w:id="398"/>
      <w:bookmarkEnd w:id="399"/>
    </w:p>
    <w:p w14:paraId="4C2650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深化生态文明体制改革，增强经济社会发展全面绿色转型的活力。统筹推进生态环境损害赔偿，深化生态环境损害赔偿和检察公益诉讼衔接机制。健全环境治理的信息共享、案件移送、调查取证、检测鉴定、会商研判、案情通报等执法司法衔接配合机制。健全以环境影响评价制度为主体的源头预防体系，落实以排污许可制为核心的固定污染源监管制度，排污许可“一证式”管理全面落实。深化生态环境“监管部门统筹调度、监测部门感知发起、监察部门执法检查”的“三监”联动机制，在污染防治、应急保障等领域持续拓展联动应用场景。落实河湖长制、林长制、田长制“三长联动、一巡三查”，构建河长林长田长领治、部门联治、社会共治的山水林田湖草沙系统治理体系。落实自然资源资产管理制度，深入开展顺义区领导干部自然资源资产离任审计。扎实抓好生态环境保护督察反馈问题整改，坚持</w:t>
      </w:r>
      <w:r>
        <w:rPr>
          <w:rFonts w:hint="eastAsia" w:cs="仿宋_GB2312"/>
          <w:b w:val="0"/>
          <w:bCs w:val="0"/>
          <w:color w:val="auto"/>
          <w:sz w:val="32"/>
          <w:szCs w:val="32"/>
          <w:highlight w:val="none"/>
          <w:u w:val="none"/>
          <w:lang w:val="en-US" w:eastAsia="zh-CN"/>
        </w:rPr>
        <w:t>举一反三、标本兼治，</w:t>
      </w:r>
      <w:r>
        <w:rPr>
          <w:rFonts w:hint="eastAsia" w:ascii="仿宋_GB2312" w:hAnsi="仿宋_GB2312" w:eastAsia="仿宋_GB2312" w:cs="仿宋_GB2312"/>
          <w:b w:val="0"/>
          <w:bCs w:val="0"/>
          <w:color w:val="auto"/>
          <w:sz w:val="32"/>
          <w:szCs w:val="32"/>
          <w:highlight w:val="none"/>
          <w:u w:val="none"/>
          <w:lang w:val="en-US" w:eastAsia="zh-CN"/>
        </w:rPr>
        <w:t>确保整改任务按期</w:t>
      </w:r>
      <w:r>
        <w:rPr>
          <w:rFonts w:hint="eastAsia" w:cs="仿宋_GB2312"/>
          <w:b w:val="0"/>
          <w:bCs w:val="0"/>
          <w:color w:val="auto"/>
          <w:sz w:val="32"/>
          <w:szCs w:val="32"/>
          <w:highlight w:val="none"/>
          <w:u w:val="none"/>
          <w:lang w:val="en-US" w:eastAsia="zh-CN"/>
        </w:rPr>
        <w:t>保质</w:t>
      </w:r>
      <w:r>
        <w:rPr>
          <w:rFonts w:hint="eastAsia" w:ascii="仿宋_GB2312" w:hAnsi="仿宋_GB2312" w:eastAsia="仿宋_GB2312" w:cs="仿宋_GB2312"/>
          <w:b w:val="0"/>
          <w:bCs w:val="0"/>
          <w:color w:val="auto"/>
          <w:sz w:val="32"/>
          <w:szCs w:val="32"/>
          <w:highlight w:val="none"/>
          <w:u w:val="none"/>
          <w:lang w:val="en-US" w:eastAsia="zh-CN"/>
        </w:rPr>
        <w:t>销号，并适时开展“回头看”巩固成效。</w:t>
      </w:r>
    </w:p>
    <w:p w14:paraId="44B4222C">
      <w:pPr>
        <w:pStyle w:val="4"/>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val="0"/>
          <w:bCs w:val="0"/>
          <w:color w:val="auto"/>
          <w:u w:val="none"/>
          <w:lang w:val="en-US" w:eastAsia="zh-CN"/>
        </w:rPr>
      </w:pPr>
      <w:bookmarkStart w:id="400" w:name="_Toc11632"/>
      <w:bookmarkStart w:id="401" w:name="_Toc32327"/>
      <w:bookmarkStart w:id="402" w:name="_Toc2435"/>
      <w:bookmarkStart w:id="403" w:name="_Toc24084"/>
      <w:bookmarkStart w:id="404" w:name="_Toc28368"/>
      <w:bookmarkStart w:id="405" w:name="_Toc14737"/>
      <w:bookmarkStart w:id="406" w:name="_Toc32338"/>
      <w:bookmarkStart w:id="407" w:name="_Toc14920"/>
      <w:bookmarkStart w:id="408" w:name="_Toc9167"/>
      <w:bookmarkStart w:id="409" w:name="_Toc31295"/>
      <w:r>
        <w:rPr>
          <w:rFonts w:ascii="Times New Roman" w:hAnsi="Times New Roman" w:cs="Times New Roman"/>
          <w:b w:val="0"/>
          <w:bCs w:val="0"/>
          <w:color w:val="auto"/>
          <w:u w:val="none"/>
        </w:rPr>
        <w:t>（</w:t>
      </w:r>
      <w:r>
        <w:rPr>
          <w:rFonts w:hint="eastAsia" w:ascii="Times New Roman" w:hAnsi="Times New Roman" w:cs="Times New Roman"/>
          <w:b w:val="0"/>
          <w:bCs w:val="0"/>
          <w:color w:val="auto"/>
          <w:u w:val="none"/>
          <w:lang w:val="en-US" w:eastAsia="zh-CN"/>
        </w:rPr>
        <w:t>二</w:t>
      </w:r>
      <w:r>
        <w:rPr>
          <w:rFonts w:ascii="Times New Roman" w:hAnsi="Times New Roman" w:cs="Times New Roman"/>
          <w:b w:val="0"/>
          <w:bCs w:val="0"/>
          <w:color w:val="auto"/>
          <w:u w:val="none"/>
        </w:rPr>
        <w:t>）</w:t>
      </w:r>
      <w:r>
        <w:rPr>
          <w:rFonts w:hint="eastAsia" w:ascii="Times New Roman" w:hAnsi="Times New Roman" w:cs="Times New Roman"/>
          <w:b w:val="0"/>
          <w:bCs w:val="0"/>
          <w:color w:val="auto"/>
          <w:u w:val="none"/>
          <w:lang w:val="en-US" w:eastAsia="zh-CN"/>
        </w:rPr>
        <w:t>强化政策激励</w:t>
      </w:r>
      <w:bookmarkEnd w:id="400"/>
      <w:bookmarkEnd w:id="401"/>
      <w:bookmarkEnd w:id="402"/>
      <w:bookmarkEnd w:id="403"/>
      <w:bookmarkEnd w:id="404"/>
      <w:bookmarkEnd w:id="405"/>
      <w:bookmarkEnd w:id="406"/>
      <w:bookmarkEnd w:id="407"/>
      <w:bookmarkEnd w:id="408"/>
      <w:bookmarkEnd w:id="409"/>
    </w:p>
    <w:p w14:paraId="3098A4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强化财税支持，优化生态文明建设领域财政资源配置，加强生态环境保护项目库管理，实施并重点支持减污降碳协同、环境品质提升、生态保护修复、现代化生态环境基础设施建设等工程，确保投入同任务相匹配；落实节能环保税收优惠政策。强化金融支持，引导积极利用绿色信贷、绿色债券、绿色保险、碳资产质押融资等绿色金融产品与服务，加大对能源、工业、交通、建筑等领域绿色发展和低碳转型的信贷支持力度。健全补偿机制，推进区域</w:t>
      </w:r>
      <w:r>
        <w:rPr>
          <w:rFonts w:hint="eastAsia" w:hAnsi="仿宋_GB2312" w:cs="仿宋_GB2312"/>
          <w:b w:val="0"/>
          <w:bCs w:val="0"/>
          <w:color w:val="auto"/>
          <w:sz w:val="32"/>
          <w:szCs w:val="32"/>
          <w:highlight w:val="none"/>
          <w:u w:val="none"/>
          <w:lang w:val="en-US" w:eastAsia="zh-CN"/>
        </w:rPr>
        <w:t>生态保护补偿制度</w:t>
      </w:r>
      <w:r>
        <w:rPr>
          <w:rFonts w:hint="eastAsia" w:ascii="仿宋_GB2312" w:hAnsi="仿宋_GB2312" w:eastAsia="仿宋_GB2312" w:cs="仿宋_GB2312"/>
          <w:b w:val="0"/>
          <w:bCs w:val="0"/>
          <w:color w:val="auto"/>
          <w:sz w:val="32"/>
          <w:szCs w:val="32"/>
          <w:highlight w:val="none"/>
          <w:u w:val="none"/>
          <w:lang w:val="en-US" w:eastAsia="zh-CN"/>
        </w:rPr>
        <w:t>改革，完善水生态补偿制度。探索</w:t>
      </w:r>
      <w:r>
        <w:rPr>
          <w:rFonts w:hint="eastAsia" w:hAnsi="仿宋_GB2312" w:cs="仿宋_GB2312"/>
          <w:b w:val="0"/>
          <w:bCs w:val="0"/>
          <w:color w:val="auto"/>
          <w:sz w:val="32"/>
          <w:szCs w:val="32"/>
          <w:highlight w:val="none"/>
          <w:u w:val="none"/>
          <w:lang w:val="en-US" w:eastAsia="zh-CN"/>
        </w:rPr>
        <w:t>生态产品价值实现机制</w:t>
      </w:r>
      <w:r>
        <w:rPr>
          <w:rFonts w:hint="eastAsia" w:ascii="仿宋_GB2312" w:hAnsi="仿宋_GB2312" w:eastAsia="仿宋_GB2312" w:cs="仿宋_GB2312"/>
          <w:b w:val="0"/>
          <w:bCs w:val="0"/>
          <w:color w:val="auto"/>
          <w:sz w:val="32"/>
          <w:szCs w:val="32"/>
          <w:highlight w:val="none"/>
          <w:u w:val="none"/>
          <w:lang w:val="en-US" w:eastAsia="zh-CN"/>
        </w:rPr>
        <w:t>。研究环境、社会和公司治理体系建设。</w:t>
      </w:r>
    </w:p>
    <w:p w14:paraId="5E903093">
      <w:pPr>
        <w:pStyle w:val="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val="0"/>
          <w:bCs w:val="0"/>
          <w:color w:val="auto"/>
          <w:u w:val="none"/>
          <w:lang w:val="en-US" w:eastAsia="zh-CN"/>
        </w:rPr>
      </w:pPr>
      <w:bookmarkStart w:id="410" w:name="_Toc4959"/>
      <w:bookmarkStart w:id="411" w:name="_Toc1382"/>
      <w:bookmarkStart w:id="412" w:name="_Toc17643"/>
      <w:bookmarkStart w:id="413" w:name="_Toc29296"/>
      <w:bookmarkStart w:id="414" w:name="_Toc11049"/>
      <w:bookmarkStart w:id="415" w:name="_Toc17187"/>
      <w:bookmarkStart w:id="416" w:name="_Toc2409"/>
      <w:bookmarkStart w:id="417" w:name="_Toc24224"/>
      <w:bookmarkStart w:id="418" w:name="_Toc31778"/>
      <w:bookmarkStart w:id="419" w:name="_Toc379"/>
      <w:r>
        <w:rPr>
          <w:rFonts w:hint="eastAsia" w:ascii="Times New Roman" w:hAnsi="Times New Roman" w:cs="Times New Roman"/>
          <w:b w:val="0"/>
          <w:bCs w:val="0"/>
          <w:color w:val="auto"/>
          <w:u w:val="none"/>
          <w:lang w:val="en-US" w:eastAsia="zh-CN"/>
        </w:rPr>
        <w:t>（</w:t>
      </w:r>
      <w:r>
        <w:rPr>
          <w:rFonts w:hint="eastAsia" w:cs="Times New Roman"/>
          <w:b w:val="0"/>
          <w:bCs w:val="0"/>
          <w:color w:val="auto"/>
          <w:u w:val="none"/>
          <w:lang w:val="en-US" w:eastAsia="zh-CN"/>
        </w:rPr>
        <w:t>三</w:t>
      </w:r>
      <w:r>
        <w:rPr>
          <w:rFonts w:hint="eastAsia" w:ascii="Times New Roman" w:hAnsi="Times New Roman" w:cs="Times New Roman"/>
          <w:b w:val="0"/>
          <w:bCs w:val="0"/>
          <w:color w:val="auto"/>
          <w:u w:val="none"/>
          <w:lang w:val="en-US" w:eastAsia="zh-CN"/>
        </w:rPr>
        <w:t>）强化科技</w:t>
      </w:r>
      <w:r>
        <w:rPr>
          <w:rFonts w:hint="eastAsia" w:cs="Times New Roman"/>
          <w:b w:val="0"/>
          <w:bCs w:val="0"/>
          <w:color w:val="auto"/>
          <w:u w:val="none"/>
          <w:lang w:val="en-US" w:eastAsia="zh-CN"/>
        </w:rPr>
        <w:t>支撑</w:t>
      </w:r>
      <w:bookmarkEnd w:id="410"/>
      <w:bookmarkEnd w:id="411"/>
      <w:bookmarkEnd w:id="412"/>
      <w:bookmarkEnd w:id="413"/>
      <w:bookmarkEnd w:id="414"/>
      <w:bookmarkEnd w:id="415"/>
      <w:bookmarkEnd w:id="416"/>
      <w:bookmarkEnd w:id="417"/>
      <w:bookmarkEnd w:id="418"/>
      <w:bookmarkEnd w:id="419"/>
    </w:p>
    <w:p w14:paraId="2D543ED9">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以示范区建设为引擎，打造协同创新高地。持续加大全社会研究与试验发展经费投入强度。围绕新能源智能汽车、航空航天、生物医药等优势领域开展核心技术攻关，持续开展先进低碳技术示范应用。以前沿技术研发应用为核心，驱动产业智能化与绿色化双转型。深化产学研融合，打通科技研发、孵化转化、企业培育和产业集聚的全链条，全面提升科技成果转化效能。打造科创人才高地，系统优化人才引进培育、激励保障等政策举措，加快构建具有比较优势的区域人才政策体系。加速建设国际人才社区，高标准打造“海创城”。</w:t>
      </w:r>
    </w:p>
    <w:p w14:paraId="6CB25EBC">
      <w:pPr>
        <w:pStyle w:val="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val="0"/>
          <w:bCs w:val="0"/>
          <w:color w:val="auto"/>
          <w:u w:val="none"/>
          <w:lang w:val="en-US" w:eastAsia="zh-CN"/>
        </w:rPr>
      </w:pPr>
      <w:bookmarkStart w:id="420" w:name="_Toc12327"/>
      <w:bookmarkStart w:id="421" w:name="_Toc1703"/>
      <w:bookmarkStart w:id="422" w:name="_Toc15336"/>
      <w:bookmarkStart w:id="423" w:name="_Toc2679"/>
      <w:bookmarkStart w:id="424" w:name="_Toc20050"/>
      <w:bookmarkStart w:id="425" w:name="_Toc4973"/>
      <w:bookmarkStart w:id="426" w:name="_Toc9169"/>
      <w:bookmarkStart w:id="427" w:name="_Toc19889"/>
      <w:bookmarkStart w:id="428" w:name="_Toc5414"/>
      <w:bookmarkStart w:id="429" w:name="_Toc18153"/>
      <w:r>
        <w:rPr>
          <w:rFonts w:hint="eastAsia" w:ascii="Times New Roman" w:hAnsi="Times New Roman" w:cs="Times New Roman"/>
          <w:b w:val="0"/>
          <w:bCs w:val="0"/>
          <w:color w:val="auto"/>
          <w:u w:val="none"/>
          <w:lang w:val="en-US" w:eastAsia="zh-CN"/>
        </w:rPr>
        <w:t>（四）深化智慧监管</w:t>
      </w:r>
      <w:bookmarkEnd w:id="420"/>
      <w:bookmarkEnd w:id="421"/>
      <w:bookmarkEnd w:id="422"/>
      <w:bookmarkEnd w:id="423"/>
      <w:bookmarkEnd w:id="424"/>
      <w:bookmarkEnd w:id="425"/>
      <w:bookmarkEnd w:id="426"/>
      <w:bookmarkEnd w:id="427"/>
      <w:bookmarkEnd w:id="428"/>
      <w:bookmarkEnd w:id="429"/>
    </w:p>
    <w:p w14:paraId="04BA616C">
      <w:pPr>
        <w:keepNext w:val="0"/>
        <w:keepLines w:val="0"/>
        <w:pageBreakBefore w:val="0"/>
        <w:widowControl w:val="0"/>
        <w:kinsoku/>
        <w:wordWrap/>
        <w:overflowPunct/>
        <w:topLinePunct w:val="0"/>
        <w:autoSpaceDE/>
        <w:autoSpaceDN/>
        <w:bidi w:val="0"/>
        <w:adjustRightInd/>
        <w:snapToGrid/>
        <w:textAlignment w:val="auto"/>
        <w:rPr>
          <w:rFonts w:hint="eastAsia"/>
          <w:b w:val="0"/>
          <w:bCs w:val="0"/>
          <w:color w:val="auto"/>
          <w:highlight w:val="none"/>
          <w:u w:val="none"/>
        </w:rPr>
      </w:pPr>
      <w:r>
        <w:rPr>
          <w:rFonts w:hint="eastAsia"/>
          <w:b w:val="0"/>
          <w:bCs w:val="0"/>
          <w:color w:val="auto"/>
          <w:highlight w:val="none"/>
          <w:u w:val="none"/>
          <w:lang w:val="en-US" w:eastAsia="zh-CN"/>
        </w:rPr>
        <w:t>建立完善的现代化生态环境监测体系，建设实验室信息化管理系统（LIMS），提升实验室数智化水平；增强温室气体、新污染物等领域的监测能力；补全监测要素短板，逐步将土壤、噪声、生态、固体废物、辐射等要素的在线监测数据整合接入统一平台；</w:t>
      </w:r>
      <w:r>
        <w:rPr>
          <w:rFonts w:hint="eastAsia"/>
          <w:b w:val="0"/>
          <w:bCs w:val="0"/>
          <w:highlight w:val="none"/>
          <w:u w:val="none"/>
        </w:rPr>
        <w:t>在符合净空管理规定的前提下，</w:t>
      </w:r>
      <w:r>
        <w:rPr>
          <w:rFonts w:hint="eastAsia"/>
          <w:b w:val="0"/>
          <w:bCs w:val="0"/>
          <w:color w:val="auto"/>
          <w:highlight w:val="none"/>
          <w:u w:val="none"/>
          <w:lang w:val="en-US" w:eastAsia="zh-CN"/>
        </w:rPr>
        <w:t>探索运用无人机、无人船、移动监测车等灵活手段，弥补固定监测点位不足，全面提升对分散污染源的监管效能。</w:t>
      </w:r>
      <w:r>
        <w:rPr>
          <w:rFonts w:hint="eastAsia"/>
          <w:b w:val="0"/>
          <w:bCs w:val="0"/>
          <w:color w:val="auto"/>
          <w:highlight w:val="none"/>
          <w:u w:val="none"/>
        </w:rPr>
        <w:t>强化数据共享</w:t>
      </w:r>
      <w:r>
        <w:rPr>
          <w:rFonts w:hint="eastAsia" w:ascii="仿宋_GB2312" w:eastAsia="仿宋_GB2312" w:hAnsiTheme="minorHAnsi" w:cstheme="minorBidi"/>
          <w:b w:val="0"/>
          <w:bCs w:val="0"/>
          <w:color w:val="auto"/>
          <w:kern w:val="2"/>
          <w:sz w:val="32"/>
          <w:szCs w:val="32"/>
          <w:highlight w:val="none"/>
          <w:u w:val="none"/>
          <w:lang w:val="en-US" w:eastAsia="zh-CN" w:bidi="ar-SA"/>
        </w:rPr>
        <w:t>与</w:t>
      </w:r>
      <w:r>
        <w:rPr>
          <w:rFonts w:hint="eastAsia"/>
          <w:b w:val="0"/>
          <w:bCs w:val="0"/>
          <w:color w:val="auto"/>
          <w:highlight w:val="none"/>
          <w:u w:val="none"/>
        </w:rPr>
        <w:t>协同，健全数据交换与业务联动机制，</w:t>
      </w:r>
      <w:r>
        <w:rPr>
          <w:rFonts w:hint="eastAsia"/>
          <w:b w:val="0"/>
          <w:bCs w:val="0"/>
          <w:color w:val="auto"/>
          <w:highlight w:val="none"/>
          <w:u w:val="none"/>
          <w:lang w:eastAsia="zh-CN"/>
        </w:rPr>
        <w:t>协同</w:t>
      </w:r>
      <w:r>
        <w:rPr>
          <w:rFonts w:hint="eastAsia"/>
          <w:b w:val="0"/>
          <w:bCs w:val="0"/>
          <w:color w:val="auto"/>
          <w:highlight w:val="none"/>
          <w:u w:val="none"/>
        </w:rPr>
        <w:t>破解扬尘、面源污染等跨领域环境治理难题；高标准</w:t>
      </w:r>
      <w:r>
        <w:rPr>
          <w:rFonts w:hint="eastAsia"/>
          <w:b w:val="0"/>
          <w:bCs w:val="0"/>
          <w:color w:val="auto"/>
          <w:highlight w:val="none"/>
          <w:u w:val="none"/>
          <w:lang w:eastAsia="zh-CN"/>
        </w:rPr>
        <w:t>建设</w:t>
      </w:r>
      <w:r>
        <w:rPr>
          <w:rFonts w:hint="eastAsia"/>
          <w:b w:val="0"/>
          <w:bCs w:val="0"/>
          <w:color w:val="auto"/>
          <w:highlight w:val="none"/>
          <w:u w:val="none"/>
        </w:rPr>
        <w:t>区级生态环境数据</w:t>
      </w:r>
      <w:r>
        <w:rPr>
          <w:rFonts w:hint="eastAsia"/>
          <w:b w:val="0"/>
          <w:bCs w:val="0"/>
          <w:color w:val="auto"/>
          <w:highlight w:val="none"/>
          <w:u w:val="none"/>
          <w:lang w:val="en-US" w:eastAsia="zh-CN"/>
        </w:rPr>
        <w:t>管理平台</w:t>
      </w:r>
      <w:r>
        <w:rPr>
          <w:rFonts w:hint="eastAsia"/>
          <w:b w:val="0"/>
          <w:bCs w:val="0"/>
          <w:color w:val="auto"/>
          <w:highlight w:val="none"/>
          <w:u w:val="none"/>
        </w:rPr>
        <w:t>，推动现有各系统数据资源</w:t>
      </w:r>
      <w:r>
        <w:rPr>
          <w:rFonts w:hint="eastAsia" w:ascii="仿宋_GB2312" w:eastAsia="仿宋_GB2312" w:hAnsiTheme="minorHAnsi" w:cstheme="minorBidi"/>
          <w:b w:val="0"/>
          <w:bCs w:val="0"/>
          <w:color w:val="auto"/>
          <w:kern w:val="2"/>
          <w:sz w:val="32"/>
          <w:szCs w:val="32"/>
          <w:highlight w:val="none"/>
          <w:u w:val="none"/>
          <w:lang w:val="en-US" w:eastAsia="zh-CN" w:bidi="ar-SA"/>
        </w:rPr>
        <w:t>的</w:t>
      </w:r>
      <w:r>
        <w:rPr>
          <w:rFonts w:hint="eastAsia"/>
          <w:b w:val="0"/>
          <w:bCs w:val="0"/>
          <w:color w:val="auto"/>
          <w:highlight w:val="none"/>
          <w:u w:val="none"/>
        </w:rPr>
        <w:t>深度整合与共享共用。深化大数据、人工智能模型在污染溯源、趋势预判、风险研判等领域的实战应用，推动监管模式向智慧化</w:t>
      </w:r>
      <w:r>
        <w:rPr>
          <w:rFonts w:hint="eastAsia" w:ascii="仿宋_GB2312" w:eastAsia="仿宋_GB2312" w:hAnsiTheme="minorHAnsi" w:cstheme="minorBidi"/>
          <w:b w:val="0"/>
          <w:bCs w:val="0"/>
          <w:color w:val="auto"/>
          <w:kern w:val="2"/>
          <w:sz w:val="32"/>
          <w:szCs w:val="32"/>
          <w:highlight w:val="none"/>
          <w:u w:val="none"/>
          <w:lang w:val="en-US" w:eastAsia="zh-CN" w:bidi="ar-SA"/>
        </w:rPr>
        <w:t>、</w:t>
      </w:r>
      <w:r>
        <w:rPr>
          <w:rFonts w:hint="eastAsia"/>
          <w:b w:val="0"/>
          <w:bCs w:val="0"/>
          <w:color w:val="auto"/>
          <w:highlight w:val="none"/>
          <w:u w:val="none"/>
        </w:rPr>
        <w:t>精准化转型升级；</w:t>
      </w:r>
      <w:r>
        <w:rPr>
          <w:rFonts w:hint="eastAsia"/>
          <w:b w:val="0"/>
          <w:bCs w:val="0"/>
          <w:color w:val="auto"/>
          <w:highlight w:val="none"/>
          <w:u w:val="none"/>
          <w:lang w:val="en-US" w:eastAsia="zh-CN"/>
        </w:rPr>
        <w:t>优化</w:t>
      </w:r>
      <w:r>
        <w:rPr>
          <w:rFonts w:hint="eastAsia"/>
          <w:b w:val="0"/>
          <w:bCs w:val="0"/>
          <w:color w:val="auto"/>
          <w:highlight w:val="none"/>
          <w:u w:val="none"/>
        </w:rPr>
        <w:t>非现场执法模式，依托平台开展高效线上巡查，精准锁定问题线索，优化执法资源配置，</w:t>
      </w:r>
      <w:r>
        <w:rPr>
          <w:rFonts w:hint="eastAsia"/>
          <w:b w:val="0"/>
          <w:bCs w:val="0"/>
          <w:color w:val="auto"/>
          <w:highlight w:val="none"/>
          <w:u w:val="none"/>
          <w:lang w:eastAsia="zh-CN"/>
        </w:rPr>
        <w:t>切实</w:t>
      </w:r>
      <w:r>
        <w:rPr>
          <w:rFonts w:hint="eastAsia"/>
          <w:b w:val="0"/>
          <w:bCs w:val="0"/>
          <w:color w:val="auto"/>
          <w:highlight w:val="none"/>
          <w:u w:val="none"/>
        </w:rPr>
        <w:t>做到对守法企业“无事不扰”、对违法企业“利剑高悬”，实现分级分类精准监管。</w:t>
      </w:r>
    </w:p>
    <w:p w14:paraId="68E6A24E">
      <w:pPr>
        <w:pStyle w:val="4"/>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val="0"/>
          <w:bCs w:val="0"/>
          <w:color w:val="auto"/>
          <w:u w:val="none"/>
        </w:rPr>
      </w:pPr>
      <w:bookmarkStart w:id="430" w:name="_Toc260"/>
      <w:bookmarkStart w:id="431" w:name="_Toc31680"/>
      <w:bookmarkStart w:id="432" w:name="_Toc32057"/>
      <w:bookmarkStart w:id="433" w:name="_Toc9774"/>
      <w:bookmarkStart w:id="434" w:name="_Toc17761"/>
      <w:bookmarkStart w:id="435" w:name="_Toc12604"/>
      <w:bookmarkStart w:id="436" w:name="_Toc30454"/>
      <w:bookmarkStart w:id="437" w:name="_Toc31138"/>
      <w:bookmarkStart w:id="438" w:name="_Toc19182"/>
      <w:bookmarkStart w:id="439" w:name="_Toc7996"/>
      <w:r>
        <w:rPr>
          <w:rFonts w:hint="eastAsia" w:cs="Times New Roman"/>
          <w:b w:val="0"/>
          <w:bCs w:val="0"/>
          <w:color w:val="auto"/>
          <w:u w:val="none"/>
          <w:lang w:eastAsia="zh-CN"/>
        </w:rPr>
        <w:t>（</w:t>
      </w:r>
      <w:r>
        <w:rPr>
          <w:rFonts w:hint="eastAsia" w:cs="Times New Roman"/>
          <w:b w:val="0"/>
          <w:bCs w:val="0"/>
          <w:color w:val="auto"/>
          <w:u w:val="none"/>
          <w:lang w:val="en-US" w:eastAsia="zh-CN"/>
        </w:rPr>
        <w:t>五</w:t>
      </w:r>
      <w:r>
        <w:rPr>
          <w:rFonts w:hint="eastAsia" w:cs="Times New Roman"/>
          <w:b w:val="0"/>
          <w:bCs w:val="0"/>
          <w:color w:val="auto"/>
          <w:u w:val="none"/>
          <w:lang w:eastAsia="zh-CN"/>
        </w:rPr>
        <w:t>）</w:t>
      </w:r>
      <w:r>
        <w:rPr>
          <w:rFonts w:hint="eastAsia" w:ascii="Times New Roman" w:hAnsi="Times New Roman" w:cs="Times New Roman"/>
          <w:b w:val="0"/>
          <w:bCs w:val="0"/>
          <w:color w:val="auto"/>
          <w:u w:val="none"/>
        </w:rPr>
        <w:t>推动多元共治</w:t>
      </w:r>
      <w:bookmarkEnd w:id="430"/>
      <w:bookmarkEnd w:id="431"/>
      <w:bookmarkEnd w:id="432"/>
      <w:bookmarkEnd w:id="433"/>
      <w:bookmarkEnd w:id="434"/>
      <w:bookmarkEnd w:id="435"/>
      <w:bookmarkEnd w:id="436"/>
      <w:bookmarkEnd w:id="437"/>
      <w:bookmarkEnd w:id="438"/>
      <w:bookmarkEnd w:id="439"/>
    </w:p>
    <w:p w14:paraId="5D4B338D">
      <w:pPr>
        <w:ind w:firstLine="640" w:firstLineChars="200"/>
        <w:rPr>
          <w:rFonts w:hint="eastAsia" w:ascii="仿宋_GB2312" w:hAnsi="仿宋_GB2312" w:eastAsia="仿宋_GB2312" w:cs="仿宋_GB2312"/>
          <w:b w:val="0"/>
          <w:bCs w:val="0"/>
          <w:highlight w:val="none"/>
          <w:u w:val="none"/>
          <w:lang w:val="en-US" w:eastAsia="zh-CN"/>
        </w:rPr>
      </w:pPr>
      <w:r>
        <w:rPr>
          <w:rFonts w:hint="eastAsia"/>
          <w:b w:val="0"/>
          <w:bCs w:val="0"/>
          <w:highlight w:val="none"/>
          <w:u w:val="none"/>
        </w:rPr>
        <w:t>加快构建政府主导、企业主责、社会组织协同、公众参与的生态环境治理格局。全面优化监测、监管、执法环节的信息推送、结果反馈与联动响应机制，切实打通“监-管-执-治”全链条高效协同路径；强化跨部门协同联动，建立健全生态环境执法专项协调机制，细化明确部门职责分工，创新推行“图斑同审”“案件同商”“现场同查”等联动模式，凝聚齐抓共管强大合力；健全完善行政执法与刑事司法衔接机制，规范案件移送、证据固定、信息共享、联合办案等程序，依法严厉打击环境违法犯罪行为；鼓励引导公众参与社会监督，健全完善环境违法行为举报奖励制度，畅通拓展投诉举报渠道，支持环保社会组织依法开展环境公益诉讼，广泛深入宣传生态环境保护政策法规，全面提升全社会生态文明意识。</w:t>
      </w:r>
    </w:p>
    <w:sectPr>
      <w:footerReference r:id="rId15" w:type="first"/>
      <w:footerReference r:id="rId1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titlePg/>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2222">
    <w:pPr>
      <w:pStyle w:val="1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781E3">
                          <w:pPr>
                            <w:pStyle w:val="11"/>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D781E3">
                    <w:pPr>
                      <w:pStyle w:val="11"/>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3F82">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72DD">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4DEA4">
    <w:pPr>
      <w:pStyle w:val="11"/>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BE38D">
                          <w:pPr>
                            <w:pStyle w:val="11"/>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1BE38D">
                    <w:pPr>
                      <w:pStyle w:val="11"/>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DBBC9">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6DAAC">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F6DAAC">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185BF">
    <w:pPr>
      <w:pStyle w:val="1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1FA4B">
                          <w:pPr>
                            <w:pStyle w:val="11"/>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D1FA4B">
                    <w:pPr>
                      <w:pStyle w:val="11"/>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98A23">
    <w:pPr>
      <w:pStyle w:val="11"/>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570EE">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1570EE">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3A71">
    <w:pPr>
      <w:pStyle w:val="11"/>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32B6A">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D432B6A">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4AD2">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3F29">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B760">
    <w:pPr>
      <w:pStyle w:val="12"/>
      <w:widowControl w:val="0"/>
      <w:pBdr>
        <w:top w:val="none" w:color="auto" w:sz="0" w:space="1"/>
        <w:left w:val="none" w:color="auto" w:sz="0" w:space="4"/>
        <w:bottom w:val="none" w:color="auto" w:sz="0" w:space="1"/>
        <w:right w:val="none" w:color="auto" w:sz="0" w:space="4"/>
        <w:between w:val="none" w:color="auto" w:sz="0" w:space="0"/>
      </w:pBdr>
      <w:snapToGrid w:val="0"/>
      <w:spacing w:line="560" w:lineRule="exact"/>
      <w:ind w:firstLine="360" w:firstLineChars="20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B29C6"/>
    <w:multiLevelType w:val="singleLevel"/>
    <w:tmpl w:val="9BCB29C6"/>
    <w:lvl w:ilvl="0" w:tentative="0">
      <w:start w:val="1"/>
      <w:numFmt w:val="decimal"/>
      <w:suff w:val="nothing"/>
      <w:lvlText w:val="%1．"/>
      <w:lvlJc w:val="left"/>
    </w:lvl>
  </w:abstractNum>
  <w:abstractNum w:abstractNumId="1">
    <w:nsid w:val="A41F5B45"/>
    <w:multiLevelType w:val="singleLevel"/>
    <w:tmpl w:val="A41F5B45"/>
    <w:lvl w:ilvl="0" w:tentative="0">
      <w:start w:val="1"/>
      <w:numFmt w:val="decimal"/>
      <w:suff w:val="nothing"/>
      <w:lvlText w:val="%1．"/>
      <w:lvlJc w:val="left"/>
    </w:lvl>
  </w:abstractNum>
  <w:abstractNum w:abstractNumId="2">
    <w:nsid w:val="A9449FC6"/>
    <w:multiLevelType w:val="singleLevel"/>
    <w:tmpl w:val="A9449FC6"/>
    <w:lvl w:ilvl="0" w:tentative="0">
      <w:start w:val="1"/>
      <w:numFmt w:val="decimal"/>
      <w:suff w:val="nothing"/>
      <w:lvlText w:val="%1．"/>
      <w:lvlJc w:val="left"/>
    </w:lvl>
  </w:abstractNum>
  <w:abstractNum w:abstractNumId="3">
    <w:nsid w:val="A9BE78F4"/>
    <w:multiLevelType w:val="singleLevel"/>
    <w:tmpl w:val="A9BE78F4"/>
    <w:lvl w:ilvl="0" w:tentative="0">
      <w:start w:val="1"/>
      <w:numFmt w:val="decimal"/>
      <w:suff w:val="nothing"/>
      <w:lvlText w:val="%1．"/>
      <w:lvlJc w:val="left"/>
    </w:lvl>
  </w:abstractNum>
  <w:abstractNum w:abstractNumId="4">
    <w:nsid w:val="B2699BDF"/>
    <w:multiLevelType w:val="singleLevel"/>
    <w:tmpl w:val="B2699BDF"/>
    <w:lvl w:ilvl="0" w:tentative="0">
      <w:start w:val="1"/>
      <w:numFmt w:val="decimal"/>
      <w:suff w:val="nothing"/>
      <w:lvlText w:val="%1．"/>
      <w:lvlJc w:val="left"/>
      <w:rPr>
        <w:rFonts w:hint="default" w:ascii="仿宋_GB2312" w:hAnsi="仿宋_GB2312" w:eastAsia="仿宋_GB2312" w:cs="仿宋_GB2312"/>
      </w:rPr>
    </w:lvl>
  </w:abstractNum>
  <w:abstractNum w:abstractNumId="5">
    <w:nsid w:val="BAA28588"/>
    <w:multiLevelType w:val="singleLevel"/>
    <w:tmpl w:val="BAA28588"/>
    <w:lvl w:ilvl="0" w:tentative="0">
      <w:start w:val="3"/>
      <w:numFmt w:val="chineseCounting"/>
      <w:suff w:val="nothing"/>
      <w:lvlText w:val="%1、"/>
      <w:lvlJc w:val="left"/>
      <w:rPr>
        <w:rFonts w:hint="eastAsia"/>
      </w:rPr>
    </w:lvl>
  </w:abstractNum>
  <w:abstractNum w:abstractNumId="6">
    <w:nsid w:val="BBCE53C3"/>
    <w:multiLevelType w:val="singleLevel"/>
    <w:tmpl w:val="BBCE53C3"/>
    <w:lvl w:ilvl="0" w:tentative="0">
      <w:start w:val="1"/>
      <w:numFmt w:val="chineseCounting"/>
      <w:suff w:val="nothing"/>
      <w:lvlText w:val="（%1）"/>
      <w:lvlJc w:val="left"/>
      <w:rPr>
        <w:rFonts w:hint="eastAsia"/>
      </w:rPr>
    </w:lvl>
  </w:abstractNum>
  <w:abstractNum w:abstractNumId="7">
    <w:nsid w:val="CAAE98B3"/>
    <w:multiLevelType w:val="singleLevel"/>
    <w:tmpl w:val="CAAE98B3"/>
    <w:lvl w:ilvl="0" w:tentative="0">
      <w:start w:val="1"/>
      <w:numFmt w:val="decimal"/>
      <w:suff w:val="nothing"/>
      <w:lvlText w:val="%1．"/>
      <w:lvlJc w:val="left"/>
    </w:lvl>
  </w:abstractNum>
  <w:abstractNum w:abstractNumId="8">
    <w:nsid w:val="D070EFDF"/>
    <w:multiLevelType w:val="singleLevel"/>
    <w:tmpl w:val="D070EFDF"/>
    <w:lvl w:ilvl="0" w:tentative="0">
      <w:start w:val="1"/>
      <w:numFmt w:val="decimal"/>
      <w:suff w:val="nothing"/>
      <w:lvlText w:val="%1．"/>
      <w:lvlJc w:val="left"/>
      <w:pPr>
        <w:ind w:left="640"/>
      </w:pPr>
    </w:lvl>
  </w:abstractNum>
  <w:abstractNum w:abstractNumId="9">
    <w:nsid w:val="DA00357E"/>
    <w:multiLevelType w:val="singleLevel"/>
    <w:tmpl w:val="DA00357E"/>
    <w:lvl w:ilvl="0" w:tentative="0">
      <w:start w:val="3"/>
      <w:numFmt w:val="chineseCounting"/>
      <w:suff w:val="nothing"/>
      <w:lvlText w:val="（%1）"/>
      <w:lvlJc w:val="left"/>
      <w:rPr>
        <w:rFonts w:hint="eastAsia"/>
      </w:rPr>
    </w:lvl>
  </w:abstractNum>
  <w:abstractNum w:abstractNumId="10">
    <w:nsid w:val="E00C9B0F"/>
    <w:multiLevelType w:val="singleLevel"/>
    <w:tmpl w:val="E00C9B0F"/>
    <w:lvl w:ilvl="0" w:tentative="0">
      <w:start w:val="1"/>
      <w:numFmt w:val="decimal"/>
      <w:suff w:val="nothing"/>
      <w:lvlText w:val="%1．"/>
      <w:lvlJc w:val="left"/>
    </w:lvl>
  </w:abstractNum>
  <w:abstractNum w:abstractNumId="11">
    <w:nsid w:val="ED794D2D"/>
    <w:multiLevelType w:val="singleLevel"/>
    <w:tmpl w:val="ED794D2D"/>
    <w:lvl w:ilvl="0" w:tentative="0">
      <w:start w:val="1"/>
      <w:numFmt w:val="decimal"/>
      <w:suff w:val="nothing"/>
      <w:lvlText w:val="%1．"/>
      <w:lvlJc w:val="left"/>
    </w:lvl>
  </w:abstractNum>
  <w:abstractNum w:abstractNumId="12">
    <w:nsid w:val="F8257A24"/>
    <w:multiLevelType w:val="singleLevel"/>
    <w:tmpl w:val="F8257A24"/>
    <w:lvl w:ilvl="0" w:tentative="0">
      <w:start w:val="1"/>
      <w:numFmt w:val="decimal"/>
      <w:suff w:val="nothing"/>
      <w:lvlText w:val="%1．"/>
      <w:lvlJc w:val="left"/>
      <w:pPr>
        <w:ind w:left="640"/>
      </w:pPr>
    </w:lvl>
  </w:abstractNum>
  <w:abstractNum w:abstractNumId="13">
    <w:nsid w:val="FF8E1D66"/>
    <w:multiLevelType w:val="singleLevel"/>
    <w:tmpl w:val="FF8E1D66"/>
    <w:lvl w:ilvl="0" w:tentative="0">
      <w:start w:val="1"/>
      <w:numFmt w:val="decimal"/>
      <w:suff w:val="nothing"/>
      <w:lvlText w:val="%1．"/>
      <w:lvlJc w:val="left"/>
    </w:lvl>
  </w:abstractNum>
  <w:abstractNum w:abstractNumId="14">
    <w:nsid w:val="26D3B8FA"/>
    <w:multiLevelType w:val="singleLevel"/>
    <w:tmpl w:val="26D3B8FA"/>
    <w:lvl w:ilvl="0" w:tentative="0">
      <w:start w:val="1"/>
      <w:numFmt w:val="decimal"/>
      <w:suff w:val="nothing"/>
      <w:lvlText w:val="%1．"/>
      <w:lvlJc w:val="left"/>
    </w:lvl>
  </w:abstractNum>
  <w:abstractNum w:abstractNumId="15">
    <w:nsid w:val="3E055C8B"/>
    <w:multiLevelType w:val="singleLevel"/>
    <w:tmpl w:val="3E055C8B"/>
    <w:lvl w:ilvl="0" w:tentative="0">
      <w:start w:val="3"/>
      <w:numFmt w:val="chineseCounting"/>
      <w:suff w:val="nothing"/>
      <w:lvlText w:val="（%1）"/>
      <w:lvlJc w:val="left"/>
      <w:pPr>
        <w:ind w:left="640"/>
      </w:pPr>
      <w:rPr>
        <w:rFonts w:hint="eastAsia"/>
      </w:rPr>
    </w:lvl>
  </w:abstractNum>
  <w:abstractNum w:abstractNumId="16">
    <w:nsid w:val="3F684FA8"/>
    <w:multiLevelType w:val="singleLevel"/>
    <w:tmpl w:val="3F684FA8"/>
    <w:lvl w:ilvl="0" w:tentative="0">
      <w:start w:val="1"/>
      <w:numFmt w:val="decimal"/>
      <w:suff w:val="nothing"/>
      <w:lvlText w:val="%1．"/>
      <w:lvlJc w:val="left"/>
      <w:pPr>
        <w:ind w:left="640"/>
      </w:pPr>
    </w:lvl>
  </w:abstractNum>
  <w:abstractNum w:abstractNumId="17">
    <w:nsid w:val="3FE2500E"/>
    <w:multiLevelType w:val="singleLevel"/>
    <w:tmpl w:val="3FE2500E"/>
    <w:lvl w:ilvl="0" w:tentative="0">
      <w:start w:val="1"/>
      <w:numFmt w:val="decimal"/>
      <w:suff w:val="nothing"/>
      <w:lvlText w:val="%1．"/>
      <w:lvlJc w:val="left"/>
    </w:lvl>
  </w:abstractNum>
  <w:abstractNum w:abstractNumId="18">
    <w:nsid w:val="5081279B"/>
    <w:multiLevelType w:val="singleLevel"/>
    <w:tmpl w:val="5081279B"/>
    <w:lvl w:ilvl="0" w:tentative="0">
      <w:start w:val="1"/>
      <w:numFmt w:val="decimal"/>
      <w:suff w:val="nothing"/>
      <w:lvlText w:val="%1．"/>
      <w:lvlJc w:val="left"/>
    </w:lvl>
  </w:abstractNum>
  <w:abstractNum w:abstractNumId="19">
    <w:nsid w:val="56B2AC66"/>
    <w:multiLevelType w:val="singleLevel"/>
    <w:tmpl w:val="56B2AC66"/>
    <w:lvl w:ilvl="0" w:tentative="0">
      <w:start w:val="1"/>
      <w:numFmt w:val="decimal"/>
      <w:suff w:val="nothing"/>
      <w:lvlText w:val="%1．"/>
      <w:lvlJc w:val="left"/>
    </w:lvl>
  </w:abstractNum>
  <w:abstractNum w:abstractNumId="20">
    <w:nsid w:val="5F1B3173"/>
    <w:multiLevelType w:val="singleLevel"/>
    <w:tmpl w:val="5F1B3173"/>
    <w:lvl w:ilvl="0" w:tentative="0">
      <w:start w:val="1"/>
      <w:numFmt w:val="decimal"/>
      <w:suff w:val="nothing"/>
      <w:lvlText w:val="%1．"/>
      <w:lvlJc w:val="left"/>
    </w:lvl>
  </w:abstractNum>
  <w:abstractNum w:abstractNumId="21">
    <w:nsid w:val="60B15059"/>
    <w:multiLevelType w:val="singleLevel"/>
    <w:tmpl w:val="60B15059"/>
    <w:lvl w:ilvl="0" w:tentative="0">
      <w:start w:val="1"/>
      <w:numFmt w:val="decimal"/>
      <w:suff w:val="nothing"/>
      <w:lvlText w:val="%1．"/>
      <w:lvlJc w:val="left"/>
    </w:lvl>
  </w:abstractNum>
  <w:abstractNum w:abstractNumId="22">
    <w:nsid w:val="622B538B"/>
    <w:multiLevelType w:val="singleLevel"/>
    <w:tmpl w:val="622B538B"/>
    <w:lvl w:ilvl="0" w:tentative="0">
      <w:start w:val="1"/>
      <w:numFmt w:val="decimal"/>
      <w:suff w:val="nothing"/>
      <w:lvlText w:val="%1．"/>
      <w:lvlJc w:val="left"/>
    </w:lvl>
  </w:abstractNum>
  <w:num w:numId="1">
    <w:abstractNumId w:val="5"/>
  </w:num>
  <w:num w:numId="2">
    <w:abstractNumId w:val="18"/>
  </w:num>
  <w:num w:numId="3">
    <w:abstractNumId w:val="4"/>
  </w:num>
  <w:num w:numId="4">
    <w:abstractNumId w:val="9"/>
  </w:num>
  <w:num w:numId="5">
    <w:abstractNumId w:val="12"/>
  </w:num>
  <w:num w:numId="6">
    <w:abstractNumId w:val="16"/>
  </w:num>
  <w:num w:numId="7">
    <w:abstractNumId w:val="8"/>
  </w:num>
  <w:num w:numId="8">
    <w:abstractNumId w:val="15"/>
  </w:num>
  <w:num w:numId="9">
    <w:abstractNumId w:val="10"/>
  </w:num>
  <w:num w:numId="10">
    <w:abstractNumId w:val="3"/>
  </w:num>
  <w:num w:numId="11">
    <w:abstractNumId w:val="6"/>
  </w:num>
  <w:num w:numId="12">
    <w:abstractNumId w:val="19"/>
  </w:num>
  <w:num w:numId="13">
    <w:abstractNumId w:val="2"/>
  </w:num>
  <w:num w:numId="14">
    <w:abstractNumId w:val="11"/>
  </w:num>
  <w:num w:numId="15">
    <w:abstractNumId w:val="1"/>
  </w:num>
  <w:num w:numId="16">
    <w:abstractNumId w:val="21"/>
  </w:num>
  <w:num w:numId="17">
    <w:abstractNumId w:val="22"/>
  </w:num>
  <w:num w:numId="18">
    <w:abstractNumId w:val="7"/>
  </w:num>
  <w:num w:numId="19">
    <w:abstractNumId w:val="14"/>
  </w:num>
  <w:num w:numId="20">
    <w:abstractNumId w:val="20"/>
  </w:num>
  <w:num w:numId="21">
    <w:abstractNumId w:val="13"/>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22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A1"/>
    <w:rsid w:val="000073DC"/>
    <w:rsid w:val="000103AB"/>
    <w:rsid w:val="00014573"/>
    <w:rsid w:val="00020C41"/>
    <w:rsid w:val="00023733"/>
    <w:rsid w:val="00026C51"/>
    <w:rsid w:val="00030D45"/>
    <w:rsid w:val="00034FBE"/>
    <w:rsid w:val="00035376"/>
    <w:rsid w:val="0004149B"/>
    <w:rsid w:val="000437A4"/>
    <w:rsid w:val="00044A72"/>
    <w:rsid w:val="00044E1E"/>
    <w:rsid w:val="00050CFA"/>
    <w:rsid w:val="00051347"/>
    <w:rsid w:val="00052D53"/>
    <w:rsid w:val="00054514"/>
    <w:rsid w:val="00055BCE"/>
    <w:rsid w:val="0006215C"/>
    <w:rsid w:val="0006221D"/>
    <w:rsid w:val="000646FF"/>
    <w:rsid w:val="00071F9C"/>
    <w:rsid w:val="000732EC"/>
    <w:rsid w:val="00074F22"/>
    <w:rsid w:val="00077A12"/>
    <w:rsid w:val="00077B38"/>
    <w:rsid w:val="00081199"/>
    <w:rsid w:val="00081F9C"/>
    <w:rsid w:val="00090CB9"/>
    <w:rsid w:val="0009232E"/>
    <w:rsid w:val="000969AD"/>
    <w:rsid w:val="00097695"/>
    <w:rsid w:val="000A0994"/>
    <w:rsid w:val="000A11D3"/>
    <w:rsid w:val="000A5347"/>
    <w:rsid w:val="000A5DAF"/>
    <w:rsid w:val="000A5F1D"/>
    <w:rsid w:val="000A719C"/>
    <w:rsid w:val="000A73B0"/>
    <w:rsid w:val="000B012D"/>
    <w:rsid w:val="000B01DB"/>
    <w:rsid w:val="000B5191"/>
    <w:rsid w:val="000C08DC"/>
    <w:rsid w:val="000C0D2E"/>
    <w:rsid w:val="000C0FA4"/>
    <w:rsid w:val="000C7ED1"/>
    <w:rsid w:val="000D0604"/>
    <w:rsid w:val="000D3D00"/>
    <w:rsid w:val="000D6DCC"/>
    <w:rsid w:val="000E2574"/>
    <w:rsid w:val="000E3821"/>
    <w:rsid w:val="000E5D4B"/>
    <w:rsid w:val="000E7E31"/>
    <w:rsid w:val="000E7FBF"/>
    <w:rsid w:val="000F3657"/>
    <w:rsid w:val="000F5395"/>
    <w:rsid w:val="00125E6D"/>
    <w:rsid w:val="00125FF1"/>
    <w:rsid w:val="0013032D"/>
    <w:rsid w:val="001309A1"/>
    <w:rsid w:val="00141988"/>
    <w:rsid w:val="001420FA"/>
    <w:rsid w:val="0014387F"/>
    <w:rsid w:val="00143EF7"/>
    <w:rsid w:val="00154D00"/>
    <w:rsid w:val="0015556F"/>
    <w:rsid w:val="001564FA"/>
    <w:rsid w:val="00162C3D"/>
    <w:rsid w:val="001633F4"/>
    <w:rsid w:val="00167440"/>
    <w:rsid w:val="00172D82"/>
    <w:rsid w:val="00173119"/>
    <w:rsid w:val="00176349"/>
    <w:rsid w:val="00181449"/>
    <w:rsid w:val="001856A4"/>
    <w:rsid w:val="00193B58"/>
    <w:rsid w:val="00197CB8"/>
    <w:rsid w:val="001A038F"/>
    <w:rsid w:val="001A26BA"/>
    <w:rsid w:val="001A2EDD"/>
    <w:rsid w:val="001A49DE"/>
    <w:rsid w:val="001A5D54"/>
    <w:rsid w:val="001A7EA6"/>
    <w:rsid w:val="001D0568"/>
    <w:rsid w:val="001E7BAF"/>
    <w:rsid w:val="001F1BC1"/>
    <w:rsid w:val="001F1DD2"/>
    <w:rsid w:val="001F3BDE"/>
    <w:rsid w:val="001F4931"/>
    <w:rsid w:val="001F683B"/>
    <w:rsid w:val="0020320A"/>
    <w:rsid w:val="00205350"/>
    <w:rsid w:val="00205717"/>
    <w:rsid w:val="00206AEE"/>
    <w:rsid w:val="002076A9"/>
    <w:rsid w:val="00210169"/>
    <w:rsid w:val="00210CF5"/>
    <w:rsid w:val="00212A68"/>
    <w:rsid w:val="00213803"/>
    <w:rsid w:val="002163F8"/>
    <w:rsid w:val="002176B7"/>
    <w:rsid w:val="00225ECF"/>
    <w:rsid w:val="00230752"/>
    <w:rsid w:val="0025119B"/>
    <w:rsid w:val="002514A6"/>
    <w:rsid w:val="00272FAF"/>
    <w:rsid w:val="00277536"/>
    <w:rsid w:val="00291DF4"/>
    <w:rsid w:val="002924D0"/>
    <w:rsid w:val="00293019"/>
    <w:rsid w:val="002957B5"/>
    <w:rsid w:val="002A1997"/>
    <w:rsid w:val="002A347B"/>
    <w:rsid w:val="002A5AE5"/>
    <w:rsid w:val="002A64A9"/>
    <w:rsid w:val="002B2422"/>
    <w:rsid w:val="002B443D"/>
    <w:rsid w:val="002B68AF"/>
    <w:rsid w:val="002B76F3"/>
    <w:rsid w:val="002C0E53"/>
    <w:rsid w:val="002C1015"/>
    <w:rsid w:val="002C2E75"/>
    <w:rsid w:val="002C5C87"/>
    <w:rsid w:val="002D563F"/>
    <w:rsid w:val="002E2E73"/>
    <w:rsid w:val="002E4935"/>
    <w:rsid w:val="002F4612"/>
    <w:rsid w:val="003056DE"/>
    <w:rsid w:val="00306494"/>
    <w:rsid w:val="00306F3C"/>
    <w:rsid w:val="003169FC"/>
    <w:rsid w:val="00316D0C"/>
    <w:rsid w:val="003177B6"/>
    <w:rsid w:val="00320ED0"/>
    <w:rsid w:val="00330861"/>
    <w:rsid w:val="00333134"/>
    <w:rsid w:val="00336659"/>
    <w:rsid w:val="00345B05"/>
    <w:rsid w:val="00350DE0"/>
    <w:rsid w:val="003577A2"/>
    <w:rsid w:val="0037025E"/>
    <w:rsid w:val="00373C81"/>
    <w:rsid w:val="003767FD"/>
    <w:rsid w:val="00380530"/>
    <w:rsid w:val="00390350"/>
    <w:rsid w:val="00393A76"/>
    <w:rsid w:val="00395B6D"/>
    <w:rsid w:val="0039615A"/>
    <w:rsid w:val="003A159D"/>
    <w:rsid w:val="003A4DB8"/>
    <w:rsid w:val="003A59C9"/>
    <w:rsid w:val="003A5BE3"/>
    <w:rsid w:val="003B73BE"/>
    <w:rsid w:val="003C57A8"/>
    <w:rsid w:val="003D5573"/>
    <w:rsid w:val="003D63A8"/>
    <w:rsid w:val="003E0E99"/>
    <w:rsid w:val="003E5A8B"/>
    <w:rsid w:val="003F0119"/>
    <w:rsid w:val="003F0866"/>
    <w:rsid w:val="003F0B8E"/>
    <w:rsid w:val="004068F3"/>
    <w:rsid w:val="00413E20"/>
    <w:rsid w:val="00421635"/>
    <w:rsid w:val="0043053E"/>
    <w:rsid w:val="004375DF"/>
    <w:rsid w:val="004428A4"/>
    <w:rsid w:val="00455CFF"/>
    <w:rsid w:val="00456F8D"/>
    <w:rsid w:val="00457908"/>
    <w:rsid w:val="004579A9"/>
    <w:rsid w:val="0046190D"/>
    <w:rsid w:val="00461E1D"/>
    <w:rsid w:val="004625E3"/>
    <w:rsid w:val="0046722E"/>
    <w:rsid w:val="00471A80"/>
    <w:rsid w:val="00471F4E"/>
    <w:rsid w:val="004747B4"/>
    <w:rsid w:val="00474D41"/>
    <w:rsid w:val="00474DB6"/>
    <w:rsid w:val="00490807"/>
    <w:rsid w:val="0049574C"/>
    <w:rsid w:val="0049626E"/>
    <w:rsid w:val="004A05A2"/>
    <w:rsid w:val="004A53E1"/>
    <w:rsid w:val="004A5F83"/>
    <w:rsid w:val="004A7FBB"/>
    <w:rsid w:val="004B25E5"/>
    <w:rsid w:val="004B39C9"/>
    <w:rsid w:val="004C4F4B"/>
    <w:rsid w:val="004D060E"/>
    <w:rsid w:val="004D5AF0"/>
    <w:rsid w:val="004E0155"/>
    <w:rsid w:val="004E5AF4"/>
    <w:rsid w:val="004F3592"/>
    <w:rsid w:val="004F3A88"/>
    <w:rsid w:val="004F4917"/>
    <w:rsid w:val="004F5347"/>
    <w:rsid w:val="004F6B43"/>
    <w:rsid w:val="004F71EA"/>
    <w:rsid w:val="004F7369"/>
    <w:rsid w:val="00502689"/>
    <w:rsid w:val="00505342"/>
    <w:rsid w:val="00507452"/>
    <w:rsid w:val="00511E14"/>
    <w:rsid w:val="00513D41"/>
    <w:rsid w:val="00525893"/>
    <w:rsid w:val="005270D4"/>
    <w:rsid w:val="005273FF"/>
    <w:rsid w:val="00536076"/>
    <w:rsid w:val="00543756"/>
    <w:rsid w:val="005477D8"/>
    <w:rsid w:val="0055223A"/>
    <w:rsid w:val="0055368F"/>
    <w:rsid w:val="0055695C"/>
    <w:rsid w:val="00557AC5"/>
    <w:rsid w:val="005628AF"/>
    <w:rsid w:val="00565909"/>
    <w:rsid w:val="005671B3"/>
    <w:rsid w:val="00572478"/>
    <w:rsid w:val="005731FA"/>
    <w:rsid w:val="00574043"/>
    <w:rsid w:val="0057763B"/>
    <w:rsid w:val="00583AEE"/>
    <w:rsid w:val="00584400"/>
    <w:rsid w:val="005922AB"/>
    <w:rsid w:val="00593D15"/>
    <w:rsid w:val="00594960"/>
    <w:rsid w:val="005A3908"/>
    <w:rsid w:val="005A4648"/>
    <w:rsid w:val="005A6AB7"/>
    <w:rsid w:val="005B002B"/>
    <w:rsid w:val="005B73DA"/>
    <w:rsid w:val="005C0997"/>
    <w:rsid w:val="005C4442"/>
    <w:rsid w:val="005D07F3"/>
    <w:rsid w:val="005E1F07"/>
    <w:rsid w:val="005F21FD"/>
    <w:rsid w:val="005F29AA"/>
    <w:rsid w:val="005F45D9"/>
    <w:rsid w:val="005F5D12"/>
    <w:rsid w:val="00611C9D"/>
    <w:rsid w:val="00613D4B"/>
    <w:rsid w:val="0061438D"/>
    <w:rsid w:val="0062224F"/>
    <w:rsid w:val="00625CC6"/>
    <w:rsid w:val="006335AF"/>
    <w:rsid w:val="00651A9B"/>
    <w:rsid w:val="00662E57"/>
    <w:rsid w:val="0066451E"/>
    <w:rsid w:val="006659F5"/>
    <w:rsid w:val="00666B10"/>
    <w:rsid w:val="00672902"/>
    <w:rsid w:val="00676BE8"/>
    <w:rsid w:val="00677DD2"/>
    <w:rsid w:val="006847AD"/>
    <w:rsid w:val="00693DC4"/>
    <w:rsid w:val="00694B04"/>
    <w:rsid w:val="006A4C8F"/>
    <w:rsid w:val="006B0B7A"/>
    <w:rsid w:val="006B1B89"/>
    <w:rsid w:val="006C2037"/>
    <w:rsid w:val="006C29E9"/>
    <w:rsid w:val="006C4B2A"/>
    <w:rsid w:val="006C54CC"/>
    <w:rsid w:val="006D0F42"/>
    <w:rsid w:val="006D1F6C"/>
    <w:rsid w:val="006D2D1A"/>
    <w:rsid w:val="006D6CFB"/>
    <w:rsid w:val="006E0EFC"/>
    <w:rsid w:val="006E3000"/>
    <w:rsid w:val="006F6467"/>
    <w:rsid w:val="007047F4"/>
    <w:rsid w:val="00705255"/>
    <w:rsid w:val="00705B6E"/>
    <w:rsid w:val="007073E7"/>
    <w:rsid w:val="007203CF"/>
    <w:rsid w:val="00722521"/>
    <w:rsid w:val="00726E23"/>
    <w:rsid w:val="0073039A"/>
    <w:rsid w:val="0073096D"/>
    <w:rsid w:val="0073283A"/>
    <w:rsid w:val="00751830"/>
    <w:rsid w:val="007531C9"/>
    <w:rsid w:val="00757285"/>
    <w:rsid w:val="00757B9E"/>
    <w:rsid w:val="0076514E"/>
    <w:rsid w:val="00786D59"/>
    <w:rsid w:val="00786E28"/>
    <w:rsid w:val="00790962"/>
    <w:rsid w:val="007A62C4"/>
    <w:rsid w:val="007B06AC"/>
    <w:rsid w:val="007B0E6D"/>
    <w:rsid w:val="007B63CC"/>
    <w:rsid w:val="007C0F2D"/>
    <w:rsid w:val="007C181F"/>
    <w:rsid w:val="007C673C"/>
    <w:rsid w:val="007D0E1D"/>
    <w:rsid w:val="007D3678"/>
    <w:rsid w:val="007D57C5"/>
    <w:rsid w:val="007E35EF"/>
    <w:rsid w:val="007E64D1"/>
    <w:rsid w:val="007F60EC"/>
    <w:rsid w:val="00805FA1"/>
    <w:rsid w:val="008070F3"/>
    <w:rsid w:val="008109C6"/>
    <w:rsid w:val="00820EFA"/>
    <w:rsid w:val="008220DF"/>
    <w:rsid w:val="008259DB"/>
    <w:rsid w:val="00826A9C"/>
    <w:rsid w:val="008322BB"/>
    <w:rsid w:val="00836C24"/>
    <w:rsid w:val="008418CA"/>
    <w:rsid w:val="00845603"/>
    <w:rsid w:val="00845AC3"/>
    <w:rsid w:val="0085373A"/>
    <w:rsid w:val="00862364"/>
    <w:rsid w:val="00865593"/>
    <w:rsid w:val="008674B3"/>
    <w:rsid w:val="00867900"/>
    <w:rsid w:val="0087140A"/>
    <w:rsid w:val="00875674"/>
    <w:rsid w:val="0088062C"/>
    <w:rsid w:val="008808FC"/>
    <w:rsid w:val="00884D62"/>
    <w:rsid w:val="00891BE2"/>
    <w:rsid w:val="008962DB"/>
    <w:rsid w:val="008A10B1"/>
    <w:rsid w:val="008B1271"/>
    <w:rsid w:val="008C064A"/>
    <w:rsid w:val="008C0B6E"/>
    <w:rsid w:val="008C448C"/>
    <w:rsid w:val="008C5E5C"/>
    <w:rsid w:val="008D052B"/>
    <w:rsid w:val="008D37E2"/>
    <w:rsid w:val="008D5D4C"/>
    <w:rsid w:val="008E2DC2"/>
    <w:rsid w:val="008E3B22"/>
    <w:rsid w:val="008E4041"/>
    <w:rsid w:val="008E4FF7"/>
    <w:rsid w:val="008E71C3"/>
    <w:rsid w:val="008F2AC6"/>
    <w:rsid w:val="008F3F2C"/>
    <w:rsid w:val="008F4C65"/>
    <w:rsid w:val="009007C8"/>
    <w:rsid w:val="009030B0"/>
    <w:rsid w:val="009067F9"/>
    <w:rsid w:val="00911D48"/>
    <w:rsid w:val="009150A5"/>
    <w:rsid w:val="0092193A"/>
    <w:rsid w:val="00922A2A"/>
    <w:rsid w:val="00923DC4"/>
    <w:rsid w:val="00926F10"/>
    <w:rsid w:val="00930639"/>
    <w:rsid w:val="009642F3"/>
    <w:rsid w:val="00972721"/>
    <w:rsid w:val="00973FBF"/>
    <w:rsid w:val="00974F89"/>
    <w:rsid w:val="00976388"/>
    <w:rsid w:val="00983E09"/>
    <w:rsid w:val="00985001"/>
    <w:rsid w:val="0098549C"/>
    <w:rsid w:val="0098649E"/>
    <w:rsid w:val="009970B6"/>
    <w:rsid w:val="009A7500"/>
    <w:rsid w:val="009B181D"/>
    <w:rsid w:val="009B4CA4"/>
    <w:rsid w:val="009B591E"/>
    <w:rsid w:val="009C0007"/>
    <w:rsid w:val="009C600D"/>
    <w:rsid w:val="009D5B81"/>
    <w:rsid w:val="009F1296"/>
    <w:rsid w:val="00A017DB"/>
    <w:rsid w:val="00A03D16"/>
    <w:rsid w:val="00A12AD8"/>
    <w:rsid w:val="00A1605C"/>
    <w:rsid w:val="00A16F8C"/>
    <w:rsid w:val="00A17315"/>
    <w:rsid w:val="00A174BC"/>
    <w:rsid w:val="00A2079B"/>
    <w:rsid w:val="00A2176B"/>
    <w:rsid w:val="00A25B43"/>
    <w:rsid w:val="00A312F2"/>
    <w:rsid w:val="00A359A7"/>
    <w:rsid w:val="00A36DB9"/>
    <w:rsid w:val="00A40469"/>
    <w:rsid w:val="00A40AE1"/>
    <w:rsid w:val="00A40D31"/>
    <w:rsid w:val="00A426B6"/>
    <w:rsid w:val="00A430B4"/>
    <w:rsid w:val="00A437B0"/>
    <w:rsid w:val="00A46BA6"/>
    <w:rsid w:val="00A47105"/>
    <w:rsid w:val="00A60E9F"/>
    <w:rsid w:val="00A61849"/>
    <w:rsid w:val="00A626D2"/>
    <w:rsid w:val="00A63F27"/>
    <w:rsid w:val="00A660AA"/>
    <w:rsid w:val="00A7042D"/>
    <w:rsid w:val="00A7162C"/>
    <w:rsid w:val="00A71E2A"/>
    <w:rsid w:val="00A76C85"/>
    <w:rsid w:val="00A77776"/>
    <w:rsid w:val="00A808D2"/>
    <w:rsid w:val="00A86761"/>
    <w:rsid w:val="00A87828"/>
    <w:rsid w:val="00A91059"/>
    <w:rsid w:val="00A946FF"/>
    <w:rsid w:val="00A961A5"/>
    <w:rsid w:val="00A96F5F"/>
    <w:rsid w:val="00AA0D73"/>
    <w:rsid w:val="00AA3B06"/>
    <w:rsid w:val="00AA488D"/>
    <w:rsid w:val="00AA492B"/>
    <w:rsid w:val="00AA6FAE"/>
    <w:rsid w:val="00AB06E0"/>
    <w:rsid w:val="00AB2C7B"/>
    <w:rsid w:val="00AB352B"/>
    <w:rsid w:val="00AB3B94"/>
    <w:rsid w:val="00AB5158"/>
    <w:rsid w:val="00AB653B"/>
    <w:rsid w:val="00AC0C21"/>
    <w:rsid w:val="00AC191F"/>
    <w:rsid w:val="00AC3E98"/>
    <w:rsid w:val="00AD054F"/>
    <w:rsid w:val="00AE0829"/>
    <w:rsid w:val="00AE08C4"/>
    <w:rsid w:val="00AE1D06"/>
    <w:rsid w:val="00AE2729"/>
    <w:rsid w:val="00AF1C6B"/>
    <w:rsid w:val="00B00B4A"/>
    <w:rsid w:val="00B036AE"/>
    <w:rsid w:val="00B06B96"/>
    <w:rsid w:val="00B12191"/>
    <w:rsid w:val="00B16B72"/>
    <w:rsid w:val="00B227CB"/>
    <w:rsid w:val="00B233B6"/>
    <w:rsid w:val="00B244CF"/>
    <w:rsid w:val="00B27BD7"/>
    <w:rsid w:val="00B348D9"/>
    <w:rsid w:val="00B42739"/>
    <w:rsid w:val="00B460A4"/>
    <w:rsid w:val="00B5033C"/>
    <w:rsid w:val="00B5285D"/>
    <w:rsid w:val="00B53C4A"/>
    <w:rsid w:val="00B6005E"/>
    <w:rsid w:val="00B60406"/>
    <w:rsid w:val="00B6118D"/>
    <w:rsid w:val="00B635A7"/>
    <w:rsid w:val="00B67229"/>
    <w:rsid w:val="00B70F1A"/>
    <w:rsid w:val="00B732D3"/>
    <w:rsid w:val="00B801F7"/>
    <w:rsid w:val="00B839E9"/>
    <w:rsid w:val="00B861A7"/>
    <w:rsid w:val="00B863A8"/>
    <w:rsid w:val="00B87571"/>
    <w:rsid w:val="00B94046"/>
    <w:rsid w:val="00B95728"/>
    <w:rsid w:val="00B96489"/>
    <w:rsid w:val="00B97F1E"/>
    <w:rsid w:val="00B97FDE"/>
    <w:rsid w:val="00BA1A55"/>
    <w:rsid w:val="00BA314F"/>
    <w:rsid w:val="00BA57B4"/>
    <w:rsid w:val="00BA69C4"/>
    <w:rsid w:val="00BC0AD7"/>
    <w:rsid w:val="00BC2700"/>
    <w:rsid w:val="00BC3294"/>
    <w:rsid w:val="00BC475D"/>
    <w:rsid w:val="00BC76FE"/>
    <w:rsid w:val="00BD0197"/>
    <w:rsid w:val="00BE1783"/>
    <w:rsid w:val="00BF0903"/>
    <w:rsid w:val="00BF26A3"/>
    <w:rsid w:val="00C04228"/>
    <w:rsid w:val="00C05468"/>
    <w:rsid w:val="00C0570F"/>
    <w:rsid w:val="00C06BD7"/>
    <w:rsid w:val="00C10EF2"/>
    <w:rsid w:val="00C1620D"/>
    <w:rsid w:val="00C222D5"/>
    <w:rsid w:val="00C319C3"/>
    <w:rsid w:val="00C4375C"/>
    <w:rsid w:val="00C43EB9"/>
    <w:rsid w:val="00C51AF9"/>
    <w:rsid w:val="00C53411"/>
    <w:rsid w:val="00C56B69"/>
    <w:rsid w:val="00C610FE"/>
    <w:rsid w:val="00C66512"/>
    <w:rsid w:val="00C6659F"/>
    <w:rsid w:val="00C70458"/>
    <w:rsid w:val="00C73B21"/>
    <w:rsid w:val="00C743F0"/>
    <w:rsid w:val="00C74CC0"/>
    <w:rsid w:val="00C753BF"/>
    <w:rsid w:val="00C8276B"/>
    <w:rsid w:val="00C82EAB"/>
    <w:rsid w:val="00C91BCD"/>
    <w:rsid w:val="00C93669"/>
    <w:rsid w:val="00C945D8"/>
    <w:rsid w:val="00C95AF3"/>
    <w:rsid w:val="00CA48E8"/>
    <w:rsid w:val="00CB1B42"/>
    <w:rsid w:val="00CB40CB"/>
    <w:rsid w:val="00CC10EA"/>
    <w:rsid w:val="00CC1251"/>
    <w:rsid w:val="00CC3E04"/>
    <w:rsid w:val="00CC44C0"/>
    <w:rsid w:val="00CD359B"/>
    <w:rsid w:val="00CD61EE"/>
    <w:rsid w:val="00CD6F57"/>
    <w:rsid w:val="00CF2537"/>
    <w:rsid w:val="00CF4BBC"/>
    <w:rsid w:val="00CF7510"/>
    <w:rsid w:val="00D027B2"/>
    <w:rsid w:val="00D04E73"/>
    <w:rsid w:val="00D14280"/>
    <w:rsid w:val="00D214EF"/>
    <w:rsid w:val="00D24EE8"/>
    <w:rsid w:val="00D31680"/>
    <w:rsid w:val="00D32007"/>
    <w:rsid w:val="00D373E6"/>
    <w:rsid w:val="00D434AD"/>
    <w:rsid w:val="00D61FF6"/>
    <w:rsid w:val="00D70859"/>
    <w:rsid w:val="00D716CE"/>
    <w:rsid w:val="00D7395F"/>
    <w:rsid w:val="00D75876"/>
    <w:rsid w:val="00D7622E"/>
    <w:rsid w:val="00D81916"/>
    <w:rsid w:val="00D85F5B"/>
    <w:rsid w:val="00D87C40"/>
    <w:rsid w:val="00D93BA0"/>
    <w:rsid w:val="00D97C9C"/>
    <w:rsid w:val="00DA601E"/>
    <w:rsid w:val="00DB12E9"/>
    <w:rsid w:val="00DB2D9A"/>
    <w:rsid w:val="00DB5170"/>
    <w:rsid w:val="00DC20E4"/>
    <w:rsid w:val="00DC33D3"/>
    <w:rsid w:val="00DC7B80"/>
    <w:rsid w:val="00DE21A6"/>
    <w:rsid w:val="00DE340E"/>
    <w:rsid w:val="00E030D1"/>
    <w:rsid w:val="00E05C32"/>
    <w:rsid w:val="00E06A30"/>
    <w:rsid w:val="00E14121"/>
    <w:rsid w:val="00E15AF0"/>
    <w:rsid w:val="00E213C4"/>
    <w:rsid w:val="00E21B2A"/>
    <w:rsid w:val="00E274FB"/>
    <w:rsid w:val="00E452C8"/>
    <w:rsid w:val="00E45B30"/>
    <w:rsid w:val="00E53DBC"/>
    <w:rsid w:val="00E558DD"/>
    <w:rsid w:val="00E55914"/>
    <w:rsid w:val="00E6265D"/>
    <w:rsid w:val="00E759B1"/>
    <w:rsid w:val="00E75D50"/>
    <w:rsid w:val="00E84019"/>
    <w:rsid w:val="00E8753F"/>
    <w:rsid w:val="00E92448"/>
    <w:rsid w:val="00E944E1"/>
    <w:rsid w:val="00E958D3"/>
    <w:rsid w:val="00EA5771"/>
    <w:rsid w:val="00EA7F0F"/>
    <w:rsid w:val="00EB1A30"/>
    <w:rsid w:val="00EB3BFA"/>
    <w:rsid w:val="00EC5A91"/>
    <w:rsid w:val="00EC7CCC"/>
    <w:rsid w:val="00ED31A4"/>
    <w:rsid w:val="00ED51D3"/>
    <w:rsid w:val="00EE0A4A"/>
    <w:rsid w:val="00EE538B"/>
    <w:rsid w:val="00F051D8"/>
    <w:rsid w:val="00F05F40"/>
    <w:rsid w:val="00F06BBC"/>
    <w:rsid w:val="00F10740"/>
    <w:rsid w:val="00F11E20"/>
    <w:rsid w:val="00F161A9"/>
    <w:rsid w:val="00F175F0"/>
    <w:rsid w:val="00F22A13"/>
    <w:rsid w:val="00F243CB"/>
    <w:rsid w:val="00F2799B"/>
    <w:rsid w:val="00F31E21"/>
    <w:rsid w:val="00F4284F"/>
    <w:rsid w:val="00F43667"/>
    <w:rsid w:val="00F46F80"/>
    <w:rsid w:val="00F5025C"/>
    <w:rsid w:val="00F51CE9"/>
    <w:rsid w:val="00F535D3"/>
    <w:rsid w:val="00F56630"/>
    <w:rsid w:val="00F62DA9"/>
    <w:rsid w:val="00F7289B"/>
    <w:rsid w:val="00F869A8"/>
    <w:rsid w:val="00F900D6"/>
    <w:rsid w:val="00F93EC0"/>
    <w:rsid w:val="00FA2F3C"/>
    <w:rsid w:val="00FA4DA7"/>
    <w:rsid w:val="00FA7EBC"/>
    <w:rsid w:val="00FB3949"/>
    <w:rsid w:val="00FB5EB7"/>
    <w:rsid w:val="00FB7798"/>
    <w:rsid w:val="00FC02AA"/>
    <w:rsid w:val="00FC6841"/>
    <w:rsid w:val="00FD3B7C"/>
    <w:rsid w:val="00FD5DC3"/>
    <w:rsid w:val="00FD743A"/>
    <w:rsid w:val="00FE32DC"/>
    <w:rsid w:val="00FE4164"/>
    <w:rsid w:val="00FE710F"/>
    <w:rsid w:val="0100390C"/>
    <w:rsid w:val="01017C11"/>
    <w:rsid w:val="01040EDD"/>
    <w:rsid w:val="01063A10"/>
    <w:rsid w:val="010E2123"/>
    <w:rsid w:val="011C65E1"/>
    <w:rsid w:val="012128C6"/>
    <w:rsid w:val="01345E86"/>
    <w:rsid w:val="01395B91"/>
    <w:rsid w:val="013A51B2"/>
    <w:rsid w:val="013C56E1"/>
    <w:rsid w:val="013C58A6"/>
    <w:rsid w:val="014903A9"/>
    <w:rsid w:val="014B08FF"/>
    <w:rsid w:val="01527EDF"/>
    <w:rsid w:val="015343D8"/>
    <w:rsid w:val="01537940"/>
    <w:rsid w:val="01546DB9"/>
    <w:rsid w:val="01551C3E"/>
    <w:rsid w:val="01593EC7"/>
    <w:rsid w:val="016043AA"/>
    <w:rsid w:val="01626D55"/>
    <w:rsid w:val="01643005"/>
    <w:rsid w:val="016A15A4"/>
    <w:rsid w:val="017930F7"/>
    <w:rsid w:val="01831488"/>
    <w:rsid w:val="0183728A"/>
    <w:rsid w:val="018441D7"/>
    <w:rsid w:val="0186020E"/>
    <w:rsid w:val="01885910"/>
    <w:rsid w:val="018B6894"/>
    <w:rsid w:val="01A142BB"/>
    <w:rsid w:val="01B12592"/>
    <w:rsid w:val="01B2400A"/>
    <w:rsid w:val="01B93EE0"/>
    <w:rsid w:val="01B95F87"/>
    <w:rsid w:val="01C17A5F"/>
    <w:rsid w:val="01C744FB"/>
    <w:rsid w:val="01CC0983"/>
    <w:rsid w:val="01D6426F"/>
    <w:rsid w:val="01DF3D6A"/>
    <w:rsid w:val="01DF5C17"/>
    <w:rsid w:val="01EA0118"/>
    <w:rsid w:val="01EB4878"/>
    <w:rsid w:val="01F0403A"/>
    <w:rsid w:val="01F11ABC"/>
    <w:rsid w:val="01F12967"/>
    <w:rsid w:val="01F617C7"/>
    <w:rsid w:val="01F63875"/>
    <w:rsid w:val="01FB1E53"/>
    <w:rsid w:val="01FE6BD3"/>
    <w:rsid w:val="020106AA"/>
    <w:rsid w:val="02021D56"/>
    <w:rsid w:val="021464D1"/>
    <w:rsid w:val="021A2C80"/>
    <w:rsid w:val="0221260B"/>
    <w:rsid w:val="022F5CCA"/>
    <w:rsid w:val="02323BAA"/>
    <w:rsid w:val="02343713"/>
    <w:rsid w:val="023E3E2F"/>
    <w:rsid w:val="02415826"/>
    <w:rsid w:val="02436043"/>
    <w:rsid w:val="025575E2"/>
    <w:rsid w:val="025C0E6F"/>
    <w:rsid w:val="026F6986"/>
    <w:rsid w:val="02760055"/>
    <w:rsid w:val="028213AB"/>
    <w:rsid w:val="028247F4"/>
    <w:rsid w:val="02830946"/>
    <w:rsid w:val="02890D36"/>
    <w:rsid w:val="028A615F"/>
    <w:rsid w:val="029063AF"/>
    <w:rsid w:val="02921645"/>
    <w:rsid w:val="029370C7"/>
    <w:rsid w:val="0294609E"/>
    <w:rsid w:val="029A7D90"/>
    <w:rsid w:val="029C7664"/>
    <w:rsid w:val="029E5458"/>
    <w:rsid w:val="02A105F3"/>
    <w:rsid w:val="02A62291"/>
    <w:rsid w:val="02AC7FF1"/>
    <w:rsid w:val="02B01361"/>
    <w:rsid w:val="02B11EFA"/>
    <w:rsid w:val="02B42E7F"/>
    <w:rsid w:val="02B7449E"/>
    <w:rsid w:val="02B7553D"/>
    <w:rsid w:val="02BE598D"/>
    <w:rsid w:val="02BF1210"/>
    <w:rsid w:val="02C24513"/>
    <w:rsid w:val="02D533B3"/>
    <w:rsid w:val="02DA7F65"/>
    <w:rsid w:val="02F1679D"/>
    <w:rsid w:val="02FC3273"/>
    <w:rsid w:val="02FD0CF5"/>
    <w:rsid w:val="030767A5"/>
    <w:rsid w:val="030B000A"/>
    <w:rsid w:val="030F31CA"/>
    <w:rsid w:val="031841A0"/>
    <w:rsid w:val="031F0B19"/>
    <w:rsid w:val="03272FC0"/>
    <w:rsid w:val="03287ACA"/>
    <w:rsid w:val="03433F84"/>
    <w:rsid w:val="034420A6"/>
    <w:rsid w:val="034D095E"/>
    <w:rsid w:val="035A6E90"/>
    <w:rsid w:val="035B108E"/>
    <w:rsid w:val="036C6DAA"/>
    <w:rsid w:val="036E2742"/>
    <w:rsid w:val="03762F3D"/>
    <w:rsid w:val="037C4E46"/>
    <w:rsid w:val="038B3DDC"/>
    <w:rsid w:val="038E27E2"/>
    <w:rsid w:val="03936C6A"/>
    <w:rsid w:val="039A1E78"/>
    <w:rsid w:val="039B486A"/>
    <w:rsid w:val="03A27284"/>
    <w:rsid w:val="03A8118D"/>
    <w:rsid w:val="03A9588C"/>
    <w:rsid w:val="03B35CEE"/>
    <w:rsid w:val="03B739A6"/>
    <w:rsid w:val="03C055D4"/>
    <w:rsid w:val="03C377B9"/>
    <w:rsid w:val="03C73C40"/>
    <w:rsid w:val="03CA4BC5"/>
    <w:rsid w:val="03CC3F79"/>
    <w:rsid w:val="03CE35CB"/>
    <w:rsid w:val="03D02352"/>
    <w:rsid w:val="03D25139"/>
    <w:rsid w:val="03D332D6"/>
    <w:rsid w:val="03DD0363"/>
    <w:rsid w:val="03E05C76"/>
    <w:rsid w:val="03E272F9"/>
    <w:rsid w:val="03EA08A3"/>
    <w:rsid w:val="03EE1054"/>
    <w:rsid w:val="03EF3B00"/>
    <w:rsid w:val="03FE6319"/>
    <w:rsid w:val="04071455"/>
    <w:rsid w:val="04093F5E"/>
    <w:rsid w:val="040E4592"/>
    <w:rsid w:val="04123592"/>
    <w:rsid w:val="04157776"/>
    <w:rsid w:val="041F5954"/>
    <w:rsid w:val="042774DD"/>
    <w:rsid w:val="043B617E"/>
    <w:rsid w:val="043F4B84"/>
    <w:rsid w:val="04410087"/>
    <w:rsid w:val="044506EF"/>
    <w:rsid w:val="04475814"/>
    <w:rsid w:val="044E739D"/>
    <w:rsid w:val="044F2C20"/>
    <w:rsid w:val="04547CC8"/>
    <w:rsid w:val="04603FE3"/>
    <w:rsid w:val="04621AE7"/>
    <w:rsid w:val="04657F2A"/>
    <w:rsid w:val="046837CA"/>
    <w:rsid w:val="04694FAB"/>
    <w:rsid w:val="046E652C"/>
    <w:rsid w:val="04730378"/>
    <w:rsid w:val="0482615E"/>
    <w:rsid w:val="048604A0"/>
    <w:rsid w:val="04885DC4"/>
    <w:rsid w:val="049F343C"/>
    <w:rsid w:val="04A3012C"/>
    <w:rsid w:val="04A47E89"/>
    <w:rsid w:val="04B17441"/>
    <w:rsid w:val="04B40640"/>
    <w:rsid w:val="04B52122"/>
    <w:rsid w:val="04BC79D1"/>
    <w:rsid w:val="04BD5452"/>
    <w:rsid w:val="04C176DC"/>
    <w:rsid w:val="04C67D42"/>
    <w:rsid w:val="04D10807"/>
    <w:rsid w:val="04D32E79"/>
    <w:rsid w:val="04D423DC"/>
    <w:rsid w:val="04DC643E"/>
    <w:rsid w:val="04E64D49"/>
    <w:rsid w:val="04F50E2F"/>
    <w:rsid w:val="04FC43EA"/>
    <w:rsid w:val="050510CA"/>
    <w:rsid w:val="050B3192"/>
    <w:rsid w:val="050F05C1"/>
    <w:rsid w:val="05185A9A"/>
    <w:rsid w:val="051922E9"/>
    <w:rsid w:val="051D2B72"/>
    <w:rsid w:val="052076F5"/>
    <w:rsid w:val="052460FB"/>
    <w:rsid w:val="0525372B"/>
    <w:rsid w:val="052D480C"/>
    <w:rsid w:val="0531798F"/>
    <w:rsid w:val="05405A2B"/>
    <w:rsid w:val="054134AD"/>
    <w:rsid w:val="0549003C"/>
    <w:rsid w:val="0555214E"/>
    <w:rsid w:val="055D755A"/>
    <w:rsid w:val="05616943"/>
    <w:rsid w:val="05646EE5"/>
    <w:rsid w:val="056501EA"/>
    <w:rsid w:val="056A64DA"/>
    <w:rsid w:val="057E271C"/>
    <w:rsid w:val="05814297"/>
    <w:rsid w:val="058916A3"/>
    <w:rsid w:val="059672FF"/>
    <w:rsid w:val="05972BB7"/>
    <w:rsid w:val="05976809"/>
    <w:rsid w:val="059E5C45"/>
    <w:rsid w:val="05BA4024"/>
    <w:rsid w:val="05BD3DFF"/>
    <w:rsid w:val="05C017FD"/>
    <w:rsid w:val="05C649F8"/>
    <w:rsid w:val="05C71188"/>
    <w:rsid w:val="05C86C09"/>
    <w:rsid w:val="05D22D9C"/>
    <w:rsid w:val="05EC5B44"/>
    <w:rsid w:val="05F27A4D"/>
    <w:rsid w:val="05FC4CED"/>
    <w:rsid w:val="06056A6E"/>
    <w:rsid w:val="06057482"/>
    <w:rsid w:val="062A31D9"/>
    <w:rsid w:val="06343D3A"/>
    <w:rsid w:val="06385363"/>
    <w:rsid w:val="063B5CF5"/>
    <w:rsid w:val="06540256"/>
    <w:rsid w:val="065751F3"/>
    <w:rsid w:val="06604E4C"/>
    <w:rsid w:val="06651DE5"/>
    <w:rsid w:val="06674FF7"/>
    <w:rsid w:val="066B5CCB"/>
    <w:rsid w:val="068176BD"/>
    <w:rsid w:val="06844DBE"/>
    <w:rsid w:val="06945058"/>
    <w:rsid w:val="069B49E3"/>
    <w:rsid w:val="06A50DBA"/>
    <w:rsid w:val="06AE7966"/>
    <w:rsid w:val="06B27E8C"/>
    <w:rsid w:val="06B351CA"/>
    <w:rsid w:val="06F01EEF"/>
    <w:rsid w:val="06F118E3"/>
    <w:rsid w:val="06F17970"/>
    <w:rsid w:val="06F32700"/>
    <w:rsid w:val="06F32E73"/>
    <w:rsid w:val="070178BC"/>
    <w:rsid w:val="071333A8"/>
    <w:rsid w:val="07133C6D"/>
    <w:rsid w:val="0715212E"/>
    <w:rsid w:val="071F71BB"/>
    <w:rsid w:val="0744651C"/>
    <w:rsid w:val="07463240"/>
    <w:rsid w:val="07681257"/>
    <w:rsid w:val="07683FB9"/>
    <w:rsid w:val="07696335"/>
    <w:rsid w:val="076D4D3B"/>
    <w:rsid w:val="0773068B"/>
    <w:rsid w:val="077327DD"/>
    <w:rsid w:val="077A1E53"/>
    <w:rsid w:val="077A53ED"/>
    <w:rsid w:val="077B1AD3"/>
    <w:rsid w:val="078116FE"/>
    <w:rsid w:val="07844961"/>
    <w:rsid w:val="078758E5"/>
    <w:rsid w:val="078864AF"/>
    <w:rsid w:val="078C1D6D"/>
    <w:rsid w:val="07A86DA7"/>
    <w:rsid w:val="07C02605"/>
    <w:rsid w:val="07C21A78"/>
    <w:rsid w:val="07C25677"/>
    <w:rsid w:val="07C40877"/>
    <w:rsid w:val="07C934C7"/>
    <w:rsid w:val="07CF7DE9"/>
    <w:rsid w:val="07D02862"/>
    <w:rsid w:val="07D43A08"/>
    <w:rsid w:val="07DD5D59"/>
    <w:rsid w:val="07E01DA1"/>
    <w:rsid w:val="07E06583"/>
    <w:rsid w:val="07E6312F"/>
    <w:rsid w:val="07E84685"/>
    <w:rsid w:val="07F02B0B"/>
    <w:rsid w:val="07FB307F"/>
    <w:rsid w:val="07FC127D"/>
    <w:rsid w:val="07FD0DA7"/>
    <w:rsid w:val="08006F3A"/>
    <w:rsid w:val="080752BC"/>
    <w:rsid w:val="080B4BB4"/>
    <w:rsid w:val="0814576B"/>
    <w:rsid w:val="08191B97"/>
    <w:rsid w:val="08233BED"/>
    <w:rsid w:val="08271162"/>
    <w:rsid w:val="082F4DFA"/>
    <w:rsid w:val="08346591"/>
    <w:rsid w:val="083A4AFC"/>
    <w:rsid w:val="083B2AA6"/>
    <w:rsid w:val="083E11BD"/>
    <w:rsid w:val="083E7612"/>
    <w:rsid w:val="08420D6D"/>
    <w:rsid w:val="084837A5"/>
    <w:rsid w:val="084859A3"/>
    <w:rsid w:val="084C21AB"/>
    <w:rsid w:val="084D1E2B"/>
    <w:rsid w:val="08564BF9"/>
    <w:rsid w:val="085F7B47"/>
    <w:rsid w:val="08645189"/>
    <w:rsid w:val="08712E62"/>
    <w:rsid w:val="087D0FEB"/>
    <w:rsid w:val="08832305"/>
    <w:rsid w:val="08845B88"/>
    <w:rsid w:val="088D18EE"/>
    <w:rsid w:val="088F0CB1"/>
    <w:rsid w:val="08961326"/>
    <w:rsid w:val="089D5EE4"/>
    <w:rsid w:val="089E0239"/>
    <w:rsid w:val="089E626B"/>
    <w:rsid w:val="089F3A0D"/>
    <w:rsid w:val="08AB5A48"/>
    <w:rsid w:val="08AC7C46"/>
    <w:rsid w:val="08CA47FF"/>
    <w:rsid w:val="08D534CE"/>
    <w:rsid w:val="08D6430E"/>
    <w:rsid w:val="08D95292"/>
    <w:rsid w:val="08E568B3"/>
    <w:rsid w:val="08E97AAB"/>
    <w:rsid w:val="08EA2FAE"/>
    <w:rsid w:val="09021F16"/>
    <w:rsid w:val="09023F99"/>
    <w:rsid w:val="09092322"/>
    <w:rsid w:val="090D306A"/>
    <w:rsid w:val="09110C6F"/>
    <w:rsid w:val="091A6C9B"/>
    <w:rsid w:val="091C58DC"/>
    <w:rsid w:val="091D420B"/>
    <w:rsid w:val="0923440D"/>
    <w:rsid w:val="09246605"/>
    <w:rsid w:val="09261B0E"/>
    <w:rsid w:val="09271496"/>
    <w:rsid w:val="09342499"/>
    <w:rsid w:val="09360DB1"/>
    <w:rsid w:val="093F0D49"/>
    <w:rsid w:val="094A684B"/>
    <w:rsid w:val="09572C5B"/>
    <w:rsid w:val="09584B84"/>
    <w:rsid w:val="095C65F1"/>
    <w:rsid w:val="095F28AF"/>
    <w:rsid w:val="09610215"/>
    <w:rsid w:val="09641454"/>
    <w:rsid w:val="09646A02"/>
    <w:rsid w:val="09821693"/>
    <w:rsid w:val="09837A31"/>
    <w:rsid w:val="09880BAD"/>
    <w:rsid w:val="098A25EA"/>
    <w:rsid w:val="0992728E"/>
    <w:rsid w:val="09957BC4"/>
    <w:rsid w:val="099E00E7"/>
    <w:rsid w:val="09A7560F"/>
    <w:rsid w:val="09A84247"/>
    <w:rsid w:val="09B07029"/>
    <w:rsid w:val="09B66248"/>
    <w:rsid w:val="09B67AED"/>
    <w:rsid w:val="09BA2382"/>
    <w:rsid w:val="09C01D0D"/>
    <w:rsid w:val="09C87119"/>
    <w:rsid w:val="09CF2327"/>
    <w:rsid w:val="09D07DA9"/>
    <w:rsid w:val="09D354AA"/>
    <w:rsid w:val="09DF6D3E"/>
    <w:rsid w:val="09E544CB"/>
    <w:rsid w:val="09E6593F"/>
    <w:rsid w:val="09E666C9"/>
    <w:rsid w:val="09EE7A29"/>
    <w:rsid w:val="09FC40F0"/>
    <w:rsid w:val="09FE1E4F"/>
    <w:rsid w:val="0A081647"/>
    <w:rsid w:val="0A140428"/>
    <w:rsid w:val="0A17271C"/>
    <w:rsid w:val="0A195A3E"/>
    <w:rsid w:val="0A1B7A08"/>
    <w:rsid w:val="0A1E28E6"/>
    <w:rsid w:val="0A211007"/>
    <w:rsid w:val="0A2C74AD"/>
    <w:rsid w:val="0A36774D"/>
    <w:rsid w:val="0A3B27B5"/>
    <w:rsid w:val="0A3D172D"/>
    <w:rsid w:val="0A452638"/>
    <w:rsid w:val="0A4941EF"/>
    <w:rsid w:val="0A4C5883"/>
    <w:rsid w:val="0A510843"/>
    <w:rsid w:val="0A5436F5"/>
    <w:rsid w:val="0A635323"/>
    <w:rsid w:val="0A696E45"/>
    <w:rsid w:val="0A6C7C27"/>
    <w:rsid w:val="0A6E5D8A"/>
    <w:rsid w:val="0A8068C8"/>
    <w:rsid w:val="0A8452CE"/>
    <w:rsid w:val="0A852D4F"/>
    <w:rsid w:val="0A8F6EE2"/>
    <w:rsid w:val="0A9877F2"/>
    <w:rsid w:val="0AAC55DC"/>
    <w:rsid w:val="0AB12F85"/>
    <w:rsid w:val="0AB2039C"/>
    <w:rsid w:val="0AB317A6"/>
    <w:rsid w:val="0AB614DF"/>
    <w:rsid w:val="0AC27FD5"/>
    <w:rsid w:val="0ACA715B"/>
    <w:rsid w:val="0AD03922"/>
    <w:rsid w:val="0AD153CD"/>
    <w:rsid w:val="0AE53B72"/>
    <w:rsid w:val="0AE5406E"/>
    <w:rsid w:val="0AEC4F3D"/>
    <w:rsid w:val="0AF23BF5"/>
    <w:rsid w:val="0AF366EB"/>
    <w:rsid w:val="0AF40E05"/>
    <w:rsid w:val="0AFE06D6"/>
    <w:rsid w:val="0AFF4B52"/>
    <w:rsid w:val="0B025B9C"/>
    <w:rsid w:val="0B04049C"/>
    <w:rsid w:val="0B0A682C"/>
    <w:rsid w:val="0B1A4079"/>
    <w:rsid w:val="0B2628D9"/>
    <w:rsid w:val="0B3550F2"/>
    <w:rsid w:val="0B3643CE"/>
    <w:rsid w:val="0B50557A"/>
    <w:rsid w:val="0B5843AD"/>
    <w:rsid w:val="0B6636C2"/>
    <w:rsid w:val="0B6A7B4A"/>
    <w:rsid w:val="0B7260DC"/>
    <w:rsid w:val="0B763EF8"/>
    <w:rsid w:val="0B811AED"/>
    <w:rsid w:val="0B9C7D1B"/>
    <w:rsid w:val="0B9E0752"/>
    <w:rsid w:val="0BA35761"/>
    <w:rsid w:val="0BAD28E2"/>
    <w:rsid w:val="0BB467B3"/>
    <w:rsid w:val="0BB53545"/>
    <w:rsid w:val="0BBA2534"/>
    <w:rsid w:val="0BC30B0F"/>
    <w:rsid w:val="0BC55E54"/>
    <w:rsid w:val="0BCD6AE0"/>
    <w:rsid w:val="0BCE4523"/>
    <w:rsid w:val="0BE51A12"/>
    <w:rsid w:val="0BE66B6F"/>
    <w:rsid w:val="0BEA53AC"/>
    <w:rsid w:val="0BED3A3F"/>
    <w:rsid w:val="0BEE438C"/>
    <w:rsid w:val="0BF51D25"/>
    <w:rsid w:val="0BFB3BB6"/>
    <w:rsid w:val="0BFC1F17"/>
    <w:rsid w:val="0C040335"/>
    <w:rsid w:val="0C104C1F"/>
    <w:rsid w:val="0C150ED8"/>
    <w:rsid w:val="0C1621E1"/>
    <w:rsid w:val="0C1E733C"/>
    <w:rsid w:val="0C1F2AF1"/>
    <w:rsid w:val="0C213C96"/>
    <w:rsid w:val="0C281202"/>
    <w:rsid w:val="0C2C5A2F"/>
    <w:rsid w:val="0C2F4ABF"/>
    <w:rsid w:val="0C323D10"/>
    <w:rsid w:val="0C337593"/>
    <w:rsid w:val="0C37636F"/>
    <w:rsid w:val="0C434F9A"/>
    <w:rsid w:val="0C452D30"/>
    <w:rsid w:val="0C49746F"/>
    <w:rsid w:val="0C4C26BB"/>
    <w:rsid w:val="0C5B469B"/>
    <w:rsid w:val="0C5D45FF"/>
    <w:rsid w:val="0C5E598A"/>
    <w:rsid w:val="0C730594"/>
    <w:rsid w:val="0C743400"/>
    <w:rsid w:val="0C7D670E"/>
    <w:rsid w:val="0C8D69A8"/>
    <w:rsid w:val="0C950531"/>
    <w:rsid w:val="0C9A2ECD"/>
    <w:rsid w:val="0C9B5CBE"/>
    <w:rsid w:val="0CAB26D5"/>
    <w:rsid w:val="0CB305A3"/>
    <w:rsid w:val="0CB7521D"/>
    <w:rsid w:val="0CBA4EED"/>
    <w:rsid w:val="0CBD5E72"/>
    <w:rsid w:val="0CCE39B8"/>
    <w:rsid w:val="0CD55B95"/>
    <w:rsid w:val="0CE62C35"/>
    <w:rsid w:val="0CE7033B"/>
    <w:rsid w:val="0CF74D52"/>
    <w:rsid w:val="0D0730CE"/>
    <w:rsid w:val="0D0C0E21"/>
    <w:rsid w:val="0D0F3CB6"/>
    <w:rsid w:val="0D14070E"/>
    <w:rsid w:val="0D1C4972"/>
    <w:rsid w:val="0D1E2A14"/>
    <w:rsid w:val="0D2127FB"/>
    <w:rsid w:val="0D24179B"/>
    <w:rsid w:val="0D2C77AB"/>
    <w:rsid w:val="0D343E89"/>
    <w:rsid w:val="0D395047"/>
    <w:rsid w:val="0D44138A"/>
    <w:rsid w:val="0D471FD0"/>
    <w:rsid w:val="0D483858"/>
    <w:rsid w:val="0D4A7260"/>
    <w:rsid w:val="0D503EA4"/>
    <w:rsid w:val="0D573E72"/>
    <w:rsid w:val="0D5C776E"/>
    <w:rsid w:val="0D6A7113"/>
    <w:rsid w:val="0D6B7889"/>
    <w:rsid w:val="0D720B5D"/>
    <w:rsid w:val="0D731C52"/>
    <w:rsid w:val="0D74395F"/>
    <w:rsid w:val="0D7B3C71"/>
    <w:rsid w:val="0D807235"/>
    <w:rsid w:val="0D857E27"/>
    <w:rsid w:val="0D8A7B44"/>
    <w:rsid w:val="0D8C5246"/>
    <w:rsid w:val="0D9D0BAA"/>
    <w:rsid w:val="0DA925F8"/>
    <w:rsid w:val="0DBA164E"/>
    <w:rsid w:val="0DCC59F1"/>
    <w:rsid w:val="0DD03DAE"/>
    <w:rsid w:val="0DE3413F"/>
    <w:rsid w:val="0DF92677"/>
    <w:rsid w:val="0E0462FA"/>
    <w:rsid w:val="0E0E50EE"/>
    <w:rsid w:val="0E122B6E"/>
    <w:rsid w:val="0E1267A4"/>
    <w:rsid w:val="0E1516DC"/>
    <w:rsid w:val="0E19425F"/>
    <w:rsid w:val="0E280947"/>
    <w:rsid w:val="0E283955"/>
    <w:rsid w:val="0E2B1F99"/>
    <w:rsid w:val="0E2D6E56"/>
    <w:rsid w:val="0E4427F6"/>
    <w:rsid w:val="0E4449F4"/>
    <w:rsid w:val="0E482177"/>
    <w:rsid w:val="0E66622E"/>
    <w:rsid w:val="0E6C7CD4"/>
    <w:rsid w:val="0E7D2A40"/>
    <w:rsid w:val="0E87566C"/>
    <w:rsid w:val="0E88269D"/>
    <w:rsid w:val="0E8C14E5"/>
    <w:rsid w:val="0E8D2083"/>
    <w:rsid w:val="0E9733D5"/>
    <w:rsid w:val="0E9769FD"/>
    <w:rsid w:val="0E9C2E85"/>
    <w:rsid w:val="0E9C6708"/>
    <w:rsid w:val="0E9F1BE6"/>
    <w:rsid w:val="0EA12B90"/>
    <w:rsid w:val="0EAD0AF0"/>
    <w:rsid w:val="0EB63A2E"/>
    <w:rsid w:val="0EBB698C"/>
    <w:rsid w:val="0EC82A4F"/>
    <w:rsid w:val="0ECB39D4"/>
    <w:rsid w:val="0ED87BB1"/>
    <w:rsid w:val="0EDF0476"/>
    <w:rsid w:val="0EE43B8A"/>
    <w:rsid w:val="0EEE2C8F"/>
    <w:rsid w:val="0EF34A9B"/>
    <w:rsid w:val="0F0B7AD0"/>
    <w:rsid w:val="0F0E30B0"/>
    <w:rsid w:val="0F100C45"/>
    <w:rsid w:val="0F133DC8"/>
    <w:rsid w:val="0F195CD1"/>
    <w:rsid w:val="0F1E6B4E"/>
    <w:rsid w:val="0F234A63"/>
    <w:rsid w:val="0F3F5F47"/>
    <w:rsid w:val="0F4165A6"/>
    <w:rsid w:val="0F4D0AAA"/>
    <w:rsid w:val="0F5B5070"/>
    <w:rsid w:val="0F5E67C6"/>
    <w:rsid w:val="0F657D19"/>
    <w:rsid w:val="0F671372"/>
    <w:rsid w:val="0F6770D5"/>
    <w:rsid w:val="0F6A47D7"/>
    <w:rsid w:val="0F6A6824"/>
    <w:rsid w:val="0F793E06"/>
    <w:rsid w:val="0F88760A"/>
    <w:rsid w:val="0F8E53FA"/>
    <w:rsid w:val="0F906C15"/>
    <w:rsid w:val="0F9255ED"/>
    <w:rsid w:val="0F9A2DA7"/>
    <w:rsid w:val="0FA20284"/>
    <w:rsid w:val="0FAC6704"/>
    <w:rsid w:val="0FAF52CB"/>
    <w:rsid w:val="0FCA2F53"/>
    <w:rsid w:val="0FCD50F7"/>
    <w:rsid w:val="0FEB64E5"/>
    <w:rsid w:val="0FED4DB0"/>
    <w:rsid w:val="0FF07749"/>
    <w:rsid w:val="0FF4473B"/>
    <w:rsid w:val="0FF9345B"/>
    <w:rsid w:val="0FFC2289"/>
    <w:rsid w:val="1008458B"/>
    <w:rsid w:val="101007E8"/>
    <w:rsid w:val="10182E93"/>
    <w:rsid w:val="1018371F"/>
    <w:rsid w:val="10185BF4"/>
    <w:rsid w:val="101A497B"/>
    <w:rsid w:val="101B45FA"/>
    <w:rsid w:val="1020340E"/>
    <w:rsid w:val="10204305"/>
    <w:rsid w:val="102B6DF6"/>
    <w:rsid w:val="102C333C"/>
    <w:rsid w:val="103B70AE"/>
    <w:rsid w:val="103F5AB4"/>
    <w:rsid w:val="104004B1"/>
    <w:rsid w:val="1057106E"/>
    <w:rsid w:val="105C52CB"/>
    <w:rsid w:val="105E6369"/>
    <w:rsid w:val="106B567E"/>
    <w:rsid w:val="10732A8B"/>
    <w:rsid w:val="10755645"/>
    <w:rsid w:val="10867281"/>
    <w:rsid w:val="108904B2"/>
    <w:rsid w:val="108F23BB"/>
    <w:rsid w:val="109C5E4D"/>
    <w:rsid w:val="10A04854"/>
    <w:rsid w:val="10A100D7"/>
    <w:rsid w:val="10A357D8"/>
    <w:rsid w:val="10A4325A"/>
    <w:rsid w:val="10AA179B"/>
    <w:rsid w:val="10AD60E8"/>
    <w:rsid w:val="10B14AEE"/>
    <w:rsid w:val="10B64FBC"/>
    <w:rsid w:val="10BA0C81"/>
    <w:rsid w:val="10C5247C"/>
    <w:rsid w:val="10C64A93"/>
    <w:rsid w:val="10CC3E59"/>
    <w:rsid w:val="10D4621F"/>
    <w:rsid w:val="10D865E9"/>
    <w:rsid w:val="10DB6909"/>
    <w:rsid w:val="10F13271"/>
    <w:rsid w:val="10F7015B"/>
    <w:rsid w:val="10F819E6"/>
    <w:rsid w:val="10FB387D"/>
    <w:rsid w:val="110E70AD"/>
    <w:rsid w:val="112137C2"/>
    <w:rsid w:val="11213EA8"/>
    <w:rsid w:val="112C42A9"/>
    <w:rsid w:val="11321BC4"/>
    <w:rsid w:val="11330C02"/>
    <w:rsid w:val="1139154F"/>
    <w:rsid w:val="11452713"/>
    <w:rsid w:val="114B0570"/>
    <w:rsid w:val="114F36F3"/>
    <w:rsid w:val="11501174"/>
    <w:rsid w:val="11513A52"/>
    <w:rsid w:val="115313FD"/>
    <w:rsid w:val="115674D4"/>
    <w:rsid w:val="115F467E"/>
    <w:rsid w:val="11680929"/>
    <w:rsid w:val="1171712A"/>
    <w:rsid w:val="117A1FB8"/>
    <w:rsid w:val="117C54BB"/>
    <w:rsid w:val="117F262B"/>
    <w:rsid w:val="11866772"/>
    <w:rsid w:val="11894D57"/>
    <w:rsid w:val="118B7BB0"/>
    <w:rsid w:val="118E0C59"/>
    <w:rsid w:val="118E53D0"/>
    <w:rsid w:val="119618E8"/>
    <w:rsid w:val="119E6026"/>
    <w:rsid w:val="11A74070"/>
    <w:rsid w:val="11AD4325"/>
    <w:rsid w:val="11B21219"/>
    <w:rsid w:val="11BD6992"/>
    <w:rsid w:val="11C336B1"/>
    <w:rsid w:val="11CE6C72"/>
    <w:rsid w:val="11DF131B"/>
    <w:rsid w:val="11E95829"/>
    <w:rsid w:val="11EC63A9"/>
    <w:rsid w:val="11FF5A95"/>
    <w:rsid w:val="1205799E"/>
    <w:rsid w:val="12065E19"/>
    <w:rsid w:val="12160F3D"/>
    <w:rsid w:val="12185870"/>
    <w:rsid w:val="121E178F"/>
    <w:rsid w:val="12255CD4"/>
    <w:rsid w:val="12286C59"/>
    <w:rsid w:val="12371157"/>
    <w:rsid w:val="12402E84"/>
    <w:rsid w:val="12404300"/>
    <w:rsid w:val="125C296C"/>
    <w:rsid w:val="125E7F23"/>
    <w:rsid w:val="126006FF"/>
    <w:rsid w:val="12645AF2"/>
    <w:rsid w:val="1270619D"/>
    <w:rsid w:val="12722550"/>
    <w:rsid w:val="127534D5"/>
    <w:rsid w:val="127C66E3"/>
    <w:rsid w:val="1282606E"/>
    <w:rsid w:val="129005B5"/>
    <w:rsid w:val="12915003"/>
    <w:rsid w:val="1295180B"/>
    <w:rsid w:val="12982FF0"/>
    <w:rsid w:val="129F3785"/>
    <w:rsid w:val="129F7B9C"/>
    <w:rsid w:val="12A130A0"/>
    <w:rsid w:val="12A6008B"/>
    <w:rsid w:val="12A82A2A"/>
    <w:rsid w:val="12AE3F39"/>
    <w:rsid w:val="12B04A66"/>
    <w:rsid w:val="12B719C0"/>
    <w:rsid w:val="12B96010"/>
    <w:rsid w:val="12BC340B"/>
    <w:rsid w:val="12C053CD"/>
    <w:rsid w:val="12C24378"/>
    <w:rsid w:val="12C54E79"/>
    <w:rsid w:val="12DA7BEC"/>
    <w:rsid w:val="12E13FB3"/>
    <w:rsid w:val="12E16087"/>
    <w:rsid w:val="12EE791C"/>
    <w:rsid w:val="12F627A9"/>
    <w:rsid w:val="12F7022B"/>
    <w:rsid w:val="12FD60C7"/>
    <w:rsid w:val="12FF5637"/>
    <w:rsid w:val="13051255"/>
    <w:rsid w:val="13073C55"/>
    <w:rsid w:val="13117FD2"/>
    <w:rsid w:val="13172CDE"/>
    <w:rsid w:val="131D7E74"/>
    <w:rsid w:val="13251FF4"/>
    <w:rsid w:val="13255877"/>
    <w:rsid w:val="13293549"/>
    <w:rsid w:val="132C2DEB"/>
    <w:rsid w:val="133A1A1E"/>
    <w:rsid w:val="133B41E2"/>
    <w:rsid w:val="134273A6"/>
    <w:rsid w:val="13451C58"/>
    <w:rsid w:val="134F44BD"/>
    <w:rsid w:val="13562E81"/>
    <w:rsid w:val="135A1D19"/>
    <w:rsid w:val="135B70C7"/>
    <w:rsid w:val="13673D62"/>
    <w:rsid w:val="137568FB"/>
    <w:rsid w:val="13764AFC"/>
    <w:rsid w:val="13837E0F"/>
    <w:rsid w:val="138F7287"/>
    <w:rsid w:val="13901C58"/>
    <w:rsid w:val="13963C5C"/>
    <w:rsid w:val="139941E5"/>
    <w:rsid w:val="13AA2628"/>
    <w:rsid w:val="13B0545B"/>
    <w:rsid w:val="13B11AEE"/>
    <w:rsid w:val="13BA5D6B"/>
    <w:rsid w:val="13BC3BA7"/>
    <w:rsid w:val="13C3447C"/>
    <w:rsid w:val="13C72E82"/>
    <w:rsid w:val="13C80904"/>
    <w:rsid w:val="13D12E61"/>
    <w:rsid w:val="13D6569B"/>
    <w:rsid w:val="13D90770"/>
    <w:rsid w:val="13DC71C7"/>
    <w:rsid w:val="13DF4CA5"/>
    <w:rsid w:val="13E741E2"/>
    <w:rsid w:val="13E93BC1"/>
    <w:rsid w:val="13EE5846"/>
    <w:rsid w:val="13FD3CDB"/>
    <w:rsid w:val="14155180"/>
    <w:rsid w:val="141B4B0A"/>
    <w:rsid w:val="141C177E"/>
    <w:rsid w:val="142741A0"/>
    <w:rsid w:val="142B7323"/>
    <w:rsid w:val="142E2DCE"/>
    <w:rsid w:val="143769B9"/>
    <w:rsid w:val="144227CC"/>
    <w:rsid w:val="14455EC3"/>
    <w:rsid w:val="145426E6"/>
    <w:rsid w:val="14545C95"/>
    <w:rsid w:val="14551D69"/>
    <w:rsid w:val="14596B6E"/>
    <w:rsid w:val="145B0BCD"/>
    <w:rsid w:val="145D491A"/>
    <w:rsid w:val="145E2546"/>
    <w:rsid w:val="14711E62"/>
    <w:rsid w:val="14720ECC"/>
    <w:rsid w:val="14737241"/>
    <w:rsid w:val="1489513E"/>
    <w:rsid w:val="14986CC5"/>
    <w:rsid w:val="149E1860"/>
    <w:rsid w:val="14AA7406"/>
    <w:rsid w:val="14B5479F"/>
    <w:rsid w:val="14BE2842"/>
    <w:rsid w:val="14E135CF"/>
    <w:rsid w:val="14E32355"/>
    <w:rsid w:val="14E33B58"/>
    <w:rsid w:val="14E44553"/>
    <w:rsid w:val="14E51FD5"/>
    <w:rsid w:val="14E6675C"/>
    <w:rsid w:val="14E67A56"/>
    <w:rsid w:val="14E82F59"/>
    <w:rsid w:val="14EA7956"/>
    <w:rsid w:val="14EE6F12"/>
    <w:rsid w:val="14F13869"/>
    <w:rsid w:val="14FC33DE"/>
    <w:rsid w:val="15011905"/>
    <w:rsid w:val="15027387"/>
    <w:rsid w:val="150B4413"/>
    <w:rsid w:val="150E0C1B"/>
    <w:rsid w:val="150E7FD6"/>
    <w:rsid w:val="15134213"/>
    <w:rsid w:val="15152C6A"/>
    <w:rsid w:val="151C4634"/>
    <w:rsid w:val="15200B35"/>
    <w:rsid w:val="15227C14"/>
    <w:rsid w:val="1528122B"/>
    <w:rsid w:val="1537655C"/>
    <w:rsid w:val="153B0F5F"/>
    <w:rsid w:val="15433673"/>
    <w:rsid w:val="15485429"/>
    <w:rsid w:val="15486380"/>
    <w:rsid w:val="1554409C"/>
    <w:rsid w:val="15584ED5"/>
    <w:rsid w:val="155B583E"/>
    <w:rsid w:val="155E3923"/>
    <w:rsid w:val="1560191E"/>
    <w:rsid w:val="15674B2D"/>
    <w:rsid w:val="15690030"/>
    <w:rsid w:val="156F0C08"/>
    <w:rsid w:val="15724781"/>
    <w:rsid w:val="15790912"/>
    <w:rsid w:val="157B37CD"/>
    <w:rsid w:val="157D50D3"/>
    <w:rsid w:val="15811E53"/>
    <w:rsid w:val="1597787A"/>
    <w:rsid w:val="15A1202C"/>
    <w:rsid w:val="15A93017"/>
    <w:rsid w:val="15AE1224"/>
    <w:rsid w:val="15BA3753"/>
    <w:rsid w:val="15C41342"/>
    <w:rsid w:val="15C64B46"/>
    <w:rsid w:val="15CC74E3"/>
    <w:rsid w:val="15D363DA"/>
    <w:rsid w:val="15E02C89"/>
    <w:rsid w:val="15E275F7"/>
    <w:rsid w:val="15EC1D7F"/>
    <w:rsid w:val="15ED6F84"/>
    <w:rsid w:val="15F20809"/>
    <w:rsid w:val="15F335E7"/>
    <w:rsid w:val="15FE0523"/>
    <w:rsid w:val="160752E5"/>
    <w:rsid w:val="16117544"/>
    <w:rsid w:val="16134C45"/>
    <w:rsid w:val="1617364B"/>
    <w:rsid w:val="161F1C36"/>
    <w:rsid w:val="162714E3"/>
    <w:rsid w:val="162D31F8"/>
    <w:rsid w:val="163254FA"/>
    <w:rsid w:val="1633267B"/>
    <w:rsid w:val="16365331"/>
    <w:rsid w:val="163A1216"/>
    <w:rsid w:val="16437993"/>
    <w:rsid w:val="1648769E"/>
    <w:rsid w:val="16492A93"/>
    <w:rsid w:val="164D5A29"/>
    <w:rsid w:val="164E5D24"/>
    <w:rsid w:val="16547C2D"/>
    <w:rsid w:val="16583490"/>
    <w:rsid w:val="16781D3E"/>
    <w:rsid w:val="167A7865"/>
    <w:rsid w:val="167B3A9F"/>
    <w:rsid w:val="167C6BF3"/>
    <w:rsid w:val="16805733"/>
    <w:rsid w:val="16872A06"/>
    <w:rsid w:val="168A398A"/>
    <w:rsid w:val="168E6B0D"/>
    <w:rsid w:val="16A03762"/>
    <w:rsid w:val="16A85139"/>
    <w:rsid w:val="16AE4E44"/>
    <w:rsid w:val="16AF67E3"/>
    <w:rsid w:val="16B25A48"/>
    <w:rsid w:val="16B6444E"/>
    <w:rsid w:val="16BB4159"/>
    <w:rsid w:val="16BE72DC"/>
    <w:rsid w:val="16BF6B65"/>
    <w:rsid w:val="16C759ED"/>
    <w:rsid w:val="16CB66C2"/>
    <w:rsid w:val="16CF2DFA"/>
    <w:rsid w:val="16E54F9E"/>
    <w:rsid w:val="16F92E7F"/>
    <w:rsid w:val="170D06E0"/>
    <w:rsid w:val="170E7CAD"/>
    <w:rsid w:val="171170E7"/>
    <w:rsid w:val="17126D66"/>
    <w:rsid w:val="1714006B"/>
    <w:rsid w:val="171E7329"/>
    <w:rsid w:val="172633E6"/>
    <w:rsid w:val="17263548"/>
    <w:rsid w:val="17263809"/>
    <w:rsid w:val="172F6697"/>
    <w:rsid w:val="17301B9A"/>
    <w:rsid w:val="17303F43"/>
    <w:rsid w:val="17385AC8"/>
    <w:rsid w:val="173A09CE"/>
    <w:rsid w:val="173B5246"/>
    <w:rsid w:val="174B5FC7"/>
    <w:rsid w:val="174F49CD"/>
    <w:rsid w:val="17530E55"/>
    <w:rsid w:val="175C3CE3"/>
    <w:rsid w:val="175D59D2"/>
    <w:rsid w:val="176F3141"/>
    <w:rsid w:val="17700248"/>
    <w:rsid w:val="17707100"/>
    <w:rsid w:val="17714B81"/>
    <w:rsid w:val="17745B06"/>
    <w:rsid w:val="17766DFE"/>
    <w:rsid w:val="17892228"/>
    <w:rsid w:val="178F79B5"/>
    <w:rsid w:val="17A36655"/>
    <w:rsid w:val="17AB72E5"/>
    <w:rsid w:val="17AC579E"/>
    <w:rsid w:val="17AF5CEB"/>
    <w:rsid w:val="17B042E1"/>
    <w:rsid w:val="17B103C8"/>
    <w:rsid w:val="17B111EE"/>
    <w:rsid w:val="17B125F0"/>
    <w:rsid w:val="17B678A0"/>
    <w:rsid w:val="17BB0135"/>
    <w:rsid w:val="17BE4C81"/>
    <w:rsid w:val="17C3523B"/>
    <w:rsid w:val="17C90A93"/>
    <w:rsid w:val="17CD028A"/>
    <w:rsid w:val="17CD2FEC"/>
    <w:rsid w:val="17D313A3"/>
    <w:rsid w:val="17E219BD"/>
    <w:rsid w:val="17EC425D"/>
    <w:rsid w:val="17ED57D0"/>
    <w:rsid w:val="17F760DF"/>
    <w:rsid w:val="180677BD"/>
    <w:rsid w:val="18070EEA"/>
    <w:rsid w:val="18104A8B"/>
    <w:rsid w:val="1815425C"/>
    <w:rsid w:val="181838BD"/>
    <w:rsid w:val="18197919"/>
    <w:rsid w:val="181A2EB4"/>
    <w:rsid w:val="182072A4"/>
    <w:rsid w:val="18234D9B"/>
    <w:rsid w:val="18292378"/>
    <w:rsid w:val="182E79B3"/>
    <w:rsid w:val="18322A41"/>
    <w:rsid w:val="18400020"/>
    <w:rsid w:val="185038D7"/>
    <w:rsid w:val="185222E5"/>
    <w:rsid w:val="18576141"/>
    <w:rsid w:val="18650E79"/>
    <w:rsid w:val="1866022B"/>
    <w:rsid w:val="18736D2E"/>
    <w:rsid w:val="187A22F0"/>
    <w:rsid w:val="187B08B7"/>
    <w:rsid w:val="187C4DAB"/>
    <w:rsid w:val="187C78C4"/>
    <w:rsid w:val="188161C6"/>
    <w:rsid w:val="18827F69"/>
    <w:rsid w:val="189162DE"/>
    <w:rsid w:val="189D4686"/>
    <w:rsid w:val="189E1B99"/>
    <w:rsid w:val="18A70A60"/>
    <w:rsid w:val="18B26813"/>
    <w:rsid w:val="18B8071C"/>
    <w:rsid w:val="18B83CF9"/>
    <w:rsid w:val="18BD2625"/>
    <w:rsid w:val="18C93DA3"/>
    <w:rsid w:val="18D26DB1"/>
    <w:rsid w:val="18DB79D7"/>
    <w:rsid w:val="18E075D6"/>
    <w:rsid w:val="18E641D7"/>
    <w:rsid w:val="18E71B91"/>
    <w:rsid w:val="18FB7738"/>
    <w:rsid w:val="1906629D"/>
    <w:rsid w:val="19075F1D"/>
    <w:rsid w:val="190C35B1"/>
    <w:rsid w:val="191477B1"/>
    <w:rsid w:val="1916621B"/>
    <w:rsid w:val="1917300C"/>
    <w:rsid w:val="19174D4D"/>
    <w:rsid w:val="19231FC9"/>
    <w:rsid w:val="19311E32"/>
    <w:rsid w:val="19405606"/>
    <w:rsid w:val="19412573"/>
    <w:rsid w:val="194B4AD0"/>
    <w:rsid w:val="194F4112"/>
    <w:rsid w:val="1954059A"/>
    <w:rsid w:val="19583C18"/>
    <w:rsid w:val="195A7F25"/>
    <w:rsid w:val="19636636"/>
    <w:rsid w:val="19650358"/>
    <w:rsid w:val="196C14C4"/>
    <w:rsid w:val="19720CC7"/>
    <w:rsid w:val="19767855"/>
    <w:rsid w:val="197930F7"/>
    <w:rsid w:val="197D3ED8"/>
    <w:rsid w:val="197E4C62"/>
    <w:rsid w:val="198D747A"/>
    <w:rsid w:val="1998580B"/>
    <w:rsid w:val="19A33B9D"/>
    <w:rsid w:val="19AB6C74"/>
    <w:rsid w:val="19B263B5"/>
    <w:rsid w:val="19BC47A3"/>
    <w:rsid w:val="19C232E8"/>
    <w:rsid w:val="19C31523"/>
    <w:rsid w:val="19D16C6A"/>
    <w:rsid w:val="19D27793"/>
    <w:rsid w:val="19D46FDD"/>
    <w:rsid w:val="19D6210B"/>
    <w:rsid w:val="19D91AA4"/>
    <w:rsid w:val="19DB2B9E"/>
    <w:rsid w:val="19DB4BCE"/>
    <w:rsid w:val="19F03C9C"/>
    <w:rsid w:val="19F26C2F"/>
    <w:rsid w:val="19F84C10"/>
    <w:rsid w:val="19FB6F0E"/>
    <w:rsid w:val="19FB7AD0"/>
    <w:rsid w:val="1A082D25"/>
    <w:rsid w:val="1A091536"/>
    <w:rsid w:val="1A0A00C9"/>
    <w:rsid w:val="1A1074A4"/>
    <w:rsid w:val="1A135155"/>
    <w:rsid w:val="1A1B5FD5"/>
    <w:rsid w:val="1A1C3150"/>
    <w:rsid w:val="1A22449B"/>
    <w:rsid w:val="1A246465"/>
    <w:rsid w:val="1A2B5ADB"/>
    <w:rsid w:val="1A2D3B01"/>
    <w:rsid w:val="1A2F0966"/>
    <w:rsid w:val="1A306C84"/>
    <w:rsid w:val="1A3366A8"/>
    <w:rsid w:val="1A364410"/>
    <w:rsid w:val="1A371E92"/>
    <w:rsid w:val="1A3A75F0"/>
    <w:rsid w:val="1A3B7614"/>
    <w:rsid w:val="1A3E181D"/>
    <w:rsid w:val="1A3E27EE"/>
    <w:rsid w:val="1A4A782D"/>
    <w:rsid w:val="1A573E74"/>
    <w:rsid w:val="1A725503"/>
    <w:rsid w:val="1A7F18ED"/>
    <w:rsid w:val="1A841F91"/>
    <w:rsid w:val="1A8F1DB2"/>
    <w:rsid w:val="1A943933"/>
    <w:rsid w:val="1A96278C"/>
    <w:rsid w:val="1A9A08B1"/>
    <w:rsid w:val="1A9B5FFB"/>
    <w:rsid w:val="1A9E2B3B"/>
    <w:rsid w:val="1AA27273"/>
    <w:rsid w:val="1AA475A6"/>
    <w:rsid w:val="1AAC3C11"/>
    <w:rsid w:val="1AB02A55"/>
    <w:rsid w:val="1AB601E2"/>
    <w:rsid w:val="1AB71BF0"/>
    <w:rsid w:val="1AB958E3"/>
    <w:rsid w:val="1AB96D8F"/>
    <w:rsid w:val="1AC765E9"/>
    <w:rsid w:val="1AD86198"/>
    <w:rsid w:val="1AE31678"/>
    <w:rsid w:val="1AE86432"/>
    <w:rsid w:val="1AEA3A0D"/>
    <w:rsid w:val="1AF5284A"/>
    <w:rsid w:val="1AF70C4B"/>
    <w:rsid w:val="1AFB23AB"/>
    <w:rsid w:val="1B0537E4"/>
    <w:rsid w:val="1B0911B7"/>
    <w:rsid w:val="1B23343F"/>
    <w:rsid w:val="1B23671D"/>
    <w:rsid w:val="1B2A38E1"/>
    <w:rsid w:val="1B3B3CBE"/>
    <w:rsid w:val="1B435376"/>
    <w:rsid w:val="1B487750"/>
    <w:rsid w:val="1B4B4B89"/>
    <w:rsid w:val="1B5003E0"/>
    <w:rsid w:val="1B535AE1"/>
    <w:rsid w:val="1B550FE4"/>
    <w:rsid w:val="1B5744E8"/>
    <w:rsid w:val="1B5979EB"/>
    <w:rsid w:val="1B5B6771"/>
    <w:rsid w:val="1B6056C8"/>
    <w:rsid w:val="1B6D7998"/>
    <w:rsid w:val="1B755486"/>
    <w:rsid w:val="1B764D9C"/>
    <w:rsid w:val="1B78249E"/>
    <w:rsid w:val="1B8A310A"/>
    <w:rsid w:val="1B917918"/>
    <w:rsid w:val="1B9238A2"/>
    <w:rsid w:val="1B9969DF"/>
    <w:rsid w:val="1B9A62B3"/>
    <w:rsid w:val="1B9D2235"/>
    <w:rsid w:val="1B9F68C5"/>
    <w:rsid w:val="1BAA64F0"/>
    <w:rsid w:val="1BAF61FB"/>
    <w:rsid w:val="1BB257F6"/>
    <w:rsid w:val="1BB71ADC"/>
    <w:rsid w:val="1BBA3BF3"/>
    <w:rsid w:val="1BBB3924"/>
    <w:rsid w:val="1BBB420C"/>
    <w:rsid w:val="1BC2741A"/>
    <w:rsid w:val="1BC354EB"/>
    <w:rsid w:val="1BCB22A8"/>
    <w:rsid w:val="1BD15363"/>
    <w:rsid w:val="1BD82632"/>
    <w:rsid w:val="1BEA14D8"/>
    <w:rsid w:val="1BEE2EAE"/>
    <w:rsid w:val="1BEE3761"/>
    <w:rsid w:val="1BF84071"/>
    <w:rsid w:val="1BFE6F98"/>
    <w:rsid w:val="1C0068B2"/>
    <w:rsid w:val="1C006DEE"/>
    <w:rsid w:val="1C095F13"/>
    <w:rsid w:val="1C0C6595"/>
    <w:rsid w:val="1C0D1391"/>
    <w:rsid w:val="1C0D4CD7"/>
    <w:rsid w:val="1C0E6215"/>
    <w:rsid w:val="1C155B9F"/>
    <w:rsid w:val="1C19367C"/>
    <w:rsid w:val="1C1B0F6D"/>
    <w:rsid w:val="1C2077B4"/>
    <w:rsid w:val="1C250273"/>
    <w:rsid w:val="1C274200"/>
    <w:rsid w:val="1C2D5EB5"/>
    <w:rsid w:val="1C2E504A"/>
    <w:rsid w:val="1C32514F"/>
    <w:rsid w:val="1C3276CE"/>
    <w:rsid w:val="1C36422E"/>
    <w:rsid w:val="1C4A7673"/>
    <w:rsid w:val="1C592E11"/>
    <w:rsid w:val="1C692FD2"/>
    <w:rsid w:val="1C715233"/>
    <w:rsid w:val="1C770BFC"/>
    <w:rsid w:val="1C790574"/>
    <w:rsid w:val="1C7A236C"/>
    <w:rsid w:val="1C834728"/>
    <w:rsid w:val="1C8901D0"/>
    <w:rsid w:val="1C8A35E0"/>
    <w:rsid w:val="1C912F6B"/>
    <w:rsid w:val="1C9209EC"/>
    <w:rsid w:val="1C9828F5"/>
    <w:rsid w:val="1C9D42AD"/>
    <w:rsid w:val="1CA05783"/>
    <w:rsid w:val="1CA36708"/>
    <w:rsid w:val="1CA62F10"/>
    <w:rsid w:val="1CA63D20"/>
    <w:rsid w:val="1CAE0268"/>
    <w:rsid w:val="1CB02A9D"/>
    <w:rsid w:val="1CB07F9C"/>
    <w:rsid w:val="1CB966AD"/>
    <w:rsid w:val="1CBA412F"/>
    <w:rsid w:val="1CC16978"/>
    <w:rsid w:val="1CCC554A"/>
    <w:rsid w:val="1CCE2DCF"/>
    <w:rsid w:val="1CD63A5F"/>
    <w:rsid w:val="1CDC0913"/>
    <w:rsid w:val="1CE807C7"/>
    <w:rsid w:val="1CEB4B27"/>
    <w:rsid w:val="1CF42E6E"/>
    <w:rsid w:val="1CF63F94"/>
    <w:rsid w:val="1CF754A3"/>
    <w:rsid w:val="1CFA4ABD"/>
    <w:rsid w:val="1D033D6B"/>
    <w:rsid w:val="1D04257E"/>
    <w:rsid w:val="1D061E52"/>
    <w:rsid w:val="1D0A73B1"/>
    <w:rsid w:val="1D1C5E7A"/>
    <w:rsid w:val="1D22285A"/>
    <w:rsid w:val="1D257F3B"/>
    <w:rsid w:val="1D2B4636"/>
    <w:rsid w:val="1D330575"/>
    <w:rsid w:val="1D373DFD"/>
    <w:rsid w:val="1D3A3784"/>
    <w:rsid w:val="1D3B700C"/>
    <w:rsid w:val="1D44260C"/>
    <w:rsid w:val="1D48051B"/>
    <w:rsid w:val="1D533029"/>
    <w:rsid w:val="1D5B5EB7"/>
    <w:rsid w:val="1D5C3938"/>
    <w:rsid w:val="1D5D46EC"/>
    <w:rsid w:val="1D5F48BD"/>
    <w:rsid w:val="1D636B46"/>
    <w:rsid w:val="1D641945"/>
    <w:rsid w:val="1D6F232D"/>
    <w:rsid w:val="1D783268"/>
    <w:rsid w:val="1D790876"/>
    <w:rsid w:val="1D7A5A02"/>
    <w:rsid w:val="1D7E40DE"/>
    <w:rsid w:val="1D851279"/>
    <w:rsid w:val="1D887DB3"/>
    <w:rsid w:val="1DA15937"/>
    <w:rsid w:val="1DAD5CC1"/>
    <w:rsid w:val="1DBA7555"/>
    <w:rsid w:val="1DC13FCB"/>
    <w:rsid w:val="1DC2273E"/>
    <w:rsid w:val="1DC84414"/>
    <w:rsid w:val="1DC94720"/>
    <w:rsid w:val="1DCB1624"/>
    <w:rsid w:val="1DCF03F4"/>
    <w:rsid w:val="1DCF3C77"/>
    <w:rsid w:val="1DD86B05"/>
    <w:rsid w:val="1DD96785"/>
    <w:rsid w:val="1DE226F6"/>
    <w:rsid w:val="1DE32193"/>
    <w:rsid w:val="1DFC5003"/>
    <w:rsid w:val="1E043A82"/>
    <w:rsid w:val="1E0453FC"/>
    <w:rsid w:val="1E0D5153"/>
    <w:rsid w:val="1E2223FC"/>
    <w:rsid w:val="1E281D87"/>
    <w:rsid w:val="1E314200"/>
    <w:rsid w:val="1E347943"/>
    <w:rsid w:val="1E36026B"/>
    <w:rsid w:val="1E3633F2"/>
    <w:rsid w:val="1E377E25"/>
    <w:rsid w:val="1E406F8C"/>
    <w:rsid w:val="1E426BF9"/>
    <w:rsid w:val="1E451E6F"/>
    <w:rsid w:val="1E4538B6"/>
    <w:rsid w:val="1E485497"/>
    <w:rsid w:val="1E4B1042"/>
    <w:rsid w:val="1E560BB7"/>
    <w:rsid w:val="1E6171A7"/>
    <w:rsid w:val="1E6366E9"/>
    <w:rsid w:val="1E693EC0"/>
    <w:rsid w:val="1E6A32E1"/>
    <w:rsid w:val="1E876FC3"/>
    <w:rsid w:val="1E8818EB"/>
    <w:rsid w:val="1E8F0832"/>
    <w:rsid w:val="1E95273B"/>
    <w:rsid w:val="1E9C42C4"/>
    <w:rsid w:val="1EA062D6"/>
    <w:rsid w:val="1EA33C4F"/>
    <w:rsid w:val="1EA8395A"/>
    <w:rsid w:val="1EAE5864"/>
    <w:rsid w:val="1EB1403F"/>
    <w:rsid w:val="1EB54CB6"/>
    <w:rsid w:val="1EC91910"/>
    <w:rsid w:val="1ED12FDD"/>
    <w:rsid w:val="1ED16D1D"/>
    <w:rsid w:val="1ED74A4B"/>
    <w:rsid w:val="1EE241F9"/>
    <w:rsid w:val="1EE512C1"/>
    <w:rsid w:val="1EE6343F"/>
    <w:rsid w:val="1EE86942"/>
    <w:rsid w:val="1EEB57A3"/>
    <w:rsid w:val="1EED147B"/>
    <w:rsid w:val="1EEE084B"/>
    <w:rsid w:val="1EF04B68"/>
    <w:rsid w:val="1F05089E"/>
    <w:rsid w:val="1F053CF4"/>
    <w:rsid w:val="1F0E6B82"/>
    <w:rsid w:val="1F2522CC"/>
    <w:rsid w:val="1F374545"/>
    <w:rsid w:val="1F4202D5"/>
    <w:rsid w:val="1F470500"/>
    <w:rsid w:val="1F4F75EB"/>
    <w:rsid w:val="1F5008F0"/>
    <w:rsid w:val="1F536EA5"/>
    <w:rsid w:val="1F554D78"/>
    <w:rsid w:val="1F5F16AB"/>
    <w:rsid w:val="1F5F5687"/>
    <w:rsid w:val="1F603042"/>
    <w:rsid w:val="1F603109"/>
    <w:rsid w:val="1F6A149A"/>
    <w:rsid w:val="1F6D6B9B"/>
    <w:rsid w:val="1F6D7F66"/>
    <w:rsid w:val="1F705CA9"/>
    <w:rsid w:val="1F710E25"/>
    <w:rsid w:val="1F872FC8"/>
    <w:rsid w:val="1F882E19"/>
    <w:rsid w:val="1F8E2953"/>
    <w:rsid w:val="1F8E6181"/>
    <w:rsid w:val="1F983263"/>
    <w:rsid w:val="1F9A55BB"/>
    <w:rsid w:val="1FA34BDF"/>
    <w:rsid w:val="1FA93115"/>
    <w:rsid w:val="1FAF8616"/>
    <w:rsid w:val="1FB44D03"/>
    <w:rsid w:val="1FB558DA"/>
    <w:rsid w:val="1FB57DC6"/>
    <w:rsid w:val="1FB80F3D"/>
    <w:rsid w:val="1FC00BA4"/>
    <w:rsid w:val="1FCE2A2D"/>
    <w:rsid w:val="1FCE593B"/>
    <w:rsid w:val="1FCF11BE"/>
    <w:rsid w:val="1FD81ACE"/>
    <w:rsid w:val="1FDA32DD"/>
    <w:rsid w:val="1FE223DD"/>
    <w:rsid w:val="1FEA1406"/>
    <w:rsid w:val="1FEA5A5B"/>
    <w:rsid w:val="1FEA7809"/>
    <w:rsid w:val="1FF6107E"/>
    <w:rsid w:val="1FFC2F87"/>
    <w:rsid w:val="1FFE0F3F"/>
    <w:rsid w:val="20061318"/>
    <w:rsid w:val="20074B9B"/>
    <w:rsid w:val="200C0F5B"/>
    <w:rsid w:val="20104A4D"/>
    <w:rsid w:val="2012512B"/>
    <w:rsid w:val="201673B4"/>
    <w:rsid w:val="20190339"/>
    <w:rsid w:val="201A7379"/>
    <w:rsid w:val="202E4A5B"/>
    <w:rsid w:val="20346964"/>
    <w:rsid w:val="20361E67"/>
    <w:rsid w:val="2046687E"/>
    <w:rsid w:val="20525F14"/>
    <w:rsid w:val="2054789A"/>
    <w:rsid w:val="20633C30"/>
    <w:rsid w:val="20650234"/>
    <w:rsid w:val="20833656"/>
    <w:rsid w:val="20862EEB"/>
    <w:rsid w:val="208D63E6"/>
    <w:rsid w:val="208E129B"/>
    <w:rsid w:val="208E390F"/>
    <w:rsid w:val="20946068"/>
    <w:rsid w:val="20947C82"/>
    <w:rsid w:val="209E2790"/>
    <w:rsid w:val="209F0212"/>
    <w:rsid w:val="20B36CE3"/>
    <w:rsid w:val="20B45646"/>
    <w:rsid w:val="20BF6548"/>
    <w:rsid w:val="20C115B5"/>
    <w:rsid w:val="20C242E2"/>
    <w:rsid w:val="20C73087"/>
    <w:rsid w:val="20CA0B39"/>
    <w:rsid w:val="20DC6698"/>
    <w:rsid w:val="20EA375E"/>
    <w:rsid w:val="20EF7097"/>
    <w:rsid w:val="20F006D9"/>
    <w:rsid w:val="20FD531A"/>
    <w:rsid w:val="20FF3EC0"/>
    <w:rsid w:val="21053B09"/>
    <w:rsid w:val="21134B3E"/>
    <w:rsid w:val="2118245A"/>
    <w:rsid w:val="21260276"/>
    <w:rsid w:val="212671F1"/>
    <w:rsid w:val="212F221B"/>
    <w:rsid w:val="21332663"/>
    <w:rsid w:val="213A656E"/>
    <w:rsid w:val="213E4898"/>
    <w:rsid w:val="214445A3"/>
    <w:rsid w:val="21463165"/>
    <w:rsid w:val="214E2934"/>
    <w:rsid w:val="21556A3C"/>
    <w:rsid w:val="215A77B7"/>
    <w:rsid w:val="215E2BCE"/>
    <w:rsid w:val="21615AF6"/>
    <w:rsid w:val="2169159B"/>
    <w:rsid w:val="216B2BCB"/>
    <w:rsid w:val="216D3E2C"/>
    <w:rsid w:val="217D7C00"/>
    <w:rsid w:val="219168A1"/>
    <w:rsid w:val="219F1439"/>
    <w:rsid w:val="21AC3DB3"/>
    <w:rsid w:val="21AF38DB"/>
    <w:rsid w:val="21B14BD7"/>
    <w:rsid w:val="21B36655"/>
    <w:rsid w:val="21B505BA"/>
    <w:rsid w:val="21B52099"/>
    <w:rsid w:val="21BD5166"/>
    <w:rsid w:val="21C0537D"/>
    <w:rsid w:val="21C55DAA"/>
    <w:rsid w:val="21CF315A"/>
    <w:rsid w:val="21D44D8B"/>
    <w:rsid w:val="21D67F12"/>
    <w:rsid w:val="21DD569B"/>
    <w:rsid w:val="21DD7D1A"/>
    <w:rsid w:val="21DE311D"/>
    <w:rsid w:val="21F71AC8"/>
    <w:rsid w:val="21FA2A4D"/>
    <w:rsid w:val="22027B5F"/>
    <w:rsid w:val="220D5CD8"/>
    <w:rsid w:val="22193302"/>
    <w:rsid w:val="22261312"/>
    <w:rsid w:val="222A579A"/>
    <w:rsid w:val="223D3F10"/>
    <w:rsid w:val="224153BF"/>
    <w:rsid w:val="2249604F"/>
    <w:rsid w:val="224A024D"/>
    <w:rsid w:val="224F7F58"/>
    <w:rsid w:val="225418B2"/>
    <w:rsid w:val="22582DE6"/>
    <w:rsid w:val="22590868"/>
    <w:rsid w:val="22643966"/>
    <w:rsid w:val="226A6584"/>
    <w:rsid w:val="226F0499"/>
    <w:rsid w:val="22723AE6"/>
    <w:rsid w:val="2273304C"/>
    <w:rsid w:val="227635D6"/>
    <w:rsid w:val="22772BC1"/>
    <w:rsid w:val="2278125B"/>
    <w:rsid w:val="227C78B1"/>
    <w:rsid w:val="227D4716"/>
    <w:rsid w:val="22810181"/>
    <w:rsid w:val="22843E76"/>
    <w:rsid w:val="22920F31"/>
    <w:rsid w:val="22AB1E76"/>
    <w:rsid w:val="22AD24F0"/>
    <w:rsid w:val="22B26978"/>
    <w:rsid w:val="22B90D41"/>
    <w:rsid w:val="22B91B86"/>
    <w:rsid w:val="22BD1205"/>
    <w:rsid w:val="22C16F92"/>
    <w:rsid w:val="22C32523"/>
    <w:rsid w:val="22C72083"/>
    <w:rsid w:val="22C975F6"/>
    <w:rsid w:val="22CB5324"/>
    <w:rsid w:val="22CF1B65"/>
    <w:rsid w:val="22D401B1"/>
    <w:rsid w:val="22D447A0"/>
    <w:rsid w:val="22D636B5"/>
    <w:rsid w:val="22DC0D8B"/>
    <w:rsid w:val="22E026E2"/>
    <w:rsid w:val="22E84C54"/>
    <w:rsid w:val="230157FE"/>
    <w:rsid w:val="2302327F"/>
    <w:rsid w:val="23096B0C"/>
    <w:rsid w:val="23112215"/>
    <w:rsid w:val="231137D0"/>
    <w:rsid w:val="231562DF"/>
    <w:rsid w:val="23385CD8"/>
    <w:rsid w:val="233A6C5C"/>
    <w:rsid w:val="233E5662"/>
    <w:rsid w:val="23503E27"/>
    <w:rsid w:val="23516881"/>
    <w:rsid w:val="23517AB4"/>
    <w:rsid w:val="235A0180"/>
    <w:rsid w:val="235A170F"/>
    <w:rsid w:val="235D5A2C"/>
    <w:rsid w:val="23665F4E"/>
    <w:rsid w:val="236964A7"/>
    <w:rsid w:val="23700030"/>
    <w:rsid w:val="2373CE24"/>
    <w:rsid w:val="23785B1F"/>
    <w:rsid w:val="237F295E"/>
    <w:rsid w:val="23842554"/>
    <w:rsid w:val="238D53E2"/>
    <w:rsid w:val="2394421A"/>
    <w:rsid w:val="239D567C"/>
    <w:rsid w:val="239E0EFF"/>
    <w:rsid w:val="23A21B04"/>
    <w:rsid w:val="23A45F21"/>
    <w:rsid w:val="23A94D12"/>
    <w:rsid w:val="23AC57B9"/>
    <w:rsid w:val="23BE4029"/>
    <w:rsid w:val="23C742C2"/>
    <w:rsid w:val="23CE3C4D"/>
    <w:rsid w:val="23D16DD0"/>
    <w:rsid w:val="23D97A5F"/>
    <w:rsid w:val="23DA7B95"/>
    <w:rsid w:val="23DC58D2"/>
    <w:rsid w:val="23F871D1"/>
    <w:rsid w:val="24094421"/>
    <w:rsid w:val="24102138"/>
    <w:rsid w:val="24184C0F"/>
    <w:rsid w:val="241C01AD"/>
    <w:rsid w:val="241E4CD1"/>
    <w:rsid w:val="242343C0"/>
    <w:rsid w:val="242520DD"/>
    <w:rsid w:val="242762D8"/>
    <w:rsid w:val="242D3C66"/>
    <w:rsid w:val="242E465A"/>
    <w:rsid w:val="24323971"/>
    <w:rsid w:val="2438587A"/>
    <w:rsid w:val="243A6885"/>
    <w:rsid w:val="2446648F"/>
    <w:rsid w:val="24535A6A"/>
    <w:rsid w:val="24634140"/>
    <w:rsid w:val="24681644"/>
    <w:rsid w:val="246A53BC"/>
    <w:rsid w:val="246F37D6"/>
    <w:rsid w:val="247C0C4C"/>
    <w:rsid w:val="248136F0"/>
    <w:rsid w:val="24866D0C"/>
    <w:rsid w:val="2491398A"/>
    <w:rsid w:val="249B11DF"/>
    <w:rsid w:val="24A432A2"/>
    <w:rsid w:val="24A9142F"/>
    <w:rsid w:val="24AE09BC"/>
    <w:rsid w:val="24AF67BE"/>
    <w:rsid w:val="24AF74B0"/>
    <w:rsid w:val="24C11F5B"/>
    <w:rsid w:val="24C97368"/>
    <w:rsid w:val="24CC5769"/>
    <w:rsid w:val="24D708E2"/>
    <w:rsid w:val="24D9514F"/>
    <w:rsid w:val="24DA2E85"/>
    <w:rsid w:val="24DF150B"/>
    <w:rsid w:val="24E22490"/>
    <w:rsid w:val="24FD1D8D"/>
    <w:rsid w:val="25076E4C"/>
    <w:rsid w:val="250D45D9"/>
    <w:rsid w:val="25170671"/>
    <w:rsid w:val="251A293E"/>
    <w:rsid w:val="251D6DF2"/>
    <w:rsid w:val="251E3B59"/>
    <w:rsid w:val="251E4873"/>
    <w:rsid w:val="25216A19"/>
    <w:rsid w:val="252B1D38"/>
    <w:rsid w:val="252E0CC1"/>
    <w:rsid w:val="25360422"/>
    <w:rsid w:val="253B28B5"/>
    <w:rsid w:val="25466455"/>
    <w:rsid w:val="25502AC4"/>
    <w:rsid w:val="25510545"/>
    <w:rsid w:val="2558097B"/>
    <w:rsid w:val="2560231B"/>
    <w:rsid w:val="256D244F"/>
    <w:rsid w:val="25712D18"/>
    <w:rsid w:val="2574002C"/>
    <w:rsid w:val="25740E92"/>
    <w:rsid w:val="257B138A"/>
    <w:rsid w:val="25810E82"/>
    <w:rsid w:val="2585551C"/>
    <w:rsid w:val="25957B9C"/>
    <w:rsid w:val="25974EAB"/>
    <w:rsid w:val="25BD74D5"/>
    <w:rsid w:val="25BF34E6"/>
    <w:rsid w:val="25C265E0"/>
    <w:rsid w:val="25D85D70"/>
    <w:rsid w:val="25DD6614"/>
    <w:rsid w:val="25DF5195"/>
    <w:rsid w:val="25E37AB4"/>
    <w:rsid w:val="25EF3DCB"/>
    <w:rsid w:val="25F212E3"/>
    <w:rsid w:val="25F533B7"/>
    <w:rsid w:val="260F2C23"/>
    <w:rsid w:val="261C26E6"/>
    <w:rsid w:val="26225C9D"/>
    <w:rsid w:val="2624631F"/>
    <w:rsid w:val="262D6C2F"/>
    <w:rsid w:val="26310EB8"/>
    <w:rsid w:val="26477C22"/>
    <w:rsid w:val="264C3C60"/>
    <w:rsid w:val="264F0FF1"/>
    <w:rsid w:val="26557651"/>
    <w:rsid w:val="26567DF3"/>
    <w:rsid w:val="26575875"/>
    <w:rsid w:val="266A6A94"/>
    <w:rsid w:val="266C656E"/>
    <w:rsid w:val="2671641F"/>
    <w:rsid w:val="267473A3"/>
    <w:rsid w:val="26794851"/>
    <w:rsid w:val="267A11BB"/>
    <w:rsid w:val="267B47B0"/>
    <w:rsid w:val="267E62AE"/>
    <w:rsid w:val="2680557E"/>
    <w:rsid w:val="268227A4"/>
    <w:rsid w:val="26914755"/>
    <w:rsid w:val="26A149EF"/>
    <w:rsid w:val="26A57B72"/>
    <w:rsid w:val="26B30C59"/>
    <w:rsid w:val="26B66DA0"/>
    <w:rsid w:val="26C54B2C"/>
    <w:rsid w:val="26D7660D"/>
    <w:rsid w:val="26E56F7C"/>
    <w:rsid w:val="26E8081A"/>
    <w:rsid w:val="26EB3B6A"/>
    <w:rsid w:val="26ED19A3"/>
    <w:rsid w:val="26F23701"/>
    <w:rsid w:val="26F41994"/>
    <w:rsid w:val="27024DD3"/>
    <w:rsid w:val="270D0281"/>
    <w:rsid w:val="271C0183"/>
    <w:rsid w:val="2721634E"/>
    <w:rsid w:val="27357461"/>
    <w:rsid w:val="275E0626"/>
    <w:rsid w:val="276B56D3"/>
    <w:rsid w:val="276C53BD"/>
    <w:rsid w:val="277272C6"/>
    <w:rsid w:val="277935FF"/>
    <w:rsid w:val="277F117F"/>
    <w:rsid w:val="27827560"/>
    <w:rsid w:val="27865AA2"/>
    <w:rsid w:val="278B6AC4"/>
    <w:rsid w:val="279544FE"/>
    <w:rsid w:val="279D5EBA"/>
    <w:rsid w:val="27AA7420"/>
    <w:rsid w:val="27B20A7F"/>
    <w:rsid w:val="27B30E28"/>
    <w:rsid w:val="27B81FB9"/>
    <w:rsid w:val="27BF73C5"/>
    <w:rsid w:val="27C938F0"/>
    <w:rsid w:val="27CE36E1"/>
    <w:rsid w:val="27D16615"/>
    <w:rsid w:val="27DB286E"/>
    <w:rsid w:val="27DC1F46"/>
    <w:rsid w:val="27E26B2F"/>
    <w:rsid w:val="27E3770D"/>
    <w:rsid w:val="27E823ED"/>
    <w:rsid w:val="27F84FA1"/>
    <w:rsid w:val="27FDD51A"/>
    <w:rsid w:val="27FE6856"/>
    <w:rsid w:val="2808523B"/>
    <w:rsid w:val="281621F3"/>
    <w:rsid w:val="28231668"/>
    <w:rsid w:val="282A2EFA"/>
    <w:rsid w:val="28370309"/>
    <w:rsid w:val="283917D0"/>
    <w:rsid w:val="28433F5A"/>
    <w:rsid w:val="284550A0"/>
    <w:rsid w:val="284A5CA4"/>
    <w:rsid w:val="284B4F37"/>
    <w:rsid w:val="284C442A"/>
    <w:rsid w:val="284C4A2B"/>
    <w:rsid w:val="285407F5"/>
    <w:rsid w:val="28562DBC"/>
    <w:rsid w:val="286768D9"/>
    <w:rsid w:val="286C0340"/>
    <w:rsid w:val="286C2D61"/>
    <w:rsid w:val="287113E7"/>
    <w:rsid w:val="28776B74"/>
    <w:rsid w:val="287D0D43"/>
    <w:rsid w:val="287E7677"/>
    <w:rsid w:val="28801A02"/>
    <w:rsid w:val="28826F76"/>
    <w:rsid w:val="2896616C"/>
    <w:rsid w:val="289E31B0"/>
    <w:rsid w:val="28A30D98"/>
    <w:rsid w:val="28A434F5"/>
    <w:rsid w:val="28A94DC4"/>
    <w:rsid w:val="28AA3FD9"/>
    <w:rsid w:val="28AB02C8"/>
    <w:rsid w:val="28AF07E5"/>
    <w:rsid w:val="28B4308D"/>
    <w:rsid w:val="28B740DA"/>
    <w:rsid w:val="28C33694"/>
    <w:rsid w:val="28C80E31"/>
    <w:rsid w:val="28CE74FD"/>
    <w:rsid w:val="28D6498F"/>
    <w:rsid w:val="28DB3914"/>
    <w:rsid w:val="28DE781D"/>
    <w:rsid w:val="28E76E28"/>
    <w:rsid w:val="28F2659B"/>
    <w:rsid w:val="28F4594E"/>
    <w:rsid w:val="28FC235B"/>
    <w:rsid w:val="29025453"/>
    <w:rsid w:val="290427AA"/>
    <w:rsid w:val="290B5D62"/>
    <w:rsid w:val="29181BE3"/>
    <w:rsid w:val="291F2805"/>
    <w:rsid w:val="29275693"/>
    <w:rsid w:val="293D4E4D"/>
    <w:rsid w:val="2940049A"/>
    <w:rsid w:val="29485689"/>
    <w:rsid w:val="294F0DD5"/>
    <w:rsid w:val="29510A55"/>
    <w:rsid w:val="295403E9"/>
    <w:rsid w:val="29556D64"/>
    <w:rsid w:val="295B4BE8"/>
    <w:rsid w:val="296576F6"/>
    <w:rsid w:val="297465E0"/>
    <w:rsid w:val="298B4A0C"/>
    <w:rsid w:val="29995DFC"/>
    <w:rsid w:val="299A60D1"/>
    <w:rsid w:val="29A54DE7"/>
    <w:rsid w:val="29AB0E07"/>
    <w:rsid w:val="29AC3D81"/>
    <w:rsid w:val="29AE7AF9"/>
    <w:rsid w:val="29B64894"/>
    <w:rsid w:val="29BE3A59"/>
    <w:rsid w:val="29C3443B"/>
    <w:rsid w:val="29D64538"/>
    <w:rsid w:val="29D93267"/>
    <w:rsid w:val="29DB2BB8"/>
    <w:rsid w:val="29DF4E41"/>
    <w:rsid w:val="29E311E9"/>
    <w:rsid w:val="29E56D4B"/>
    <w:rsid w:val="29F12B5D"/>
    <w:rsid w:val="29F724E8"/>
    <w:rsid w:val="2A054327"/>
    <w:rsid w:val="2A090204"/>
    <w:rsid w:val="2A0C1188"/>
    <w:rsid w:val="2A0F5990"/>
    <w:rsid w:val="2A1B4A63"/>
    <w:rsid w:val="2A1C0F07"/>
    <w:rsid w:val="2A1D07DB"/>
    <w:rsid w:val="2A2F4799"/>
    <w:rsid w:val="2A377AEF"/>
    <w:rsid w:val="2A3F09B5"/>
    <w:rsid w:val="2A510485"/>
    <w:rsid w:val="2A665F0B"/>
    <w:rsid w:val="2A6F57FB"/>
    <w:rsid w:val="2A756869"/>
    <w:rsid w:val="2A8238CE"/>
    <w:rsid w:val="2A842C35"/>
    <w:rsid w:val="2A994270"/>
    <w:rsid w:val="2AA16BB2"/>
    <w:rsid w:val="2ABF4578"/>
    <w:rsid w:val="2ACB5D43"/>
    <w:rsid w:val="2AD27734"/>
    <w:rsid w:val="2AD71B56"/>
    <w:rsid w:val="2ADB5B0A"/>
    <w:rsid w:val="2AE17EE7"/>
    <w:rsid w:val="2AE2415F"/>
    <w:rsid w:val="2AE95F54"/>
    <w:rsid w:val="2AE9690F"/>
    <w:rsid w:val="2AF15F83"/>
    <w:rsid w:val="2AF66B88"/>
    <w:rsid w:val="2B01079C"/>
    <w:rsid w:val="2B02752A"/>
    <w:rsid w:val="2B0626A5"/>
    <w:rsid w:val="2B076CB2"/>
    <w:rsid w:val="2B0B1774"/>
    <w:rsid w:val="2B0F5DA6"/>
    <w:rsid w:val="2B117844"/>
    <w:rsid w:val="2B14398C"/>
    <w:rsid w:val="2B165956"/>
    <w:rsid w:val="2B1803C1"/>
    <w:rsid w:val="2B1D6AE9"/>
    <w:rsid w:val="2B241C55"/>
    <w:rsid w:val="2B261206"/>
    <w:rsid w:val="2B285689"/>
    <w:rsid w:val="2B2C37B5"/>
    <w:rsid w:val="2B3653F3"/>
    <w:rsid w:val="2B424A89"/>
    <w:rsid w:val="2B4B7916"/>
    <w:rsid w:val="2B513A1E"/>
    <w:rsid w:val="2B5327A4"/>
    <w:rsid w:val="2B5621F6"/>
    <w:rsid w:val="2B5D17D7"/>
    <w:rsid w:val="2B5F7649"/>
    <w:rsid w:val="2B77E5F3"/>
    <w:rsid w:val="2B7A7F9B"/>
    <w:rsid w:val="2B7E35E9"/>
    <w:rsid w:val="2B97636B"/>
    <w:rsid w:val="2B984192"/>
    <w:rsid w:val="2BA60F2A"/>
    <w:rsid w:val="2BAC66B6"/>
    <w:rsid w:val="2BAF7B59"/>
    <w:rsid w:val="2BB12B3E"/>
    <w:rsid w:val="2BB327BE"/>
    <w:rsid w:val="2BBD19A2"/>
    <w:rsid w:val="2BBD43A0"/>
    <w:rsid w:val="2BC472A3"/>
    <w:rsid w:val="2BCB321D"/>
    <w:rsid w:val="2BCCA96F"/>
    <w:rsid w:val="2BD01D6E"/>
    <w:rsid w:val="2BD1559F"/>
    <w:rsid w:val="2BD26AFB"/>
    <w:rsid w:val="2BD40774"/>
    <w:rsid w:val="2BDFDB9E"/>
    <w:rsid w:val="2BE813FA"/>
    <w:rsid w:val="2BF40C1A"/>
    <w:rsid w:val="2BFB5679"/>
    <w:rsid w:val="2C0C4151"/>
    <w:rsid w:val="2C1105D9"/>
    <w:rsid w:val="2C113E5C"/>
    <w:rsid w:val="2C1602E4"/>
    <w:rsid w:val="2C2C11A9"/>
    <w:rsid w:val="2C2C2488"/>
    <w:rsid w:val="2C2C6C04"/>
    <w:rsid w:val="2C2F340C"/>
    <w:rsid w:val="2C362D97"/>
    <w:rsid w:val="2C3C6E9F"/>
    <w:rsid w:val="2C3F7E23"/>
    <w:rsid w:val="2C4B2800"/>
    <w:rsid w:val="2C4F4D06"/>
    <w:rsid w:val="2C50721A"/>
    <w:rsid w:val="2C5579F7"/>
    <w:rsid w:val="2C5B6D26"/>
    <w:rsid w:val="2C616407"/>
    <w:rsid w:val="2C624D15"/>
    <w:rsid w:val="2C701096"/>
    <w:rsid w:val="2C7202F2"/>
    <w:rsid w:val="2C7E68E7"/>
    <w:rsid w:val="2C7E6A0F"/>
    <w:rsid w:val="2C7F2682"/>
    <w:rsid w:val="2C875551"/>
    <w:rsid w:val="2C94532F"/>
    <w:rsid w:val="2C983D35"/>
    <w:rsid w:val="2C9A7238"/>
    <w:rsid w:val="2CA23765"/>
    <w:rsid w:val="2CAA2D56"/>
    <w:rsid w:val="2CAE473D"/>
    <w:rsid w:val="2CB35BE4"/>
    <w:rsid w:val="2CB9368A"/>
    <w:rsid w:val="2CBA2FB1"/>
    <w:rsid w:val="2CBD0053"/>
    <w:rsid w:val="2CC82306"/>
    <w:rsid w:val="2CCB53BB"/>
    <w:rsid w:val="2CCF04B2"/>
    <w:rsid w:val="2CDD07AF"/>
    <w:rsid w:val="2CFF066C"/>
    <w:rsid w:val="2D013765"/>
    <w:rsid w:val="2D31615F"/>
    <w:rsid w:val="2D355E3C"/>
    <w:rsid w:val="2D3C0D67"/>
    <w:rsid w:val="2D41454E"/>
    <w:rsid w:val="2D4E0FE1"/>
    <w:rsid w:val="2D5C2B7A"/>
    <w:rsid w:val="2D6762F9"/>
    <w:rsid w:val="2D6C7591"/>
    <w:rsid w:val="2D6E2A94"/>
    <w:rsid w:val="2D726DD6"/>
    <w:rsid w:val="2D755CA2"/>
    <w:rsid w:val="2D7F400A"/>
    <w:rsid w:val="2D7F4033"/>
    <w:rsid w:val="2D7F70CB"/>
    <w:rsid w:val="2D8317F5"/>
    <w:rsid w:val="2D831A36"/>
    <w:rsid w:val="2D880661"/>
    <w:rsid w:val="2D8C591B"/>
    <w:rsid w:val="2D8D3349"/>
    <w:rsid w:val="2D8E211C"/>
    <w:rsid w:val="2D8F3B81"/>
    <w:rsid w:val="2D8F684C"/>
    <w:rsid w:val="2D904F8F"/>
    <w:rsid w:val="2D9862F2"/>
    <w:rsid w:val="2D9D6E66"/>
    <w:rsid w:val="2DAB037A"/>
    <w:rsid w:val="2DBB27E5"/>
    <w:rsid w:val="2DBD7137"/>
    <w:rsid w:val="2DBE739B"/>
    <w:rsid w:val="2DC647A7"/>
    <w:rsid w:val="2DCC08AF"/>
    <w:rsid w:val="2DCC2611"/>
    <w:rsid w:val="2DCC4132"/>
    <w:rsid w:val="2DD76C45"/>
    <w:rsid w:val="2DDD3102"/>
    <w:rsid w:val="2DE16ED1"/>
    <w:rsid w:val="2DE735DA"/>
    <w:rsid w:val="2DFA0539"/>
    <w:rsid w:val="2E050184"/>
    <w:rsid w:val="2E0F4803"/>
    <w:rsid w:val="2E157DAA"/>
    <w:rsid w:val="2E1909AE"/>
    <w:rsid w:val="2E1E446E"/>
    <w:rsid w:val="2E234B41"/>
    <w:rsid w:val="2E262242"/>
    <w:rsid w:val="2E2D3BF9"/>
    <w:rsid w:val="2E2D6DDD"/>
    <w:rsid w:val="2E3D58F0"/>
    <w:rsid w:val="2E4140F1"/>
    <w:rsid w:val="2E446F78"/>
    <w:rsid w:val="2E475FFA"/>
    <w:rsid w:val="2E755845"/>
    <w:rsid w:val="2E7B51CF"/>
    <w:rsid w:val="2E7F3BD6"/>
    <w:rsid w:val="2EA0798E"/>
    <w:rsid w:val="2EA25753"/>
    <w:rsid w:val="2EA3508F"/>
    <w:rsid w:val="2EA50592"/>
    <w:rsid w:val="2EAC599E"/>
    <w:rsid w:val="2EB93E9B"/>
    <w:rsid w:val="2EB9754B"/>
    <w:rsid w:val="2EBA484A"/>
    <w:rsid w:val="2EC8340B"/>
    <w:rsid w:val="2ED2428A"/>
    <w:rsid w:val="2EDB00A2"/>
    <w:rsid w:val="2EDB42EF"/>
    <w:rsid w:val="2EDF7472"/>
    <w:rsid w:val="2EE23C7A"/>
    <w:rsid w:val="2EE316FC"/>
    <w:rsid w:val="2EE70102"/>
    <w:rsid w:val="2EEB3E5F"/>
    <w:rsid w:val="2EF20488"/>
    <w:rsid w:val="2EF22236"/>
    <w:rsid w:val="2EFB252F"/>
    <w:rsid w:val="2F011967"/>
    <w:rsid w:val="2F1269C8"/>
    <w:rsid w:val="2F141ECB"/>
    <w:rsid w:val="2F172C53"/>
    <w:rsid w:val="2F202EB4"/>
    <w:rsid w:val="2F267D77"/>
    <w:rsid w:val="2F302D5E"/>
    <w:rsid w:val="2F305F78"/>
    <w:rsid w:val="2F3276C7"/>
    <w:rsid w:val="2F363704"/>
    <w:rsid w:val="2F421715"/>
    <w:rsid w:val="2F4231B5"/>
    <w:rsid w:val="2F462E98"/>
    <w:rsid w:val="2F4B1946"/>
    <w:rsid w:val="2F560A17"/>
    <w:rsid w:val="2F594BBE"/>
    <w:rsid w:val="2F5A263F"/>
    <w:rsid w:val="2F5A7DDB"/>
    <w:rsid w:val="2F5C3B54"/>
    <w:rsid w:val="2F642A08"/>
    <w:rsid w:val="2F684677"/>
    <w:rsid w:val="2F6B4AD8"/>
    <w:rsid w:val="2F6E5FB6"/>
    <w:rsid w:val="2F781BEF"/>
    <w:rsid w:val="2F9B1968"/>
    <w:rsid w:val="2FA417BA"/>
    <w:rsid w:val="2FA8493D"/>
    <w:rsid w:val="2FB829D9"/>
    <w:rsid w:val="2FBD6606"/>
    <w:rsid w:val="2FBE7685"/>
    <w:rsid w:val="2FBE7E9E"/>
    <w:rsid w:val="2FC01FE3"/>
    <w:rsid w:val="2FCB3CBE"/>
    <w:rsid w:val="2FCE4B7C"/>
    <w:rsid w:val="2FD21953"/>
    <w:rsid w:val="2FDA5341"/>
    <w:rsid w:val="2FE0009C"/>
    <w:rsid w:val="2FEB66AB"/>
    <w:rsid w:val="2FF73810"/>
    <w:rsid w:val="2FF9E1B0"/>
    <w:rsid w:val="2FFB511A"/>
    <w:rsid w:val="30021ABE"/>
    <w:rsid w:val="30047255"/>
    <w:rsid w:val="30050FA4"/>
    <w:rsid w:val="300B4798"/>
    <w:rsid w:val="3028070E"/>
    <w:rsid w:val="302D0419"/>
    <w:rsid w:val="3034062C"/>
    <w:rsid w:val="30422D49"/>
    <w:rsid w:val="304F5466"/>
    <w:rsid w:val="304F7A3C"/>
    <w:rsid w:val="305A0290"/>
    <w:rsid w:val="305C58BB"/>
    <w:rsid w:val="306A49FB"/>
    <w:rsid w:val="3073530A"/>
    <w:rsid w:val="30797214"/>
    <w:rsid w:val="307C0A59"/>
    <w:rsid w:val="307D69B0"/>
    <w:rsid w:val="308710A4"/>
    <w:rsid w:val="308974AE"/>
    <w:rsid w:val="308A4A04"/>
    <w:rsid w:val="308B5380"/>
    <w:rsid w:val="308E19D8"/>
    <w:rsid w:val="309317F7"/>
    <w:rsid w:val="309410C2"/>
    <w:rsid w:val="3097666B"/>
    <w:rsid w:val="30984245"/>
    <w:rsid w:val="30985912"/>
    <w:rsid w:val="30A367D5"/>
    <w:rsid w:val="30A5355B"/>
    <w:rsid w:val="30AB2608"/>
    <w:rsid w:val="30B17ECF"/>
    <w:rsid w:val="30BC6FA0"/>
    <w:rsid w:val="30C101E2"/>
    <w:rsid w:val="30D61B2C"/>
    <w:rsid w:val="30D97FE5"/>
    <w:rsid w:val="30DB1837"/>
    <w:rsid w:val="30DF243B"/>
    <w:rsid w:val="30EC7553"/>
    <w:rsid w:val="30F1555F"/>
    <w:rsid w:val="30FE32FE"/>
    <w:rsid w:val="31030681"/>
    <w:rsid w:val="3110648D"/>
    <w:rsid w:val="31177244"/>
    <w:rsid w:val="31534978"/>
    <w:rsid w:val="31607511"/>
    <w:rsid w:val="316C6CE6"/>
    <w:rsid w:val="317716B5"/>
    <w:rsid w:val="31833619"/>
    <w:rsid w:val="318D3859"/>
    <w:rsid w:val="31A31F0E"/>
    <w:rsid w:val="31B90C44"/>
    <w:rsid w:val="31BE4795"/>
    <w:rsid w:val="31BE7040"/>
    <w:rsid w:val="31C74D29"/>
    <w:rsid w:val="31CB7D72"/>
    <w:rsid w:val="31D165A3"/>
    <w:rsid w:val="31D729D3"/>
    <w:rsid w:val="31E424D8"/>
    <w:rsid w:val="31E77BD1"/>
    <w:rsid w:val="31F237A2"/>
    <w:rsid w:val="320A11B4"/>
    <w:rsid w:val="321005AF"/>
    <w:rsid w:val="32152695"/>
    <w:rsid w:val="3224724F"/>
    <w:rsid w:val="32273586"/>
    <w:rsid w:val="322B465C"/>
    <w:rsid w:val="3237046E"/>
    <w:rsid w:val="32385EF0"/>
    <w:rsid w:val="323C48F6"/>
    <w:rsid w:val="323D5EBE"/>
    <w:rsid w:val="32603568"/>
    <w:rsid w:val="3264344B"/>
    <w:rsid w:val="32667222"/>
    <w:rsid w:val="32674841"/>
    <w:rsid w:val="326835EA"/>
    <w:rsid w:val="32696CB3"/>
    <w:rsid w:val="32724DD0"/>
    <w:rsid w:val="3277099C"/>
    <w:rsid w:val="328153EA"/>
    <w:rsid w:val="32867865"/>
    <w:rsid w:val="32890278"/>
    <w:rsid w:val="328E0E7D"/>
    <w:rsid w:val="32954761"/>
    <w:rsid w:val="329B0EE3"/>
    <w:rsid w:val="329C1497"/>
    <w:rsid w:val="32A816A9"/>
    <w:rsid w:val="32A856ED"/>
    <w:rsid w:val="32AD1732"/>
    <w:rsid w:val="32B11D6B"/>
    <w:rsid w:val="32CA0CE2"/>
    <w:rsid w:val="32CC7242"/>
    <w:rsid w:val="32D64AF4"/>
    <w:rsid w:val="32DF3206"/>
    <w:rsid w:val="32E12E85"/>
    <w:rsid w:val="32E773DD"/>
    <w:rsid w:val="32EE5A1E"/>
    <w:rsid w:val="32F35B81"/>
    <w:rsid w:val="330B5718"/>
    <w:rsid w:val="330C4FCE"/>
    <w:rsid w:val="330D71CD"/>
    <w:rsid w:val="332D6190"/>
    <w:rsid w:val="3338038B"/>
    <w:rsid w:val="33394B99"/>
    <w:rsid w:val="33417A27"/>
    <w:rsid w:val="33447AEB"/>
    <w:rsid w:val="33454AAC"/>
    <w:rsid w:val="334A2505"/>
    <w:rsid w:val="33557238"/>
    <w:rsid w:val="335A2AA0"/>
    <w:rsid w:val="335C27CF"/>
    <w:rsid w:val="335E60EC"/>
    <w:rsid w:val="33646620"/>
    <w:rsid w:val="33686F6B"/>
    <w:rsid w:val="33691AE5"/>
    <w:rsid w:val="336D3D6E"/>
    <w:rsid w:val="336F39EE"/>
    <w:rsid w:val="336F5E55"/>
    <w:rsid w:val="337F42B4"/>
    <w:rsid w:val="33852643"/>
    <w:rsid w:val="338C0DA0"/>
    <w:rsid w:val="338C3E1F"/>
    <w:rsid w:val="338F774C"/>
    <w:rsid w:val="33997107"/>
    <w:rsid w:val="339F2818"/>
    <w:rsid w:val="33A07A40"/>
    <w:rsid w:val="33A46FC8"/>
    <w:rsid w:val="33B02259"/>
    <w:rsid w:val="33B379FC"/>
    <w:rsid w:val="33B92B69"/>
    <w:rsid w:val="33BC6C7D"/>
    <w:rsid w:val="33CA6686"/>
    <w:rsid w:val="33CB7D0E"/>
    <w:rsid w:val="33CE7F94"/>
    <w:rsid w:val="33D41194"/>
    <w:rsid w:val="33F85ED1"/>
    <w:rsid w:val="3407590D"/>
    <w:rsid w:val="340B0F0F"/>
    <w:rsid w:val="340B2E3D"/>
    <w:rsid w:val="34172F02"/>
    <w:rsid w:val="341D4E0B"/>
    <w:rsid w:val="3425351D"/>
    <w:rsid w:val="34254E5C"/>
    <w:rsid w:val="344423B0"/>
    <w:rsid w:val="34442F4F"/>
    <w:rsid w:val="34455FD0"/>
    <w:rsid w:val="344D1295"/>
    <w:rsid w:val="345D2848"/>
    <w:rsid w:val="345D5218"/>
    <w:rsid w:val="34654306"/>
    <w:rsid w:val="34692D0C"/>
    <w:rsid w:val="346A6596"/>
    <w:rsid w:val="347363C2"/>
    <w:rsid w:val="34741452"/>
    <w:rsid w:val="3476002E"/>
    <w:rsid w:val="34796F56"/>
    <w:rsid w:val="347A0A28"/>
    <w:rsid w:val="347D715E"/>
    <w:rsid w:val="34820207"/>
    <w:rsid w:val="348346A8"/>
    <w:rsid w:val="34904BBF"/>
    <w:rsid w:val="34914DCA"/>
    <w:rsid w:val="34955FD2"/>
    <w:rsid w:val="34961F09"/>
    <w:rsid w:val="34987FD8"/>
    <w:rsid w:val="349D4B5C"/>
    <w:rsid w:val="34A15065"/>
    <w:rsid w:val="34CF4C17"/>
    <w:rsid w:val="34DE0B6C"/>
    <w:rsid w:val="34DF2F82"/>
    <w:rsid w:val="34E3087A"/>
    <w:rsid w:val="34EE16F2"/>
    <w:rsid w:val="34EF5164"/>
    <w:rsid w:val="34F55208"/>
    <w:rsid w:val="34FA1E45"/>
    <w:rsid w:val="34FB227B"/>
    <w:rsid w:val="35085A11"/>
    <w:rsid w:val="35093AFE"/>
    <w:rsid w:val="350F0F1C"/>
    <w:rsid w:val="3510699D"/>
    <w:rsid w:val="35121EA0"/>
    <w:rsid w:val="35156C7E"/>
    <w:rsid w:val="35194603"/>
    <w:rsid w:val="352354D7"/>
    <w:rsid w:val="352630BF"/>
    <w:rsid w:val="352A4DF0"/>
    <w:rsid w:val="353335A8"/>
    <w:rsid w:val="3536335A"/>
    <w:rsid w:val="353978F7"/>
    <w:rsid w:val="35430471"/>
    <w:rsid w:val="35507C9C"/>
    <w:rsid w:val="35597CF1"/>
    <w:rsid w:val="35653EA9"/>
    <w:rsid w:val="356636B4"/>
    <w:rsid w:val="35696FCA"/>
    <w:rsid w:val="356C751A"/>
    <w:rsid w:val="357207F2"/>
    <w:rsid w:val="35764143"/>
    <w:rsid w:val="3579793F"/>
    <w:rsid w:val="358024D4"/>
    <w:rsid w:val="35840EDB"/>
    <w:rsid w:val="358E6A31"/>
    <w:rsid w:val="359101F0"/>
    <w:rsid w:val="35966E67"/>
    <w:rsid w:val="35A1628C"/>
    <w:rsid w:val="35B12CA3"/>
    <w:rsid w:val="35B85EB2"/>
    <w:rsid w:val="35BA13B5"/>
    <w:rsid w:val="35BA5B31"/>
    <w:rsid w:val="35C66C0E"/>
    <w:rsid w:val="35C8614C"/>
    <w:rsid w:val="35D15757"/>
    <w:rsid w:val="35D255A5"/>
    <w:rsid w:val="35D850E1"/>
    <w:rsid w:val="35DF02EF"/>
    <w:rsid w:val="35DF6936"/>
    <w:rsid w:val="35E11274"/>
    <w:rsid w:val="35F9471D"/>
    <w:rsid w:val="360217A9"/>
    <w:rsid w:val="36032AAE"/>
    <w:rsid w:val="36044CAC"/>
    <w:rsid w:val="360905B2"/>
    <w:rsid w:val="360913E6"/>
    <w:rsid w:val="360D51A6"/>
    <w:rsid w:val="360F1D32"/>
    <w:rsid w:val="360F588D"/>
    <w:rsid w:val="36170744"/>
    <w:rsid w:val="361909F0"/>
    <w:rsid w:val="361D2871"/>
    <w:rsid w:val="362353CB"/>
    <w:rsid w:val="362E38F2"/>
    <w:rsid w:val="363A1903"/>
    <w:rsid w:val="363A2D6D"/>
    <w:rsid w:val="364D290D"/>
    <w:rsid w:val="36524076"/>
    <w:rsid w:val="3655592F"/>
    <w:rsid w:val="36721B3D"/>
    <w:rsid w:val="3679323D"/>
    <w:rsid w:val="36834B21"/>
    <w:rsid w:val="368564FF"/>
    <w:rsid w:val="36871F07"/>
    <w:rsid w:val="368E1A09"/>
    <w:rsid w:val="36902D55"/>
    <w:rsid w:val="36A023AE"/>
    <w:rsid w:val="36A66A34"/>
    <w:rsid w:val="36A91A9B"/>
    <w:rsid w:val="36A940B1"/>
    <w:rsid w:val="36AA1648"/>
    <w:rsid w:val="36AD2B53"/>
    <w:rsid w:val="36B1214A"/>
    <w:rsid w:val="36B6732D"/>
    <w:rsid w:val="36C64D6A"/>
    <w:rsid w:val="36D641EB"/>
    <w:rsid w:val="36DA644C"/>
    <w:rsid w:val="36E47F3A"/>
    <w:rsid w:val="36E73971"/>
    <w:rsid w:val="36EB4FAA"/>
    <w:rsid w:val="36F90C00"/>
    <w:rsid w:val="370E09E1"/>
    <w:rsid w:val="371116C7"/>
    <w:rsid w:val="3715036C"/>
    <w:rsid w:val="371B20F5"/>
    <w:rsid w:val="3724250A"/>
    <w:rsid w:val="3727738D"/>
    <w:rsid w:val="373E372F"/>
    <w:rsid w:val="373F11B0"/>
    <w:rsid w:val="3748158D"/>
    <w:rsid w:val="37504CCE"/>
    <w:rsid w:val="37537E51"/>
    <w:rsid w:val="37585439"/>
    <w:rsid w:val="37617167"/>
    <w:rsid w:val="37620175"/>
    <w:rsid w:val="37624BE8"/>
    <w:rsid w:val="3764396F"/>
    <w:rsid w:val="37655E3C"/>
    <w:rsid w:val="376F478B"/>
    <w:rsid w:val="37844317"/>
    <w:rsid w:val="37875BA8"/>
    <w:rsid w:val="37887BDC"/>
    <w:rsid w:val="378B43A5"/>
    <w:rsid w:val="3795413E"/>
    <w:rsid w:val="37984407"/>
    <w:rsid w:val="379A05C5"/>
    <w:rsid w:val="37A03524"/>
    <w:rsid w:val="37A12F76"/>
    <w:rsid w:val="37A34A15"/>
    <w:rsid w:val="37AD3588"/>
    <w:rsid w:val="37B207B5"/>
    <w:rsid w:val="37B47574"/>
    <w:rsid w:val="37B54749"/>
    <w:rsid w:val="37B95D33"/>
    <w:rsid w:val="37BE13C4"/>
    <w:rsid w:val="37C44C8D"/>
    <w:rsid w:val="37C84F19"/>
    <w:rsid w:val="37CC6816"/>
    <w:rsid w:val="37CD7439"/>
    <w:rsid w:val="37ED004F"/>
    <w:rsid w:val="37F36278"/>
    <w:rsid w:val="37F42B6B"/>
    <w:rsid w:val="37F86F59"/>
    <w:rsid w:val="37FA5167"/>
    <w:rsid w:val="37FB72F6"/>
    <w:rsid w:val="37FF2474"/>
    <w:rsid w:val="380C1501"/>
    <w:rsid w:val="38165991"/>
    <w:rsid w:val="381C707F"/>
    <w:rsid w:val="382117A3"/>
    <w:rsid w:val="38211E89"/>
    <w:rsid w:val="38234CA6"/>
    <w:rsid w:val="382736AC"/>
    <w:rsid w:val="38292433"/>
    <w:rsid w:val="382A7EB4"/>
    <w:rsid w:val="382E68BB"/>
    <w:rsid w:val="38314AA1"/>
    <w:rsid w:val="38392C84"/>
    <w:rsid w:val="383E029A"/>
    <w:rsid w:val="38451629"/>
    <w:rsid w:val="3850049E"/>
    <w:rsid w:val="385148AA"/>
    <w:rsid w:val="38547C0B"/>
    <w:rsid w:val="3856677A"/>
    <w:rsid w:val="386A5BCE"/>
    <w:rsid w:val="387072B1"/>
    <w:rsid w:val="387202A9"/>
    <w:rsid w:val="38766CAF"/>
    <w:rsid w:val="387E6AA8"/>
    <w:rsid w:val="387F4EE2"/>
    <w:rsid w:val="38802FEB"/>
    <w:rsid w:val="38853CBC"/>
    <w:rsid w:val="38871C41"/>
    <w:rsid w:val="38894E1C"/>
    <w:rsid w:val="38966328"/>
    <w:rsid w:val="389712B7"/>
    <w:rsid w:val="389C6EEF"/>
    <w:rsid w:val="38AD3492"/>
    <w:rsid w:val="38AE37FD"/>
    <w:rsid w:val="38AF7E11"/>
    <w:rsid w:val="38B467AE"/>
    <w:rsid w:val="38BE03B9"/>
    <w:rsid w:val="38BE0728"/>
    <w:rsid w:val="38C500B3"/>
    <w:rsid w:val="38C52C46"/>
    <w:rsid w:val="38CF7268"/>
    <w:rsid w:val="38D00445"/>
    <w:rsid w:val="38D03EC5"/>
    <w:rsid w:val="38E008DD"/>
    <w:rsid w:val="38E473A5"/>
    <w:rsid w:val="38E56968"/>
    <w:rsid w:val="38EE3475"/>
    <w:rsid w:val="38F757BF"/>
    <w:rsid w:val="38FB278B"/>
    <w:rsid w:val="3900280D"/>
    <w:rsid w:val="390E09B5"/>
    <w:rsid w:val="39137E32"/>
    <w:rsid w:val="391B13F0"/>
    <w:rsid w:val="392513D1"/>
    <w:rsid w:val="39282356"/>
    <w:rsid w:val="392A5859"/>
    <w:rsid w:val="39343BEA"/>
    <w:rsid w:val="393E44F9"/>
    <w:rsid w:val="39455DC1"/>
    <w:rsid w:val="39456083"/>
    <w:rsid w:val="3949030C"/>
    <w:rsid w:val="3950297B"/>
    <w:rsid w:val="39505EE1"/>
    <w:rsid w:val="397040BF"/>
    <w:rsid w:val="397F4F63"/>
    <w:rsid w:val="39881188"/>
    <w:rsid w:val="398A6EBC"/>
    <w:rsid w:val="398F7A24"/>
    <w:rsid w:val="39931A05"/>
    <w:rsid w:val="399F3299"/>
    <w:rsid w:val="39A85231"/>
    <w:rsid w:val="39B4572B"/>
    <w:rsid w:val="39B84D9B"/>
    <w:rsid w:val="39BA18C5"/>
    <w:rsid w:val="39BD2234"/>
    <w:rsid w:val="39C11183"/>
    <w:rsid w:val="39CB2002"/>
    <w:rsid w:val="39F60425"/>
    <w:rsid w:val="39F72554"/>
    <w:rsid w:val="39F7D05D"/>
    <w:rsid w:val="39FE3121"/>
    <w:rsid w:val="39FE74E2"/>
    <w:rsid w:val="3A0A065C"/>
    <w:rsid w:val="3A0D6176"/>
    <w:rsid w:val="3A0E4972"/>
    <w:rsid w:val="3A127C30"/>
    <w:rsid w:val="3A1E0B04"/>
    <w:rsid w:val="3A214658"/>
    <w:rsid w:val="3A287DBF"/>
    <w:rsid w:val="3A2D057F"/>
    <w:rsid w:val="3A2E433E"/>
    <w:rsid w:val="3A367CA1"/>
    <w:rsid w:val="3A3C0F41"/>
    <w:rsid w:val="3A3C1A76"/>
    <w:rsid w:val="3A495157"/>
    <w:rsid w:val="3A4F4F60"/>
    <w:rsid w:val="3A572605"/>
    <w:rsid w:val="3A5B4F29"/>
    <w:rsid w:val="3A5D3099"/>
    <w:rsid w:val="3A5E6B4F"/>
    <w:rsid w:val="3A722701"/>
    <w:rsid w:val="3A756774"/>
    <w:rsid w:val="3A7726A4"/>
    <w:rsid w:val="3A7D7404"/>
    <w:rsid w:val="3A852292"/>
    <w:rsid w:val="3A8904A6"/>
    <w:rsid w:val="3A8A2E97"/>
    <w:rsid w:val="3A8C09B5"/>
    <w:rsid w:val="3A95562A"/>
    <w:rsid w:val="3AA23ABF"/>
    <w:rsid w:val="3AA627C7"/>
    <w:rsid w:val="3AAF1923"/>
    <w:rsid w:val="3AB665B5"/>
    <w:rsid w:val="3AB70C82"/>
    <w:rsid w:val="3ABB6EE9"/>
    <w:rsid w:val="3AD24910"/>
    <w:rsid w:val="3AD91D1C"/>
    <w:rsid w:val="3ADE61A4"/>
    <w:rsid w:val="3AE17129"/>
    <w:rsid w:val="3AE24BAA"/>
    <w:rsid w:val="3AE3262C"/>
    <w:rsid w:val="3AF947CF"/>
    <w:rsid w:val="3AFB7B91"/>
    <w:rsid w:val="3AFF66D9"/>
    <w:rsid w:val="3B00777F"/>
    <w:rsid w:val="3B0911E6"/>
    <w:rsid w:val="3B0A24EB"/>
    <w:rsid w:val="3B196D9D"/>
    <w:rsid w:val="3B1B2786"/>
    <w:rsid w:val="3B27401A"/>
    <w:rsid w:val="3B2F4CA9"/>
    <w:rsid w:val="3B324532"/>
    <w:rsid w:val="3B337E5E"/>
    <w:rsid w:val="3B364634"/>
    <w:rsid w:val="3B3C026F"/>
    <w:rsid w:val="3B430836"/>
    <w:rsid w:val="3B4849E1"/>
    <w:rsid w:val="3B5228DF"/>
    <w:rsid w:val="3B58006C"/>
    <w:rsid w:val="3B5D6174"/>
    <w:rsid w:val="3B633EE6"/>
    <w:rsid w:val="3B712438"/>
    <w:rsid w:val="3B73477A"/>
    <w:rsid w:val="3B7B3AA4"/>
    <w:rsid w:val="3B8561E0"/>
    <w:rsid w:val="3B8C75C1"/>
    <w:rsid w:val="3B9001C6"/>
    <w:rsid w:val="3B946BCC"/>
    <w:rsid w:val="3BA048D6"/>
    <w:rsid w:val="3BC5272F"/>
    <w:rsid w:val="3BC82BB4"/>
    <w:rsid w:val="3BCE6C1F"/>
    <w:rsid w:val="3BCF38CE"/>
    <w:rsid w:val="3BD10C2F"/>
    <w:rsid w:val="3BDA7340"/>
    <w:rsid w:val="3BDB4DC2"/>
    <w:rsid w:val="3BDE4717"/>
    <w:rsid w:val="3BE35D9E"/>
    <w:rsid w:val="3BE467BF"/>
    <w:rsid w:val="3BEF1864"/>
    <w:rsid w:val="3BF14D67"/>
    <w:rsid w:val="3C061489"/>
    <w:rsid w:val="3C117A62"/>
    <w:rsid w:val="3C1E32AD"/>
    <w:rsid w:val="3C242530"/>
    <w:rsid w:val="3C26613B"/>
    <w:rsid w:val="3C277440"/>
    <w:rsid w:val="3C460E81"/>
    <w:rsid w:val="3C57218D"/>
    <w:rsid w:val="3C57752C"/>
    <w:rsid w:val="3C585C08"/>
    <w:rsid w:val="3C594312"/>
    <w:rsid w:val="3C616C4D"/>
    <w:rsid w:val="3C720E5A"/>
    <w:rsid w:val="3C862FBA"/>
    <w:rsid w:val="3C874EDB"/>
    <w:rsid w:val="3C8E1672"/>
    <w:rsid w:val="3C92326C"/>
    <w:rsid w:val="3C926AEF"/>
    <w:rsid w:val="3C945B02"/>
    <w:rsid w:val="3CA2271E"/>
    <w:rsid w:val="3CA55182"/>
    <w:rsid w:val="3CAE2B9C"/>
    <w:rsid w:val="3CC911C7"/>
    <w:rsid w:val="3CC918DB"/>
    <w:rsid w:val="3CD00B52"/>
    <w:rsid w:val="3CD30CD1"/>
    <w:rsid w:val="3CE73FFB"/>
    <w:rsid w:val="3CEA6C43"/>
    <w:rsid w:val="3CEEF982"/>
    <w:rsid w:val="3CF06E89"/>
    <w:rsid w:val="3CF93F15"/>
    <w:rsid w:val="3CFA6240"/>
    <w:rsid w:val="3CFB17CD"/>
    <w:rsid w:val="3CFB7418"/>
    <w:rsid w:val="3D027E0F"/>
    <w:rsid w:val="3D076AAE"/>
    <w:rsid w:val="3D0777F5"/>
    <w:rsid w:val="3D0F69E6"/>
    <w:rsid w:val="3D161F83"/>
    <w:rsid w:val="3D1A7CCD"/>
    <w:rsid w:val="3D21086E"/>
    <w:rsid w:val="3D342684"/>
    <w:rsid w:val="3D3B3C1C"/>
    <w:rsid w:val="3D3E5B6F"/>
    <w:rsid w:val="3D440B11"/>
    <w:rsid w:val="3D4B3D1F"/>
    <w:rsid w:val="3D4C7024"/>
    <w:rsid w:val="3D527E27"/>
    <w:rsid w:val="3D546BAD"/>
    <w:rsid w:val="3D5D7415"/>
    <w:rsid w:val="3D5F4F3E"/>
    <w:rsid w:val="3D676182"/>
    <w:rsid w:val="3D6A7D83"/>
    <w:rsid w:val="3D6B6B23"/>
    <w:rsid w:val="3D6C0394"/>
    <w:rsid w:val="3D6C74FD"/>
    <w:rsid w:val="3D750857"/>
    <w:rsid w:val="3D795AE8"/>
    <w:rsid w:val="3D7C3BC4"/>
    <w:rsid w:val="3D8C3E49"/>
    <w:rsid w:val="3D934113"/>
    <w:rsid w:val="3D98639D"/>
    <w:rsid w:val="3D9B618F"/>
    <w:rsid w:val="3DAC3304"/>
    <w:rsid w:val="3DB47ECB"/>
    <w:rsid w:val="3DB71162"/>
    <w:rsid w:val="3DB80CB3"/>
    <w:rsid w:val="3DBA6551"/>
    <w:rsid w:val="3DDB794C"/>
    <w:rsid w:val="3DDF07F9"/>
    <w:rsid w:val="3DEB25A4"/>
    <w:rsid w:val="3DF40CB5"/>
    <w:rsid w:val="3DFF1244"/>
    <w:rsid w:val="3E0C635B"/>
    <w:rsid w:val="3E151DD8"/>
    <w:rsid w:val="3E1A30F3"/>
    <w:rsid w:val="3E1A70B4"/>
    <w:rsid w:val="3E212A7E"/>
    <w:rsid w:val="3E255E57"/>
    <w:rsid w:val="3E29379B"/>
    <w:rsid w:val="3E2E064A"/>
    <w:rsid w:val="3E3B5529"/>
    <w:rsid w:val="3E43485C"/>
    <w:rsid w:val="3E491EE2"/>
    <w:rsid w:val="3E5701EA"/>
    <w:rsid w:val="3E5D4E61"/>
    <w:rsid w:val="3E645C6A"/>
    <w:rsid w:val="3E661EED"/>
    <w:rsid w:val="3E765DD2"/>
    <w:rsid w:val="3E775A0B"/>
    <w:rsid w:val="3E7C1E93"/>
    <w:rsid w:val="3E84149D"/>
    <w:rsid w:val="3E8D7BAE"/>
    <w:rsid w:val="3E8F63C1"/>
    <w:rsid w:val="3E916E3E"/>
    <w:rsid w:val="3E924036"/>
    <w:rsid w:val="3E93204D"/>
    <w:rsid w:val="3E945BD7"/>
    <w:rsid w:val="3E98426E"/>
    <w:rsid w:val="3EB219E2"/>
    <w:rsid w:val="3EBA7779"/>
    <w:rsid w:val="3EC040FF"/>
    <w:rsid w:val="3EC14B85"/>
    <w:rsid w:val="3EC90A0B"/>
    <w:rsid w:val="3ECD2B96"/>
    <w:rsid w:val="3ECF7E9E"/>
    <w:rsid w:val="3EDA12BB"/>
    <w:rsid w:val="3EDF4135"/>
    <w:rsid w:val="3EE372B8"/>
    <w:rsid w:val="3EEB139D"/>
    <w:rsid w:val="3EF5F63C"/>
    <w:rsid w:val="3F0C5EFE"/>
    <w:rsid w:val="3F0F1503"/>
    <w:rsid w:val="3F112386"/>
    <w:rsid w:val="3F141433"/>
    <w:rsid w:val="3F20694C"/>
    <w:rsid w:val="3F281CA4"/>
    <w:rsid w:val="3F2E5DB6"/>
    <w:rsid w:val="3F2E7738"/>
    <w:rsid w:val="3F340649"/>
    <w:rsid w:val="3F362E60"/>
    <w:rsid w:val="3F43263A"/>
    <w:rsid w:val="3F4426B2"/>
    <w:rsid w:val="3F512FA9"/>
    <w:rsid w:val="3F5C36FF"/>
    <w:rsid w:val="3F665DB8"/>
    <w:rsid w:val="3F694860"/>
    <w:rsid w:val="3F695DAF"/>
    <w:rsid w:val="3F6B36E1"/>
    <w:rsid w:val="3F6C26AB"/>
    <w:rsid w:val="3F736BA7"/>
    <w:rsid w:val="3F740A45"/>
    <w:rsid w:val="3F794A24"/>
    <w:rsid w:val="3F8B25C7"/>
    <w:rsid w:val="3F9707F3"/>
    <w:rsid w:val="3F9A0FE5"/>
    <w:rsid w:val="3F9B6F7B"/>
    <w:rsid w:val="3FA27361"/>
    <w:rsid w:val="3FA431BE"/>
    <w:rsid w:val="3FAD5A88"/>
    <w:rsid w:val="3FAE7C86"/>
    <w:rsid w:val="3FB12ADB"/>
    <w:rsid w:val="3FB7059B"/>
    <w:rsid w:val="3FBD063E"/>
    <w:rsid w:val="3FBE7F20"/>
    <w:rsid w:val="3FC6532D"/>
    <w:rsid w:val="3FDA4D4C"/>
    <w:rsid w:val="3FE84B73"/>
    <w:rsid w:val="3FEE7569"/>
    <w:rsid w:val="3FF3077A"/>
    <w:rsid w:val="3FF616FF"/>
    <w:rsid w:val="3FF9D274"/>
    <w:rsid w:val="3FFB3608"/>
    <w:rsid w:val="4000420D"/>
    <w:rsid w:val="40027FD1"/>
    <w:rsid w:val="40061999"/>
    <w:rsid w:val="40071619"/>
    <w:rsid w:val="400B001F"/>
    <w:rsid w:val="400D3523"/>
    <w:rsid w:val="40185875"/>
    <w:rsid w:val="401979A4"/>
    <w:rsid w:val="401E796A"/>
    <w:rsid w:val="401F6CDA"/>
    <w:rsid w:val="40206D30"/>
    <w:rsid w:val="40217FC5"/>
    <w:rsid w:val="402B6356"/>
    <w:rsid w:val="403A64B2"/>
    <w:rsid w:val="404623E2"/>
    <w:rsid w:val="40504A75"/>
    <w:rsid w:val="405837D4"/>
    <w:rsid w:val="405939A2"/>
    <w:rsid w:val="40700FF1"/>
    <w:rsid w:val="40721429"/>
    <w:rsid w:val="40731583"/>
    <w:rsid w:val="407A6EF0"/>
    <w:rsid w:val="40833462"/>
    <w:rsid w:val="408433F8"/>
    <w:rsid w:val="408B1BF3"/>
    <w:rsid w:val="408D5023"/>
    <w:rsid w:val="408E4D75"/>
    <w:rsid w:val="40905D53"/>
    <w:rsid w:val="409D5D7A"/>
    <w:rsid w:val="40A435AC"/>
    <w:rsid w:val="40AB2127"/>
    <w:rsid w:val="40AE30AC"/>
    <w:rsid w:val="40AF0B2D"/>
    <w:rsid w:val="40C1781A"/>
    <w:rsid w:val="40C41559"/>
    <w:rsid w:val="40C81A57"/>
    <w:rsid w:val="40CB294D"/>
    <w:rsid w:val="40CC167F"/>
    <w:rsid w:val="40CF73C6"/>
    <w:rsid w:val="40D05E19"/>
    <w:rsid w:val="40D1448E"/>
    <w:rsid w:val="40D24565"/>
    <w:rsid w:val="40D66A1B"/>
    <w:rsid w:val="40D83EF0"/>
    <w:rsid w:val="40DB643C"/>
    <w:rsid w:val="40E12601"/>
    <w:rsid w:val="40E535E6"/>
    <w:rsid w:val="40E65973"/>
    <w:rsid w:val="40EA70CD"/>
    <w:rsid w:val="40EE3E7E"/>
    <w:rsid w:val="40FB31AB"/>
    <w:rsid w:val="41085006"/>
    <w:rsid w:val="410B7759"/>
    <w:rsid w:val="411C63AB"/>
    <w:rsid w:val="411D5647"/>
    <w:rsid w:val="41265D6F"/>
    <w:rsid w:val="41276809"/>
    <w:rsid w:val="412F75A5"/>
    <w:rsid w:val="414214A7"/>
    <w:rsid w:val="41490D2C"/>
    <w:rsid w:val="414932AA"/>
    <w:rsid w:val="414C5B13"/>
    <w:rsid w:val="41557FD3"/>
    <w:rsid w:val="415A0FC6"/>
    <w:rsid w:val="416205D1"/>
    <w:rsid w:val="417411D1"/>
    <w:rsid w:val="417B59D0"/>
    <w:rsid w:val="417C5A96"/>
    <w:rsid w:val="418D1B4D"/>
    <w:rsid w:val="418E271A"/>
    <w:rsid w:val="4195466D"/>
    <w:rsid w:val="41A24C3E"/>
    <w:rsid w:val="41A326BF"/>
    <w:rsid w:val="41A5138A"/>
    <w:rsid w:val="41A63A30"/>
    <w:rsid w:val="41AD0DC1"/>
    <w:rsid w:val="41B660C0"/>
    <w:rsid w:val="41BA6A61"/>
    <w:rsid w:val="41BD3269"/>
    <w:rsid w:val="41BF5B40"/>
    <w:rsid w:val="41C34C51"/>
    <w:rsid w:val="41CB4481"/>
    <w:rsid w:val="41CC5A82"/>
    <w:rsid w:val="41D028AB"/>
    <w:rsid w:val="41D3540D"/>
    <w:rsid w:val="41D66391"/>
    <w:rsid w:val="41D95165"/>
    <w:rsid w:val="41EA4FEF"/>
    <w:rsid w:val="41EB2AB3"/>
    <w:rsid w:val="41EC0535"/>
    <w:rsid w:val="41EE0932"/>
    <w:rsid w:val="41F33743"/>
    <w:rsid w:val="41F9275B"/>
    <w:rsid w:val="41FE1AD4"/>
    <w:rsid w:val="42010CB6"/>
    <w:rsid w:val="42187DAE"/>
    <w:rsid w:val="421A58D4"/>
    <w:rsid w:val="421B33FA"/>
    <w:rsid w:val="421B7024"/>
    <w:rsid w:val="421F4213"/>
    <w:rsid w:val="42261875"/>
    <w:rsid w:val="42263B92"/>
    <w:rsid w:val="42287095"/>
    <w:rsid w:val="422C0B92"/>
    <w:rsid w:val="423563AB"/>
    <w:rsid w:val="423C15B9"/>
    <w:rsid w:val="424356BE"/>
    <w:rsid w:val="425B65EB"/>
    <w:rsid w:val="425E756F"/>
    <w:rsid w:val="426217F9"/>
    <w:rsid w:val="42625A84"/>
    <w:rsid w:val="426B25D4"/>
    <w:rsid w:val="426B4687"/>
    <w:rsid w:val="426D560B"/>
    <w:rsid w:val="426E308D"/>
    <w:rsid w:val="4279141E"/>
    <w:rsid w:val="427F1321"/>
    <w:rsid w:val="42802FA7"/>
    <w:rsid w:val="428377AF"/>
    <w:rsid w:val="428454D4"/>
    <w:rsid w:val="428A2783"/>
    <w:rsid w:val="428B3BBD"/>
    <w:rsid w:val="42913241"/>
    <w:rsid w:val="429507CE"/>
    <w:rsid w:val="429D0359"/>
    <w:rsid w:val="42A32262"/>
    <w:rsid w:val="42A55765"/>
    <w:rsid w:val="42BB570A"/>
    <w:rsid w:val="42CB2122"/>
    <w:rsid w:val="42CC3426"/>
    <w:rsid w:val="42CE64FC"/>
    <w:rsid w:val="42D11AAC"/>
    <w:rsid w:val="42E42CCB"/>
    <w:rsid w:val="42EB1346"/>
    <w:rsid w:val="42EE6E5E"/>
    <w:rsid w:val="42F17DE3"/>
    <w:rsid w:val="42FC0372"/>
    <w:rsid w:val="43014CE6"/>
    <w:rsid w:val="43043580"/>
    <w:rsid w:val="430F2C3B"/>
    <w:rsid w:val="430F476C"/>
    <w:rsid w:val="43163EC9"/>
    <w:rsid w:val="4317479F"/>
    <w:rsid w:val="431C38CE"/>
    <w:rsid w:val="431E31A2"/>
    <w:rsid w:val="43266FB8"/>
    <w:rsid w:val="43274A3A"/>
    <w:rsid w:val="4335760E"/>
    <w:rsid w:val="43372DA5"/>
    <w:rsid w:val="433E238F"/>
    <w:rsid w:val="433F20E0"/>
    <w:rsid w:val="433F5964"/>
    <w:rsid w:val="4341688A"/>
    <w:rsid w:val="4343436A"/>
    <w:rsid w:val="43454EAD"/>
    <w:rsid w:val="434626F9"/>
    <w:rsid w:val="435B618D"/>
    <w:rsid w:val="43602615"/>
    <w:rsid w:val="43625117"/>
    <w:rsid w:val="437237B5"/>
    <w:rsid w:val="437E5448"/>
    <w:rsid w:val="43811FD9"/>
    <w:rsid w:val="43882D11"/>
    <w:rsid w:val="439148A0"/>
    <w:rsid w:val="439240E9"/>
    <w:rsid w:val="439D4A0F"/>
    <w:rsid w:val="43A53A1F"/>
    <w:rsid w:val="43A60B8B"/>
    <w:rsid w:val="43AB7211"/>
    <w:rsid w:val="43AD408E"/>
    <w:rsid w:val="43AF0112"/>
    <w:rsid w:val="43B03699"/>
    <w:rsid w:val="43C76B41"/>
    <w:rsid w:val="43D6053D"/>
    <w:rsid w:val="43EFEB0F"/>
    <w:rsid w:val="43F61428"/>
    <w:rsid w:val="44050BA5"/>
    <w:rsid w:val="44134CD1"/>
    <w:rsid w:val="441C404D"/>
    <w:rsid w:val="441E71D2"/>
    <w:rsid w:val="442006A4"/>
    <w:rsid w:val="442858E1"/>
    <w:rsid w:val="443F7874"/>
    <w:rsid w:val="444A3897"/>
    <w:rsid w:val="44587486"/>
    <w:rsid w:val="445F1CC4"/>
    <w:rsid w:val="44644441"/>
    <w:rsid w:val="44667944"/>
    <w:rsid w:val="4469414C"/>
    <w:rsid w:val="446D57E1"/>
    <w:rsid w:val="44705CD5"/>
    <w:rsid w:val="44775967"/>
    <w:rsid w:val="448C1D82"/>
    <w:rsid w:val="448C7B84"/>
    <w:rsid w:val="4494718F"/>
    <w:rsid w:val="44954C10"/>
    <w:rsid w:val="449F0313"/>
    <w:rsid w:val="449F3A39"/>
    <w:rsid w:val="44B21147"/>
    <w:rsid w:val="44B454C5"/>
    <w:rsid w:val="44B81331"/>
    <w:rsid w:val="44C13177"/>
    <w:rsid w:val="44C4575F"/>
    <w:rsid w:val="44C766E4"/>
    <w:rsid w:val="44D53604"/>
    <w:rsid w:val="44D97C83"/>
    <w:rsid w:val="44DA134B"/>
    <w:rsid w:val="44E42089"/>
    <w:rsid w:val="44E56D05"/>
    <w:rsid w:val="44F637E4"/>
    <w:rsid w:val="450A37AA"/>
    <w:rsid w:val="45156108"/>
    <w:rsid w:val="451E56DB"/>
    <w:rsid w:val="45252301"/>
    <w:rsid w:val="4526395B"/>
    <w:rsid w:val="45290D07"/>
    <w:rsid w:val="452B2AE3"/>
    <w:rsid w:val="452E2530"/>
    <w:rsid w:val="45325D93"/>
    <w:rsid w:val="45383520"/>
    <w:rsid w:val="453A4FBA"/>
    <w:rsid w:val="453B6B56"/>
    <w:rsid w:val="454E4597"/>
    <w:rsid w:val="45582750"/>
    <w:rsid w:val="455C317E"/>
    <w:rsid w:val="456552E9"/>
    <w:rsid w:val="456674E7"/>
    <w:rsid w:val="457A3F89"/>
    <w:rsid w:val="458A0BEF"/>
    <w:rsid w:val="4597133B"/>
    <w:rsid w:val="459A7D41"/>
    <w:rsid w:val="45A063C7"/>
    <w:rsid w:val="45A2514E"/>
    <w:rsid w:val="45A701B0"/>
    <w:rsid w:val="45A764C3"/>
    <w:rsid w:val="45AA4758"/>
    <w:rsid w:val="45AC7C5B"/>
    <w:rsid w:val="45AE4DCE"/>
    <w:rsid w:val="45B1671E"/>
    <w:rsid w:val="45B253E8"/>
    <w:rsid w:val="45B407EB"/>
    <w:rsid w:val="45B47DEE"/>
    <w:rsid w:val="45B52AE9"/>
    <w:rsid w:val="45B75FEC"/>
    <w:rsid w:val="45BC6CA2"/>
    <w:rsid w:val="45C00E7A"/>
    <w:rsid w:val="45C27C01"/>
    <w:rsid w:val="45CA49F2"/>
    <w:rsid w:val="45D4339E"/>
    <w:rsid w:val="45E70570"/>
    <w:rsid w:val="45EA0DC5"/>
    <w:rsid w:val="45F11042"/>
    <w:rsid w:val="45F96148"/>
    <w:rsid w:val="460B7B64"/>
    <w:rsid w:val="46161D6A"/>
    <w:rsid w:val="46202199"/>
    <w:rsid w:val="46345E62"/>
    <w:rsid w:val="463E66BC"/>
    <w:rsid w:val="4643069D"/>
    <w:rsid w:val="464F7B16"/>
    <w:rsid w:val="46521A6E"/>
    <w:rsid w:val="465332B4"/>
    <w:rsid w:val="46565EF6"/>
    <w:rsid w:val="4664740A"/>
    <w:rsid w:val="46790A87"/>
    <w:rsid w:val="46794D72"/>
    <w:rsid w:val="467C702F"/>
    <w:rsid w:val="4685435B"/>
    <w:rsid w:val="468E6891"/>
    <w:rsid w:val="469A5220"/>
    <w:rsid w:val="46A12183"/>
    <w:rsid w:val="46AB1229"/>
    <w:rsid w:val="46B61793"/>
    <w:rsid w:val="46B77214"/>
    <w:rsid w:val="46BF536D"/>
    <w:rsid w:val="46C50728"/>
    <w:rsid w:val="46C84F30"/>
    <w:rsid w:val="46C92B20"/>
    <w:rsid w:val="46CA3945"/>
    <w:rsid w:val="46CC00B3"/>
    <w:rsid w:val="46D240D1"/>
    <w:rsid w:val="46D42F41"/>
    <w:rsid w:val="46D509C3"/>
    <w:rsid w:val="46DD1652"/>
    <w:rsid w:val="46E31956"/>
    <w:rsid w:val="46EA50E5"/>
    <w:rsid w:val="46F224F1"/>
    <w:rsid w:val="46F337F6"/>
    <w:rsid w:val="46F648FA"/>
    <w:rsid w:val="46FC56D9"/>
    <w:rsid w:val="47064A15"/>
    <w:rsid w:val="470F484D"/>
    <w:rsid w:val="471362A9"/>
    <w:rsid w:val="471D6BB8"/>
    <w:rsid w:val="4729669E"/>
    <w:rsid w:val="472B23A9"/>
    <w:rsid w:val="473110DC"/>
    <w:rsid w:val="474038F5"/>
    <w:rsid w:val="4743487A"/>
    <w:rsid w:val="47457D7D"/>
    <w:rsid w:val="47460F19"/>
    <w:rsid w:val="47497073"/>
    <w:rsid w:val="47565A99"/>
    <w:rsid w:val="475A103C"/>
    <w:rsid w:val="476E1210"/>
    <w:rsid w:val="47706643"/>
    <w:rsid w:val="47756DB4"/>
    <w:rsid w:val="477737C9"/>
    <w:rsid w:val="47812160"/>
    <w:rsid w:val="478607E6"/>
    <w:rsid w:val="47A63C85"/>
    <w:rsid w:val="47AB2BF3"/>
    <w:rsid w:val="47B42327"/>
    <w:rsid w:val="47C076C6"/>
    <w:rsid w:val="47DF0117"/>
    <w:rsid w:val="47DF24D5"/>
    <w:rsid w:val="47E0311C"/>
    <w:rsid w:val="47E863B1"/>
    <w:rsid w:val="47E934DF"/>
    <w:rsid w:val="47EA3F9B"/>
    <w:rsid w:val="47EF335F"/>
    <w:rsid w:val="48010ED3"/>
    <w:rsid w:val="48020F7C"/>
    <w:rsid w:val="48070EC9"/>
    <w:rsid w:val="48076BBF"/>
    <w:rsid w:val="48135E4C"/>
    <w:rsid w:val="481607C6"/>
    <w:rsid w:val="48162122"/>
    <w:rsid w:val="481A105A"/>
    <w:rsid w:val="481F6B1F"/>
    <w:rsid w:val="48210C25"/>
    <w:rsid w:val="482E1FB6"/>
    <w:rsid w:val="48302D3D"/>
    <w:rsid w:val="48305F22"/>
    <w:rsid w:val="48310C7F"/>
    <w:rsid w:val="48316D07"/>
    <w:rsid w:val="48381158"/>
    <w:rsid w:val="483D4F58"/>
    <w:rsid w:val="48555C94"/>
    <w:rsid w:val="48605F4B"/>
    <w:rsid w:val="48704ADA"/>
    <w:rsid w:val="48773972"/>
    <w:rsid w:val="487E0D7E"/>
    <w:rsid w:val="488006FB"/>
    <w:rsid w:val="488269EC"/>
    <w:rsid w:val="48873C0C"/>
    <w:rsid w:val="488C6E91"/>
    <w:rsid w:val="488F270D"/>
    <w:rsid w:val="489354A0"/>
    <w:rsid w:val="489E1054"/>
    <w:rsid w:val="48B92DDD"/>
    <w:rsid w:val="48C66F74"/>
    <w:rsid w:val="48D112EC"/>
    <w:rsid w:val="48D12D87"/>
    <w:rsid w:val="48DB1370"/>
    <w:rsid w:val="48E43FA6"/>
    <w:rsid w:val="48E738E6"/>
    <w:rsid w:val="48EB2DE1"/>
    <w:rsid w:val="48EE7ABB"/>
    <w:rsid w:val="48F906C8"/>
    <w:rsid w:val="48FA645F"/>
    <w:rsid w:val="48FC56C9"/>
    <w:rsid w:val="48FF25D1"/>
    <w:rsid w:val="490D6193"/>
    <w:rsid w:val="490F4DEA"/>
    <w:rsid w:val="491367E8"/>
    <w:rsid w:val="491A143A"/>
    <w:rsid w:val="491B0D84"/>
    <w:rsid w:val="49211C3E"/>
    <w:rsid w:val="49267254"/>
    <w:rsid w:val="493708AE"/>
    <w:rsid w:val="493C0430"/>
    <w:rsid w:val="49422816"/>
    <w:rsid w:val="49431385"/>
    <w:rsid w:val="49465201"/>
    <w:rsid w:val="49486314"/>
    <w:rsid w:val="494C6E4D"/>
    <w:rsid w:val="494F7DD2"/>
    <w:rsid w:val="4953205B"/>
    <w:rsid w:val="495777FB"/>
    <w:rsid w:val="49662D5A"/>
    <w:rsid w:val="496D0DDB"/>
    <w:rsid w:val="49763089"/>
    <w:rsid w:val="497B799C"/>
    <w:rsid w:val="497D2E9F"/>
    <w:rsid w:val="49803E24"/>
    <w:rsid w:val="4981092F"/>
    <w:rsid w:val="49891669"/>
    <w:rsid w:val="498A23AF"/>
    <w:rsid w:val="499109A0"/>
    <w:rsid w:val="499A49CE"/>
    <w:rsid w:val="49AB26EA"/>
    <w:rsid w:val="49AE2DA6"/>
    <w:rsid w:val="49AF6EF2"/>
    <w:rsid w:val="49B22075"/>
    <w:rsid w:val="49B477D5"/>
    <w:rsid w:val="49B71D80"/>
    <w:rsid w:val="49BA14B8"/>
    <w:rsid w:val="49BB4F03"/>
    <w:rsid w:val="49BF07A0"/>
    <w:rsid w:val="49C64593"/>
    <w:rsid w:val="49D37815"/>
    <w:rsid w:val="49DD7F47"/>
    <w:rsid w:val="49E3612E"/>
    <w:rsid w:val="49EB6D57"/>
    <w:rsid w:val="49ED225A"/>
    <w:rsid w:val="49FB2E52"/>
    <w:rsid w:val="49FC53B9"/>
    <w:rsid w:val="49FD6C71"/>
    <w:rsid w:val="4A003601"/>
    <w:rsid w:val="4A084BAC"/>
    <w:rsid w:val="4A121195"/>
    <w:rsid w:val="4A145B08"/>
    <w:rsid w:val="4A25750C"/>
    <w:rsid w:val="4A295537"/>
    <w:rsid w:val="4A2D724C"/>
    <w:rsid w:val="4A3B4094"/>
    <w:rsid w:val="4A4473E5"/>
    <w:rsid w:val="4A4721C6"/>
    <w:rsid w:val="4A557F24"/>
    <w:rsid w:val="4A573E87"/>
    <w:rsid w:val="4A5A73F1"/>
    <w:rsid w:val="4A5C6046"/>
    <w:rsid w:val="4A5D5D91"/>
    <w:rsid w:val="4A5E3812"/>
    <w:rsid w:val="4A631398"/>
    <w:rsid w:val="4A7142E8"/>
    <w:rsid w:val="4A783AE0"/>
    <w:rsid w:val="4A7926B7"/>
    <w:rsid w:val="4A7C2DC2"/>
    <w:rsid w:val="4A7D0844"/>
    <w:rsid w:val="4A825649"/>
    <w:rsid w:val="4A851D59"/>
    <w:rsid w:val="4A880DD3"/>
    <w:rsid w:val="4A892945"/>
    <w:rsid w:val="4A8C305D"/>
    <w:rsid w:val="4A8F3FE1"/>
    <w:rsid w:val="4AA3092D"/>
    <w:rsid w:val="4AAA6C5F"/>
    <w:rsid w:val="4AC00034"/>
    <w:rsid w:val="4ACF6FC9"/>
    <w:rsid w:val="4AD43451"/>
    <w:rsid w:val="4AD54756"/>
    <w:rsid w:val="4AD81E57"/>
    <w:rsid w:val="4AF64C8A"/>
    <w:rsid w:val="4AF77D02"/>
    <w:rsid w:val="4AFF250D"/>
    <w:rsid w:val="4AFF720A"/>
    <w:rsid w:val="4B074E64"/>
    <w:rsid w:val="4B0D4B37"/>
    <w:rsid w:val="4B0E3B4D"/>
    <w:rsid w:val="4B170C81"/>
    <w:rsid w:val="4B1906C2"/>
    <w:rsid w:val="4B1A06F3"/>
    <w:rsid w:val="4B1C6CEE"/>
    <w:rsid w:val="4B1E03CD"/>
    <w:rsid w:val="4B1F004D"/>
    <w:rsid w:val="4B205ACF"/>
    <w:rsid w:val="4B236A53"/>
    <w:rsid w:val="4B2F60E9"/>
    <w:rsid w:val="4B307F16"/>
    <w:rsid w:val="4B394BCE"/>
    <w:rsid w:val="4B44280B"/>
    <w:rsid w:val="4B4A0713"/>
    <w:rsid w:val="4B5447A1"/>
    <w:rsid w:val="4B571EF3"/>
    <w:rsid w:val="4B59106A"/>
    <w:rsid w:val="4B5B6BAD"/>
    <w:rsid w:val="4B5C7EB2"/>
    <w:rsid w:val="4B6607C1"/>
    <w:rsid w:val="4B9F0D7F"/>
    <w:rsid w:val="4BA24DA3"/>
    <w:rsid w:val="4BB24F24"/>
    <w:rsid w:val="4BB943B0"/>
    <w:rsid w:val="4BBB3887"/>
    <w:rsid w:val="4BBB7ECB"/>
    <w:rsid w:val="4BBC374F"/>
    <w:rsid w:val="4BBC5C4E"/>
    <w:rsid w:val="4BC230D9"/>
    <w:rsid w:val="4BC66ACD"/>
    <w:rsid w:val="4BC8004E"/>
    <w:rsid w:val="4BC93EC7"/>
    <w:rsid w:val="4BCE6EEC"/>
    <w:rsid w:val="4BE3141A"/>
    <w:rsid w:val="4BEC3C0D"/>
    <w:rsid w:val="4BF6262F"/>
    <w:rsid w:val="4BFE54BD"/>
    <w:rsid w:val="4C007664"/>
    <w:rsid w:val="4C0360C1"/>
    <w:rsid w:val="4C065EF4"/>
    <w:rsid w:val="4C0856E3"/>
    <w:rsid w:val="4C0F3FD0"/>
    <w:rsid w:val="4C1031D9"/>
    <w:rsid w:val="4C15185F"/>
    <w:rsid w:val="4C1705E5"/>
    <w:rsid w:val="4C220B74"/>
    <w:rsid w:val="4C343841"/>
    <w:rsid w:val="4C3B231E"/>
    <w:rsid w:val="4C3D4FA2"/>
    <w:rsid w:val="4C3F62B2"/>
    <w:rsid w:val="4C4C364D"/>
    <w:rsid w:val="4C4D523C"/>
    <w:rsid w:val="4C513C42"/>
    <w:rsid w:val="4C5F55F7"/>
    <w:rsid w:val="4C5F67DB"/>
    <w:rsid w:val="4C621D61"/>
    <w:rsid w:val="4C640722"/>
    <w:rsid w:val="4C6A608E"/>
    <w:rsid w:val="4C7616E3"/>
    <w:rsid w:val="4C783B02"/>
    <w:rsid w:val="4C786019"/>
    <w:rsid w:val="4C7A7F33"/>
    <w:rsid w:val="4C7F1776"/>
    <w:rsid w:val="4C7F7227"/>
    <w:rsid w:val="4C83051A"/>
    <w:rsid w:val="4C893D9C"/>
    <w:rsid w:val="4C93212D"/>
    <w:rsid w:val="4C9925D5"/>
    <w:rsid w:val="4CC00EFB"/>
    <w:rsid w:val="4CC13196"/>
    <w:rsid w:val="4CC21376"/>
    <w:rsid w:val="4CC92607"/>
    <w:rsid w:val="4CCE6A8F"/>
    <w:rsid w:val="4CD35C6A"/>
    <w:rsid w:val="4CE40C32"/>
    <w:rsid w:val="4CE71BB7"/>
    <w:rsid w:val="4CE73541"/>
    <w:rsid w:val="4CEA67EB"/>
    <w:rsid w:val="4CF02261"/>
    <w:rsid w:val="4CFA6A2E"/>
    <w:rsid w:val="4D110453"/>
    <w:rsid w:val="4D174DC9"/>
    <w:rsid w:val="4D1A4185"/>
    <w:rsid w:val="4D1B042B"/>
    <w:rsid w:val="4D2108BD"/>
    <w:rsid w:val="4D225F85"/>
    <w:rsid w:val="4D2A2136"/>
    <w:rsid w:val="4D2A3925"/>
    <w:rsid w:val="4D3161C8"/>
    <w:rsid w:val="4D330D36"/>
    <w:rsid w:val="4D34553A"/>
    <w:rsid w:val="4D447D52"/>
    <w:rsid w:val="4D4C735D"/>
    <w:rsid w:val="4D4D7BB1"/>
    <w:rsid w:val="4D565C2E"/>
    <w:rsid w:val="4D594475"/>
    <w:rsid w:val="4D5A1EF6"/>
    <w:rsid w:val="4D5F4AE3"/>
    <w:rsid w:val="4D602609"/>
    <w:rsid w:val="4D60657D"/>
    <w:rsid w:val="4D751206"/>
    <w:rsid w:val="4D7A022C"/>
    <w:rsid w:val="4D827837"/>
    <w:rsid w:val="4D830553"/>
    <w:rsid w:val="4D88550D"/>
    <w:rsid w:val="4D892A45"/>
    <w:rsid w:val="4D936DDA"/>
    <w:rsid w:val="4D96420E"/>
    <w:rsid w:val="4D9724CF"/>
    <w:rsid w:val="4D9A1FBF"/>
    <w:rsid w:val="4DA23BFB"/>
    <w:rsid w:val="4DA41071"/>
    <w:rsid w:val="4DAB2BFA"/>
    <w:rsid w:val="4DAD60FD"/>
    <w:rsid w:val="4DB42792"/>
    <w:rsid w:val="4DB53302"/>
    <w:rsid w:val="4DB76A0C"/>
    <w:rsid w:val="4DB85903"/>
    <w:rsid w:val="4DBA0C68"/>
    <w:rsid w:val="4DBA7991"/>
    <w:rsid w:val="4DBB1AD3"/>
    <w:rsid w:val="4DBE2FFA"/>
    <w:rsid w:val="4DC1579E"/>
    <w:rsid w:val="4DDD6C4C"/>
    <w:rsid w:val="4DE904E0"/>
    <w:rsid w:val="4DED6EE6"/>
    <w:rsid w:val="4DF73079"/>
    <w:rsid w:val="4DFB1A7F"/>
    <w:rsid w:val="4E0417B5"/>
    <w:rsid w:val="4E0D453F"/>
    <w:rsid w:val="4E173610"/>
    <w:rsid w:val="4E1D1C34"/>
    <w:rsid w:val="4E2A6E70"/>
    <w:rsid w:val="4E2B37D4"/>
    <w:rsid w:val="4E320B43"/>
    <w:rsid w:val="4E354937"/>
    <w:rsid w:val="4E5C6303"/>
    <w:rsid w:val="4E611736"/>
    <w:rsid w:val="4E6424D3"/>
    <w:rsid w:val="4E6B77B5"/>
    <w:rsid w:val="4E714F41"/>
    <w:rsid w:val="4E7229C3"/>
    <w:rsid w:val="4E7520E4"/>
    <w:rsid w:val="4E7D2F52"/>
    <w:rsid w:val="4E7F6455"/>
    <w:rsid w:val="4E8D2C78"/>
    <w:rsid w:val="4E925476"/>
    <w:rsid w:val="4E98737F"/>
    <w:rsid w:val="4E9A088E"/>
    <w:rsid w:val="4E9B0304"/>
    <w:rsid w:val="4E9E2A78"/>
    <w:rsid w:val="4EA44289"/>
    <w:rsid w:val="4EAA6232"/>
    <w:rsid w:val="4EAC09E0"/>
    <w:rsid w:val="4EAF42D3"/>
    <w:rsid w:val="4EB42C0C"/>
    <w:rsid w:val="4EB54731"/>
    <w:rsid w:val="4EBC40BC"/>
    <w:rsid w:val="4EC41FF1"/>
    <w:rsid w:val="4ECC7CA4"/>
    <w:rsid w:val="4ECD1F20"/>
    <w:rsid w:val="4ECE24B1"/>
    <w:rsid w:val="4EDE7AF4"/>
    <w:rsid w:val="4EE306F8"/>
    <w:rsid w:val="4EE94FAC"/>
    <w:rsid w:val="4EF219BE"/>
    <w:rsid w:val="4EF35686"/>
    <w:rsid w:val="4EF460F6"/>
    <w:rsid w:val="4EFD7464"/>
    <w:rsid w:val="4EFE13F1"/>
    <w:rsid w:val="4F051F32"/>
    <w:rsid w:val="4F0A0D33"/>
    <w:rsid w:val="4F170F52"/>
    <w:rsid w:val="4F1869D4"/>
    <w:rsid w:val="4F1D75D8"/>
    <w:rsid w:val="4F241610"/>
    <w:rsid w:val="4F247D92"/>
    <w:rsid w:val="4F252466"/>
    <w:rsid w:val="4F26376B"/>
    <w:rsid w:val="4F2711ED"/>
    <w:rsid w:val="4F41314E"/>
    <w:rsid w:val="4F4F32AA"/>
    <w:rsid w:val="4F58297A"/>
    <w:rsid w:val="4F5B752C"/>
    <w:rsid w:val="4F5E0042"/>
    <w:rsid w:val="4F6665FD"/>
    <w:rsid w:val="4F6879B3"/>
    <w:rsid w:val="4F774F73"/>
    <w:rsid w:val="4F79077A"/>
    <w:rsid w:val="4F832800"/>
    <w:rsid w:val="4F8C5153"/>
    <w:rsid w:val="4F901B16"/>
    <w:rsid w:val="4F9F3013"/>
    <w:rsid w:val="4F9F68AD"/>
    <w:rsid w:val="4FA37B27"/>
    <w:rsid w:val="4FA904C1"/>
    <w:rsid w:val="4FAB04B3"/>
    <w:rsid w:val="4FAC7695"/>
    <w:rsid w:val="4FB05716"/>
    <w:rsid w:val="4FB46C68"/>
    <w:rsid w:val="4FB542D4"/>
    <w:rsid w:val="4FC854F3"/>
    <w:rsid w:val="4FD10381"/>
    <w:rsid w:val="4FD317B8"/>
    <w:rsid w:val="4FD64808"/>
    <w:rsid w:val="4FDB6712"/>
    <w:rsid w:val="4FDF5118"/>
    <w:rsid w:val="4FE33B1E"/>
    <w:rsid w:val="4FE425B1"/>
    <w:rsid w:val="4FE72524"/>
    <w:rsid w:val="4FF80240"/>
    <w:rsid w:val="50035120"/>
    <w:rsid w:val="501047BA"/>
    <w:rsid w:val="5013686C"/>
    <w:rsid w:val="50166920"/>
    <w:rsid w:val="501A1A7A"/>
    <w:rsid w:val="501E4BFD"/>
    <w:rsid w:val="502142D2"/>
    <w:rsid w:val="502B3F12"/>
    <w:rsid w:val="503500A5"/>
    <w:rsid w:val="50482B2B"/>
    <w:rsid w:val="504D0FCF"/>
    <w:rsid w:val="504F5CE1"/>
    <w:rsid w:val="50514152"/>
    <w:rsid w:val="505A58C4"/>
    <w:rsid w:val="50621E6E"/>
    <w:rsid w:val="506A7665"/>
    <w:rsid w:val="506D6343"/>
    <w:rsid w:val="50744D49"/>
    <w:rsid w:val="5079274E"/>
    <w:rsid w:val="50797895"/>
    <w:rsid w:val="507C1A95"/>
    <w:rsid w:val="507C34EC"/>
    <w:rsid w:val="508323A3"/>
    <w:rsid w:val="509016B8"/>
    <w:rsid w:val="50940112"/>
    <w:rsid w:val="50947199"/>
    <w:rsid w:val="5099279F"/>
    <w:rsid w:val="50AB3567"/>
    <w:rsid w:val="50AB4C7A"/>
    <w:rsid w:val="50B42E1D"/>
    <w:rsid w:val="50B6517B"/>
    <w:rsid w:val="50B766AE"/>
    <w:rsid w:val="50BB7243"/>
    <w:rsid w:val="50CA0599"/>
    <w:rsid w:val="50CB7569"/>
    <w:rsid w:val="50D643AB"/>
    <w:rsid w:val="50D71E2D"/>
    <w:rsid w:val="50D94CA2"/>
    <w:rsid w:val="50ED68E3"/>
    <w:rsid w:val="50EE3381"/>
    <w:rsid w:val="50F31D2B"/>
    <w:rsid w:val="50F80162"/>
    <w:rsid w:val="50FD52B5"/>
    <w:rsid w:val="51054EFA"/>
    <w:rsid w:val="510C7F1C"/>
    <w:rsid w:val="510E798E"/>
    <w:rsid w:val="511458EC"/>
    <w:rsid w:val="51156A77"/>
    <w:rsid w:val="5117010C"/>
    <w:rsid w:val="5118200F"/>
    <w:rsid w:val="511948D3"/>
    <w:rsid w:val="511A4EA0"/>
    <w:rsid w:val="511A741E"/>
    <w:rsid w:val="511B51C5"/>
    <w:rsid w:val="511E38A6"/>
    <w:rsid w:val="511F7150"/>
    <w:rsid w:val="51241F2C"/>
    <w:rsid w:val="51275918"/>
    <w:rsid w:val="51276734"/>
    <w:rsid w:val="513037C0"/>
    <w:rsid w:val="51324AC5"/>
    <w:rsid w:val="51345A4A"/>
    <w:rsid w:val="513727A4"/>
    <w:rsid w:val="513A40D0"/>
    <w:rsid w:val="514F0810"/>
    <w:rsid w:val="51501AF7"/>
    <w:rsid w:val="515B7CB7"/>
    <w:rsid w:val="51624BA2"/>
    <w:rsid w:val="51635294"/>
    <w:rsid w:val="517D16C1"/>
    <w:rsid w:val="518100C7"/>
    <w:rsid w:val="518C0657"/>
    <w:rsid w:val="518C7353"/>
    <w:rsid w:val="518F170F"/>
    <w:rsid w:val="5190558B"/>
    <w:rsid w:val="51922560"/>
    <w:rsid w:val="519A7A59"/>
    <w:rsid w:val="51A3383E"/>
    <w:rsid w:val="51B6691D"/>
    <w:rsid w:val="51CB0CD5"/>
    <w:rsid w:val="51D3684D"/>
    <w:rsid w:val="51D442CE"/>
    <w:rsid w:val="51DE4BDE"/>
    <w:rsid w:val="51E82F6F"/>
    <w:rsid w:val="51EB1CF5"/>
    <w:rsid w:val="51F970C4"/>
    <w:rsid w:val="51FC6DA4"/>
    <w:rsid w:val="52057A3C"/>
    <w:rsid w:val="5210295A"/>
    <w:rsid w:val="52150E7E"/>
    <w:rsid w:val="52174905"/>
    <w:rsid w:val="521D59C7"/>
    <w:rsid w:val="522007B8"/>
    <w:rsid w:val="522307D5"/>
    <w:rsid w:val="52274CFA"/>
    <w:rsid w:val="52283D58"/>
    <w:rsid w:val="52295F56"/>
    <w:rsid w:val="522D5360"/>
    <w:rsid w:val="52347B6B"/>
    <w:rsid w:val="52381102"/>
    <w:rsid w:val="524662F7"/>
    <w:rsid w:val="52470D8A"/>
    <w:rsid w:val="524E3378"/>
    <w:rsid w:val="52506890"/>
    <w:rsid w:val="5254009F"/>
    <w:rsid w:val="525C7843"/>
    <w:rsid w:val="525F1E9B"/>
    <w:rsid w:val="526252C1"/>
    <w:rsid w:val="526315F3"/>
    <w:rsid w:val="5264613C"/>
    <w:rsid w:val="526770C0"/>
    <w:rsid w:val="526826DD"/>
    <w:rsid w:val="526F66CB"/>
    <w:rsid w:val="52727066"/>
    <w:rsid w:val="527D3462"/>
    <w:rsid w:val="52860D64"/>
    <w:rsid w:val="52983C0D"/>
    <w:rsid w:val="52A56BA5"/>
    <w:rsid w:val="52A770BC"/>
    <w:rsid w:val="52AD4542"/>
    <w:rsid w:val="52B1623B"/>
    <w:rsid w:val="52B96A43"/>
    <w:rsid w:val="52BE1CCD"/>
    <w:rsid w:val="52CC1C8E"/>
    <w:rsid w:val="52D10CEE"/>
    <w:rsid w:val="52D2096E"/>
    <w:rsid w:val="52DC4B00"/>
    <w:rsid w:val="52DD6CFF"/>
    <w:rsid w:val="52E03507"/>
    <w:rsid w:val="52E10F88"/>
    <w:rsid w:val="52E579D6"/>
    <w:rsid w:val="52EF5632"/>
    <w:rsid w:val="52F037A1"/>
    <w:rsid w:val="53042D3D"/>
    <w:rsid w:val="53085941"/>
    <w:rsid w:val="530F2B07"/>
    <w:rsid w:val="531C5521"/>
    <w:rsid w:val="531E556A"/>
    <w:rsid w:val="53236894"/>
    <w:rsid w:val="53244EF5"/>
    <w:rsid w:val="53247231"/>
    <w:rsid w:val="53331C8C"/>
    <w:rsid w:val="533B291C"/>
    <w:rsid w:val="533E525C"/>
    <w:rsid w:val="533F3520"/>
    <w:rsid w:val="5344322B"/>
    <w:rsid w:val="534F6D92"/>
    <w:rsid w:val="53547C42"/>
    <w:rsid w:val="5355582F"/>
    <w:rsid w:val="536E3CD2"/>
    <w:rsid w:val="538B4F5C"/>
    <w:rsid w:val="53902026"/>
    <w:rsid w:val="53AC6661"/>
    <w:rsid w:val="53AE04FE"/>
    <w:rsid w:val="53C27B7A"/>
    <w:rsid w:val="53C75190"/>
    <w:rsid w:val="53CE29C2"/>
    <w:rsid w:val="53E95F37"/>
    <w:rsid w:val="53EC6EBC"/>
    <w:rsid w:val="53F1220D"/>
    <w:rsid w:val="53F229C4"/>
    <w:rsid w:val="53FB308C"/>
    <w:rsid w:val="54015914"/>
    <w:rsid w:val="5413655E"/>
    <w:rsid w:val="54212558"/>
    <w:rsid w:val="54242899"/>
    <w:rsid w:val="54396E8B"/>
    <w:rsid w:val="54506BE0"/>
    <w:rsid w:val="54554E92"/>
    <w:rsid w:val="546C42F7"/>
    <w:rsid w:val="54701EE9"/>
    <w:rsid w:val="547F3CBD"/>
    <w:rsid w:val="54836136"/>
    <w:rsid w:val="54855DB6"/>
    <w:rsid w:val="54866880"/>
    <w:rsid w:val="548A760F"/>
    <w:rsid w:val="548F1F48"/>
    <w:rsid w:val="54A05EB0"/>
    <w:rsid w:val="54A84B80"/>
    <w:rsid w:val="54AA3DF7"/>
    <w:rsid w:val="54AD082A"/>
    <w:rsid w:val="54B23402"/>
    <w:rsid w:val="54B87480"/>
    <w:rsid w:val="54BE76BF"/>
    <w:rsid w:val="54BF0519"/>
    <w:rsid w:val="54BF230B"/>
    <w:rsid w:val="54C13A1C"/>
    <w:rsid w:val="54C52422"/>
    <w:rsid w:val="54C90E29"/>
    <w:rsid w:val="54E33BD1"/>
    <w:rsid w:val="54F476EE"/>
    <w:rsid w:val="54FE5A7F"/>
    <w:rsid w:val="55024486"/>
    <w:rsid w:val="550A71CD"/>
    <w:rsid w:val="550C1AC2"/>
    <w:rsid w:val="550E303B"/>
    <w:rsid w:val="55134720"/>
    <w:rsid w:val="551603DE"/>
    <w:rsid w:val="55232D59"/>
    <w:rsid w:val="55321383"/>
    <w:rsid w:val="553B4087"/>
    <w:rsid w:val="5543746D"/>
    <w:rsid w:val="554D2361"/>
    <w:rsid w:val="55537708"/>
    <w:rsid w:val="555378CE"/>
    <w:rsid w:val="555E131C"/>
    <w:rsid w:val="557E391F"/>
    <w:rsid w:val="558031A1"/>
    <w:rsid w:val="5588094F"/>
    <w:rsid w:val="558C7C12"/>
    <w:rsid w:val="558F1AEB"/>
    <w:rsid w:val="559417F6"/>
    <w:rsid w:val="55945F73"/>
    <w:rsid w:val="55974979"/>
    <w:rsid w:val="559C27BC"/>
    <w:rsid w:val="559F1D86"/>
    <w:rsid w:val="55A2658D"/>
    <w:rsid w:val="55A95B2B"/>
    <w:rsid w:val="55BA03B1"/>
    <w:rsid w:val="55BB30A9"/>
    <w:rsid w:val="55BC7137"/>
    <w:rsid w:val="55C30440"/>
    <w:rsid w:val="55E21D40"/>
    <w:rsid w:val="55E26F1A"/>
    <w:rsid w:val="55EE1196"/>
    <w:rsid w:val="55F6381F"/>
    <w:rsid w:val="55FA119A"/>
    <w:rsid w:val="5604532D"/>
    <w:rsid w:val="561A5A4B"/>
    <w:rsid w:val="56220DA3"/>
    <w:rsid w:val="562767E7"/>
    <w:rsid w:val="562A43F9"/>
    <w:rsid w:val="562C2C6E"/>
    <w:rsid w:val="56301675"/>
    <w:rsid w:val="56335EDD"/>
    <w:rsid w:val="563D798B"/>
    <w:rsid w:val="5641016C"/>
    <w:rsid w:val="56440315"/>
    <w:rsid w:val="564A5AA2"/>
    <w:rsid w:val="564D07A6"/>
    <w:rsid w:val="56574DB7"/>
    <w:rsid w:val="5659713D"/>
    <w:rsid w:val="565C0AFC"/>
    <w:rsid w:val="56663F34"/>
    <w:rsid w:val="5669647F"/>
    <w:rsid w:val="566D14D9"/>
    <w:rsid w:val="566F6BDB"/>
    <w:rsid w:val="56725887"/>
    <w:rsid w:val="567468E6"/>
    <w:rsid w:val="56827EF8"/>
    <w:rsid w:val="5684380C"/>
    <w:rsid w:val="568D1A0E"/>
    <w:rsid w:val="56941CA1"/>
    <w:rsid w:val="569E4C99"/>
    <w:rsid w:val="56A75E3B"/>
    <w:rsid w:val="56B20949"/>
    <w:rsid w:val="56B339FB"/>
    <w:rsid w:val="56B4091A"/>
    <w:rsid w:val="56B84752"/>
    <w:rsid w:val="56C35528"/>
    <w:rsid w:val="56C36665"/>
    <w:rsid w:val="56CC38D1"/>
    <w:rsid w:val="56D227CA"/>
    <w:rsid w:val="56D9408C"/>
    <w:rsid w:val="56D976B4"/>
    <w:rsid w:val="56DC0F52"/>
    <w:rsid w:val="56E57E9E"/>
    <w:rsid w:val="56ED52AB"/>
    <w:rsid w:val="56F426B7"/>
    <w:rsid w:val="5703240B"/>
    <w:rsid w:val="57152BEC"/>
    <w:rsid w:val="572F0BC0"/>
    <w:rsid w:val="57350F22"/>
    <w:rsid w:val="57397068"/>
    <w:rsid w:val="573A3649"/>
    <w:rsid w:val="573A75A8"/>
    <w:rsid w:val="57485645"/>
    <w:rsid w:val="57497BC3"/>
    <w:rsid w:val="57501B81"/>
    <w:rsid w:val="5753350B"/>
    <w:rsid w:val="575B3360"/>
    <w:rsid w:val="57605394"/>
    <w:rsid w:val="576804EE"/>
    <w:rsid w:val="57753F0A"/>
    <w:rsid w:val="577B4C0F"/>
    <w:rsid w:val="578F4217"/>
    <w:rsid w:val="5796443F"/>
    <w:rsid w:val="5797131D"/>
    <w:rsid w:val="57977C15"/>
    <w:rsid w:val="579B7058"/>
    <w:rsid w:val="57A25CD3"/>
    <w:rsid w:val="57A537C4"/>
    <w:rsid w:val="57A53A3A"/>
    <w:rsid w:val="57AB6A24"/>
    <w:rsid w:val="57B0086C"/>
    <w:rsid w:val="57B439EF"/>
    <w:rsid w:val="57B679F5"/>
    <w:rsid w:val="57C403BB"/>
    <w:rsid w:val="57C55E8A"/>
    <w:rsid w:val="57D61A53"/>
    <w:rsid w:val="57E16E3D"/>
    <w:rsid w:val="57E207EA"/>
    <w:rsid w:val="57E722A5"/>
    <w:rsid w:val="57E809C6"/>
    <w:rsid w:val="57E840DE"/>
    <w:rsid w:val="57EB51CE"/>
    <w:rsid w:val="57F41356"/>
    <w:rsid w:val="57F4225A"/>
    <w:rsid w:val="57FB5348"/>
    <w:rsid w:val="57FF4B0E"/>
    <w:rsid w:val="58042E80"/>
    <w:rsid w:val="581A7F84"/>
    <w:rsid w:val="582A2734"/>
    <w:rsid w:val="58386F6C"/>
    <w:rsid w:val="58416076"/>
    <w:rsid w:val="5844113E"/>
    <w:rsid w:val="584432DE"/>
    <w:rsid w:val="5845415A"/>
    <w:rsid w:val="584645E3"/>
    <w:rsid w:val="584A43BC"/>
    <w:rsid w:val="585722FF"/>
    <w:rsid w:val="58574244"/>
    <w:rsid w:val="58597148"/>
    <w:rsid w:val="585A28EC"/>
    <w:rsid w:val="5860518C"/>
    <w:rsid w:val="5862602D"/>
    <w:rsid w:val="586D0C1F"/>
    <w:rsid w:val="586E4AA3"/>
    <w:rsid w:val="587003DF"/>
    <w:rsid w:val="587250A7"/>
    <w:rsid w:val="587363AB"/>
    <w:rsid w:val="587A6C75"/>
    <w:rsid w:val="588C6A7C"/>
    <w:rsid w:val="58944362"/>
    <w:rsid w:val="58A45AAA"/>
    <w:rsid w:val="58AB5080"/>
    <w:rsid w:val="58AB707E"/>
    <w:rsid w:val="58AC1492"/>
    <w:rsid w:val="58AF217D"/>
    <w:rsid w:val="58BA3515"/>
    <w:rsid w:val="58BA45A1"/>
    <w:rsid w:val="58BC4221"/>
    <w:rsid w:val="58C148A4"/>
    <w:rsid w:val="58C61EBA"/>
    <w:rsid w:val="58CC10E2"/>
    <w:rsid w:val="58CC15A2"/>
    <w:rsid w:val="58CE3242"/>
    <w:rsid w:val="58DC16DE"/>
    <w:rsid w:val="58E0315C"/>
    <w:rsid w:val="58E10BDE"/>
    <w:rsid w:val="58E91DCC"/>
    <w:rsid w:val="58EC1983"/>
    <w:rsid w:val="58EE30BC"/>
    <w:rsid w:val="58F3217D"/>
    <w:rsid w:val="590D65AA"/>
    <w:rsid w:val="590F3BC5"/>
    <w:rsid w:val="591A2837"/>
    <w:rsid w:val="591A5BE0"/>
    <w:rsid w:val="59215342"/>
    <w:rsid w:val="5923074E"/>
    <w:rsid w:val="5936196D"/>
    <w:rsid w:val="59384E70"/>
    <w:rsid w:val="593A51BD"/>
    <w:rsid w:val="5941447A"/>
    <w:rsid w:val="59514715"/>
    <w:rsid w:val="5954148D"/>
    <w:rsid w:val="59550F46"/>
    <w:rsid w:val="595953A4"/>
    <w:rsid w:val="596E193D"/>
    <w:rsid w:val="597701D8"/>
    <w:rsid w:val="59826211"/>
    <w:rsid w:val="598474ED"/>
    <w:rsid w:val="59883613"/>
    <w:rsid w:val="598D29D8"/>
    <w:rsid w:val="59907A7D"/>
    <w:rsid w:val="59941FB8"/>
    <w:rsid w:val="599E0097"/>
    <w:rsid w:val="59A15799"/>
    <w:rsid w:val="59A87812"/>
    <w:rsid w:val="59AB192B"/>
    <w:rsid w:val="59AF2530"/>
    <w:rsid w:val="59AF2534"/>
    <w:rsid w:val="59B212B6"/>
    <w:rsid w:val="59B57CBC"/>
    <w:rsid w:val="59BC3DC4"/>
    <w:rsid w:val="59C05569"/>
    <w:rsid w:val="59C10AB4"/>
    <w:rsid w:val="59CA695D"/>
    <w:rsid w:val="59D36CA8"/>
    <w:rsid w:val="59D800F7"/>
    <w:rsid w:val="59DD0978"/>
    <w:rsid w:val="59DF4E31"/>
    <w:rsid w:val="59E54F88"/>
    <w:rsid w:val="59E8398F"/>
    <w:rsid w:val="59EA4C93"/>
    <w:rsid w:val="59ED436C"/>
    <w:rsid w:val="59F667CF"/>
    <w:rsid w:val="59FB04B3"/>
    <w:rsid w:val="5A00764E"/>
    <w:rsid w:val="5A0A1945"/>
    <w:rsid w:val="5A0C06CB"/>
    <w:rsid w:val="5A0C4E48"/>
    <w:rsid w:val="5A103BB7"/>
    <w:rsid w:val="5A1347D3"/>
    <w:rsid w:val="5A170C5A"/>
    <w:rsid w:val="5A342D4A"/>
    <w:rsid w:val="5A3F7C21"/>
    <w:rsid w:val="5A436627"/>
    <w:rsid w:val="5A4675AB"/>
    <w:rsid w:val="5A4A2677"/>
    <w:rsid w:val="5A4B529A"/>
    <w:rsid w:val="5A4C14B5"/>
    <w:rsid w:val="5A517B3B"/>
    <w:rsid w:val="5A5B3CCD"/>
    <w:rsid w:val="5A640FB7"/>
    <w:rsid w:val="5A6A0406"/>
    <w:rsid w:val="5A6F296E"/>
    <w:rsid w:val="5A750FF4"/>
    <w:rsid w:val="5A8819BD"/>
    <w:rsid w:val="5A891B0D"/>
    <w:rsid w:val="5A971D60"/>
    <w:rsid w:val="5AA9356E"/>
    <w:rsid w:val="5AA95FCB"/>
    <w:rsid w:val="5AAB31FD"/>
    <w:rsid w:val="5AAF7ED4"/>
    <w:rsid w:val="5ABA0167"/>
    <w:rsid w:val="5ABB756A"/>
    <w:rsid w:val="5AC42429"/>
    <w:rsid w:val="5AC8016B"/>
    <w:rsid w:val="5ACD1BB7"/>
    <w:rsid w:val="5AD52106"/>
    <w:rsid w:val="5AD54636"/>
    <w:rsid w:val="5AD83297"/>
    <w:rsid w:val="5ADF2C22"/>
    <w:rsid w:val="5AE13AFA"/>
    <w:rsid w:val="5AE75AB0"/>
    <w:rsid w:val="5AEB3E5A"/>
    <w:rsid w:val="5AEF537E"/>
    <w:rsid w:val="5AFC7FD4"/>
    <w:rsid w:val="5B0B03C9"/>
    <w:rsid w:val="5B0D05EC"/>
    <w:rsid w:val="5B0F11F3"/>
    <w:rsid w:val="5B0F6FF4"/>
    <w:rsid w:val="5B136FE6"/>
    <w:rsid w:val="5B1D2217"/>
    <w:rsid w:val="5B21787C"/>
    <w:rsid w:val="5B2B0B23"/>
    <w:rsid w:val="5B361BF6"/>
    <w:rsid w:val="5B461090"/>
    <w:rsid w:val="5B4669BF"/>
    <w:rsid w:val="5B47134C"/>
    <w:rsid w:val="5B4C57D4"/>
    <w:rsid w:val="5B4D3256"/>
    <w:rsid w:val="5B59036D"/>
    <w:rsid w:val="5B677683"/>
    <w:rsid w:val="5B701C4D"/>
    <w:rsid w:val="5B77571F"/>
    <w:rsid w:val="5B780C22"/>
    <w:rsid w:val="5B7A4125"/>
    <w:rsid w:val="5B821531"/>
    <w:rsid w:val="5B83329D"/>
    <w:rsid w:val="5B856C33"/>
    <w:rsid w:val="5B890EBC"/>
    <w:rsid w:val="5B9104C7"/>
    <w:rsid w:val="5B981120"/>
    <w:rsid w:val="5B987E52"/>
    <w:rsid w:val="5B9958D3"/>
    <w:rsid w:val="5B9E1D5B"/>
    <w:rsid w:val="5B9E55DE"/>
    <w:rsid w:val="5BA97648"/>
    <w:rsid w:val="5BAB2858"/>
    <w:rsid w:val="5BAC38D5"/>
    <w:rsid w:val="5BB2427F"/>
    <w:rsid w:val="5BB56B61"/>
    <w:rsid w:val="5BB756DE"/>
    <w:rsid w:val="5BBE5EB1"/>
    <w:rsid w:val="5BC00E43"/>
    <w:rsid w:val="5BCB6C7C"/>
    <w:rsid w:val="5BD246EB"/>
    <w:rsid w:val="5BE636CF"/>
    <w:rsid w:val="5BE72873"/>
    <w:rsid w:val="5BE80ED6"/>
    <w:rsid w:val="5BF9397E"/>
    <w:rsid w:val="5BFB5978"/>
    <w:rsid w:val="5BFF0AFB"/>
    <w:rsid w:val="5BFF437E"/>
    <w:rsid w:val="5C001082"/>
    <w:rsid w:val="5C094C8E"/>
    <w:rsid w:val="5C1C5EAD"/>
    <w:rsid w:val="5C232A9D"/>
    <w:rsid w:val="5C253C16"/>
    <w:rsid w:val="5C2C297C"/>
    <w:rsid w:val="5C3744D8"/>
    <w:rsid w:val="5C435D6C"/>
    <w:rsid w:val="5C4471F4"/>
    <w:rsid w:val="5C4656E8"/>
    <w:rsid w:val="5C4956B6"/>
    <w:rsid w:val="5C497C75"/>
    <w:rsid w:val="5C4C74DD"/>
    <w:rsid w:val="5C4D1EFF"/>
    <w:rsid w:val="5C564D8D"/>
    <w:rsid w:val="5C5A580C"/>
    <w:rsid w:val="5C5A5991"/>
    <w:rsid w:val="5C66167C"/>
    <w:rsid w:val="5C68052A"/>
    <w:rsid w:val="5C7257F7"/>
    <w:rsid w:val="5C8A2690"/>
    <w:rsid w:val="5C974299"/>
    <w:rsid w:val="5CA249EC"/>
    <w:rsid w:val="5CA55C59"/>
    <w:rsid w:val="5CAC6214"/>
    <w:rsid w:val="5CAE778C"/>
    <w:rsid w:val="5CB5471F"/>
    <w:rsid w:val="5CB62828"/>
    <w:rsid w:val="5CC04DE6"/>
    <w:rsid w:val="5CC20BEA"/>
    <w:rsid w:val="5CC606DB"/>
    <w:rsid w:val="5CC84515"/>
    <w:rsid w:val="5CCE751C"/>
    <w:rsid w:val="5CD06C55"/>
    <w:rsid w:val="5CD36CE9"/>
    <w:rsid w:val="5CDF179C"/>
    <w:rsid w:val="5CE345F1"/>
    <w:rsid w:val="5CEB2603"/>
    <w:rsid w:val="5D236A25"/>
    <w:rsid w:val="5D254161"/>
    <w:rsid w:val="5D261BE2"/>
    <w:rsid w:val="5D267018"/>
    <w:rsid w:val="5D2E44D2"/>
    <w:rsid w:val="5D312C6A"/>
    <w:rsid w:val="5D481D97"/>
    <w:rsid w:val="5D56755F"/>
    <w:rsid w:val="5D611A9F"/>
    <w:rsid w:val="5D636078"/>
    <w:rsid w:val="5D657148"/>
    <w:rsid w:val="5D7D25F1"/>
    <w:rsid w:val="5D804126"/>
    <w:rsid w:val="5D86767D"/>
    <w:rsid w:val="5D9A50C1"/>
    <w:rsid w:val="5D9B3D9F"/>
    <w:rsid w:val="5DB13D45"/>
    <w:rsid w:val="5DC0655D"/>
    <w:rsid w:val="5DC310BE"/>
    <w:rsid w:val="5DC34D36"/>
    <w:rsid w:val="5DC4318C"/>
    <w:rsid w:val="5DC529E5"/>
    <w:rsid w:val="5DD14ECC"/>
    <w:rsid w:val="5DDC4FE3"/>
    <w:rsid w:val="5DE50D1C"/>
    <w:rsid w:val="5DE55498"/>
    <w:rsid w:val="5DEE3BA9"/>
    <w:rsid w:val="5DF66A37"/>
    <w:rsid w:val="5E0105E4"/>
    <w:rsid w:val="5E0608F2"/>
    <w:rsid w:val="5E145366"/>
    <w:rsid w:val="5E1610C5"/>
    <w:rsid w:val="5E296AA7"/>
    <w:rsid w:val="5E2C3A69"/>
    <w:rsid w:val="5E371808"/>
    <w:rsid w:val="5E3F48AD"/>
    <w:rsid w:val="5E4746BB"/>
    <w:rsid w:val="5E48792D"/>
    <w:rsid w:val="5E4A70E9"/>
    <w:rsid w:val="5E5622D4"/>
    <w:rsid w:val="5E5826D7"/>
    <w:rsid w:val="5E5B30A5"/>
    <w:rsid w:val="5E655CD1"/>
    <w:rsid w:val="5E6B69F6"/>
    <w:rsid w:val="5E6F44EC"/>
    <w:rsid w:val="5E747306"/>
    <w:rsid w:val="5E7B3747"/>
    <w:rsid w:val="5E7C406D"/>
    <w:rsid w:val="5E7E7C15"/>
    <w:rsid w:val="5E8C43FD"/>
    <w:rsid w:val="5E934DA7"/>
    <w:rsid w:val="5E9D190F"/>
    <w:rsid w:val="5E9D4C47"/>
    <w:rsid w:val="5EA54320"/>
    <w:rsid w:val="5EA902B4"/>
    <w:rsid w:val="5EAC7460"/>
    <w:rsid w:val="5EB21369"/>
    <w:rsid w:val="5EB400EF"/>
    <w:rsid w:val="5EB4486C"/>
    <w:rsid w:val="5EB45826"/>
    <w:rsid w:val="5EC60596"/>
    <w:rsid w:val="5EC75A8B"/>
    <w:rsid w:val="5ECA3D86"/>
    <w:rsid w:val="5ECE6E70"/>
    <w:rsid w:val="5ECF2E97"/>
    <w:rsid w:val="5ED8390F"/>
    <w:rsid w:val="5EE228A7"/>
    <w:rsid w:val="5EEA50C1"/>
    <w:rsid w:val="5EF124C6"/>
    <w:rsid w:val="5EF15D3B"/>
    <w:rsid w:val="5EF70E6F"/>
    <w:rsid w:val="5EFA0B0F"/>
    <w:rsid w:val="5F015F03"/>
    <w:rsid w:val="5F0A07A1"/>
    <w:rsid w:val="5F1119B5"/>
    <w:rsid w:val="5F187E14"/>
    <w:rsid w:val="5F2C129C"/>
    <w:rsid w:val="5F2C3231"/>
    <w:rsid w:val="5F3758F4"/>
    <w:rsid w:val="5F3A7FC8"/>
    <w:rsid w:val="5F3C2ED6"/>
    <w:rsid w:val="5F424152"/>
    <w:rsid w:val="5F44415B"/>
    <w:rsid w:val="5F494D5F"/>
    <w:rsid w:val="5F4D7B61"/>
    <w:rsid w:val="5F5B3D80"/>
    <w:rsid w:val="5F5F0972"/>
    <w:rsid w:val="5F5F7E63"/>
    <w:rsid w:val="5F697E94"/>
    <w:rsid w:val="5F6B7317"/>
    <w:rsid w:val="5F6E5059"/>
    <w:rsid w:val="5F73441E"/>
    <w:rsid w:val="5F793330"/>
    <w:rsid w:val="5F7E77B8"/>
    <w:rsid w:val="5F7F1C86"/>
    <w:rsid w:val="5F8A6E4E"/>
    <w:rsid w:val="5F8E2401"/>
    <w:rsid w:val="5F924CE9"/>
    <w:rsid w:val="5F9D006D"/>
    <w:rsid w:val="5F9D02AD"/>
    <w:rsid w:val="5FA41BF6"/>
    <w:rsid w:val="5FA863FE"/>
    <w:rsid w:val="5FAA3AFF"/>
    <w:rsid w:val="5FB32210"/>
    <w:rsid w:val="5FB361BD"/>
    <w:rsid w:val="5FB62B99"/>
    <w:rsid w:val="5FB94EA3"/>
    <w:rsid w:val="5FBF10D2"/>
    <w:rsid w:val="5FCA3343"/>
    <w:rsid w:val="5FD10DCB"/>
    <w:rsid w:val="5FD52E02"/>
    <w:rsid w:val="5FD8524E"/>
    <w:rsid w:val="5FE11A5B"/>
    <w:rsid w:val="5FEB0458"/>
    <w:rsid w:val="5FF11F12"/>
    <w:rsid w:val="5FF76DFD"/>
    <w:rsid w:val="5FFBA36F"/>
    <w:rsid w:val="5FFF7558"/>
    <w:rsid w:val="5FFF75C7"/>
    <w:rsid w:val="6001450E"/>
    <w:rsid w:val="600A7C71"/>
    <w:rsid w:val="600D755D"/>
    <w:rsid w:val="6025161A"/>
    <w:rsid w:val="60275934"/>
    <w:rsid w:val="602D6CC3"/>
    <w:rsid w:val="60321825"/>
    <w:rsid w:val="603242D9"/>
    <w:rsid w:val="60327757"/>
    <w:rsid w:val="60350178"/>
    <w:rsid w:val="603646D3"/>
    <w:rsid w:val="6043407E"/>
    <w:rsid w:val="60597AB8"/>
    <w:rsid w:val="605E48A8"/>
    <w:rsid w:val="60602BF4"/>
    <w:rsid w:val="606326E4"/>
    <w:rsid w:val="60676FEF"/>
    <w:rsid w:val="606C02F9"/>
    <w:rsid w:val="606E2944"/>
    <w:rsid w:val="607641C6"/>
    <w:rsid w:val="607C160B"/>
    <w:rsid w:val="607C76DB"/>
    <w:rsid w:val="6080285E"/>
    <w:rsid w:val="6082700E"/>
    <w:rsid w:val="60836580"/>
    <w:rsid w:val="60844AE7"/>
    <w:rsid w:val="608C1EF4"/>
    <w:rsid w:val="609664CC"/>
    <w:rsid w:val="60A3745F"/>
    <w:rsid w:val="60A752AE"/>
    <w:rsid w:val="60A811F2"/>
    <w:rsid w:val="60A81824"/>
    <w:rsid w:val="60A85FA1"/>
    <w:rsid w:val="60AD7EAA"/>
    <w:rsid w:val="60AE372D"/>
    <w:rsid w:val="60B24CD4"/>
    <w:rsid w:val="60BD26C3"/>
    <w:rsid w:val="60C0639C"/>
    <w:rsid w:val="60C864D5"/>
    <w:rsid w:val="60CB1A4E"/>
    <w:rsid w:val="60CE03DF"/>
    <w:rsid w:val="60D274A6"/>
    <w:rsid w:val="60D5551B"/>
    <w:rsid w:val="60E26EF2"/>
    <w:rsid w:val="60E8429D"/>
    <w:rsid w:val="60EA7D0F"/>
    <w:rsid w:val="60ED061D"/>
    <w:rsid w:val="61094D59"/>
    <w:rsid w:val="610F6C4A"/>
    <w:rsid w:val="61106345"/>
    <w:rsid w:val="611430D1"/>
    <w:rsid w:val="611B396F"/>
    <w:rsid w:val="6122434D"/>
    <w:rsid w:val="61293077"/>
    <w:rsid w:val="613009FC"/>
    <w:rsid w:val="61526439"/>
    <w:rsid w:val="616563B2"/>
    <w:rsid w:val="6170330B"/>
    <w:rsid w:val="61742A83"/>
    <w:rsid w:val="61750E7D"/>
    <w:rsid w:val="61753744"/>
    <w:rsid w:val="61770BF8"/>
    <w:rsid w:val="6186757B"/>
    <w:rsid w:val="619117A1"/>
    <w:rsid w:val="619B6D54"/>
    <w:rsid w:val="61A93786"/>
    <w:rsid w:val="61AB5D92"/>
    <w:rsid w:val="61AE5BE1"/>
    <w:rsid w:val="61C74314"/>
    <w:rsid w:val="61CD0301"/>
    <w:rsid w:val="61CE5D83"/>
    <w:rsid w:val="61CF1E11"/>
    <w:rsid w:val="61D1258B"/>
    <w:rsid w:val="61D23D1C"/>
    <w:rsid w:val="61D507C8"/>
    <w:rsid w:val="61DA1F93"/>
    <w:rsid w:val="61DC639E"/>
    <w:rsid w:val="61E055B5"/>
    <w:rsid w:val="61E11616"/>
    <w:rsid w:val="61E12825"/>
    <w:rsid w:val="61E324A5"/>
    <w:rsid w:val="61E34F1D"/>
    <w:rsid w:val="61E87421"/>
    <w:rsid w:val="61F636C4"/>
    <w:rsid w:val="61FB7B4C"/>
    <w:rsid w:val="6200468F"/>
    <w:rsid w:val="62037CDB"/>
    <w:rsid w:val="62061760"/>
    <w:rsid w:val="62097330"/>
    <w:rsid w:val="62126170"/>
    <w:rsid w:val="62161F3E"/>
    <w:rsid w:val="621A4DB8"/>
    <w:rsid w:val="621D0741"/>
    <w:rsid w:val="623201A8"/>
    <w:rsid w:val="623C3E38"/>
    <w:rsid w:val="6240013D"/>
    <w:rsid w:val="62407F88"/>
    <w:rsid w:val="624A77FD"/>
    <w:rsid w:val="624C1ED5"/>
    <w:rsid w:val="624D53FA"/>
    <w:rsid w:val="624F75D6"/>
    <w:rsid w:val="62514EEA"/>
    <w:rsid w:val="625B3673"/>
    <w:rsid w:val="625C216F"/>
    <w:rsid w:val="62614A02"/>
    <w:rsid w:val="6265177A"/>
    <w:rsid w:val="6271300E"/>
    <w:rsid w:val="6275590B"/>
    <w:rsid w:val="627E48A2"/>
    <w:rsid w:val="62805827"/>
    <w:rsid w:val="62811DE4"/>
    <w:rsid w:val="62854CD6"/>
    <w:rsid w:val="62870A35"/>
    <w:rsid w:val="628864B6"/>
    <w:rsid w:val="628C4EBC"/>
    <w:rsid w:val="62916733"/>
    <w:rsid w:val="629C6EA2"/>
    <w:rsid w:val="629D09DA"/>
    <w:rsid w:val="629F3EDD"/>
    <w:rsid w:val="629F79CA"/>
    <w:rsid w:val="62B47227"/>
    <w:rsid w:val="62B527FD"/>
    <w:rsid w:val="62B55269"/>
    <w:rsid w:val="62B868FE"/>
    <w:rsid w:val="62BD568B"/>
    <w:rsid w:val="62C06610"/>
    <w:rsid w:val="62C14404"/>
    <w:rsid w:val="62D21DAE"/>
    <w:rsid w:val="62D460A8"/>
    <w:rsid w:val="62D71799"/>
    <w:rsid w:val="62DC5F40"/>
    <w:rsid w:val="62DD22DA"/>
    <w:rsid w:val="62DE5968"/>
    <w:rsid w:val="62E66850"/>
    <w:rsid w:val="62E95123"/>
    <w:rsid w:val="62EF16DE"/>
    <w:rsid w:val="62F04BE1"/>
    <w:rsid w:val="62F67840"/>
    <w:rsid w:val="63026180"/>
    <w:rsid w:val="63080089"/>
    <w:rsid w:val="631C6D2A"/>
    <w:rsid w:val="631E222D"/>
    <w:rsid w:val="6320143A"/>
    <w:rsid w:val="63251390"/>
    <w:rsid w:val="633345F0"/>
    <w:rsid w:val="633609F4"/>
    <w:rsid w:val="633B4E4F"/>
    <w:rsid w:val="634B0772"/>
    <w:rsid w:val="635E5215"/>
    <w:rsid w:val="63651159"/>
    <w:rsid w:val="637F0FCD"/>
    <w:rsid w:val="637F15E3"/>
    <w:rsid w:val="63845454"/>
    <w:rsid w:val="638475C6"/>
    <w:rsid w:val="638825CB"/>
    <w:rsid w:val="6388493C"/>
    <w:rsid w:val="6389364A"/>
    <w:rsid w:val="638A3ADA"/>
    <w:rsid w:val="638C1122"/>
    <w:rsid w:val="639315C6"/>
    <w:rsid w:val="639F57E1"/>
    <w:rsid w:val="63A11775"/>
    <w:rsid w:val="63A21181"/>
    <w:rsid w:val="63AA7892"/>
    <w:rsid w:val="63AD4F94"/>
    <w:rsid w:val="63B401A2"/>
    <w:rsid w:val="63D464D8"/>
    <w:rsid w:val="63D619DB"/>
    <w:rsid w:val="63DB7766"/>
    <w:rsid w:val="63E93172"/>
    <w:rsid w:val="63E97377"/>
    <w:rsid w:val="63F54529"/>
    <w:rsid w:val="640721AA"/>
    <w:rsid w:val="64151F48"/>
    <w:rsid w:val="641D434E"/>
    <w:rsid w:val="641D732B"/>
    <w:rsid w:val="64254D2C"/>
    <w:rsid w:val="6431184C"/>
    <w:rsid w:val="643B10B4"/>
    <w:rsid w:val="643C1380"/>
    <w:rsid w:val="64500020"/>
    <w:rsid w:val="64592EAE"/>
    <w:rsid w:val="645D7336"/>
    <w:rsid w:val="64633872"/>
    <w:rsid w:val="64644411"/>
    <w:rsid w:val="646E3B0C"/>
    <w:rsid w:val="647372DB"/>
    <w:rsid w:val="64772F11"/>
    <w:rsid w:val="64796354"/>
    <w:rsid w:val="647D446A"/>
    <w:rsid w:val="64803865"/>
    <w:rsid w:val="64813139"/>
    <w:rsid w:val="64821AF4"/>
    <w:rsid w:val="64923598"/>
    <w:rsid w:val="64A86918"/>
    <w:rsid w:val="64B557C6"/>
    <w:rsid w:val="64BA1C4E"/>
    <w:rsid w:val="64BC5151"/>
    <w:rsid w:val="64BD6D2C"/>
    <w:rsid w:val="64C4255D"/>
    <w:rsid w:val="64D87C43"/>
    <w:rsid w:val="64DB7BA2"/>
    <w:rsid w:val="64E2758F"/>
    <w:rsid w:val="64E35BA2"/>
    <w:rsid w:val="64EB5CA0"/>
    <w:rsid w:val="64EE6C25"/>
    <w:rsid w:val="64F80D81"/>
    <w:rsid w:val="650236C7"/>
    <w:rsid w:val="65026BA0"/>
    <w:rsid w:val="65033347"/>
    <w:rsid w:val="650B3FD7"/>
    <w:rsid w:val="6510045E"/>
    <w:rsid w:val="6511455F"/>
    <w:rsid w:val="65134704"/>
    <w:rsid w:val="65153525"/>
    <w:rsid w:val="65154CE2"/>
    <w:rsid w:val="65171FE8"/>
    <w:rsid w:val="6518586B"/>
    <w:rsid w:val="652060DB"/>
    <w:rsid w:val="65240694"/>
    <w:rsid w:val="652C5AFB"/>
    <w:rsid w:val="65407929"/>
    <w:rsid w:val="6544632F"/>
    <w:rsid w:val="6545693A"/>
    <w:rsid w:val="655F01DD"/>
    <w:rsid w:val="656B1A72"/>
    <w:rsid w:val="65775884"/>
    <w:rsid w:val="658072E0"/>
    <w:rsid w:val="65837118"/>
    <w:rsid w:val="65886E23"/>
    <w:rsid w:val="658A7EDF"/>
    <w:rsid w:val="659009AD"/>
    <w:rsid w:val="659D5AC4"/>
    <w:rsid w:val="659E5744"/>
    <w:rsid w:val="65AA6DE5"/>
    <w:rsid w:val="65C1575D"/>
    <w:rsid w:val="65CB6D62"/>
    <w:rsid w:val="65CE37BB"/>
    <w:rsid w:val="65CF1796"/>
    <w:rsid w:val="65DC0F6F"/>
    <w:rsid w:val="65E47E23"/>
    <w:rsid w:val="65E90142"/>
    <w:rsid w:val="65EB0047"/>
    <w:rsid w:val="65EE45C9"/>
    <w:rsid w:val="65EF4249"/>
    <w:rsid w:val="65F91B21"/>
    <w:rsid w:val="65FA31A3"/>
    <w:rsid w:val="65FC12FE"/>
    <w:rsid w:val="660D37F9"/>
    <w:rsid w:val="660F2580"/>
    <w:rsid w:val="66123504"/>
    <w:rsid w:val="6619249D"/>
    <w:rsid w:val="661A65E0"/>
    <w:rsid w:val="662075DB"/>
    <w:rsid w:val="66252916"/>
    <w:rsid w:val="66325FB7"/>
    <w:rsid w:val="66383744"/>
    <w:rsid w:val="664A035D"/>
    <w:rsid w:val="665A717C"/>
    <w:rsid w:val="66664CDC"/>
    <w:rsid w:val="666A1995"/>
    <w:rsid w:val="66705A9C"/>
    <w:rsid w:val="66751F24"/>
    <w:rsid w:val="66770CAA"/>
    <w:rsid w:val="66826F90"/>
    <w:rsid w:val="66827145"/>
    <w:rsid w:val="6683388F"/>
    <w:rsid w:val="668A3762"/>
    <w:rsid w:val="66952ECC"/>
    <w:rsid w:val="66990159"/>
    <w:rsid w:val="669C3B40"/>
    <w:rsid w:val="66A17BAC"/>
    <w:rsid w:val="66BB64FE"/>
    <w:rsid w:val="66BC0DF7"/>
    <w:rsid w:val="66BE361D"/>
    <w:rsid w:val="66C764AB"/>
    <w:rsid w:val="66CE5E35"/>
    <w:rsid w:val="66D103A8"/>
    <w:rsid w:val="66D8599D"/>
    <w:rsid w:val="66D87988"/>
    <w:rsid w:val="66E21627"/>
    <w:rsid w:val="66F71345"/>
    <w:rsid w:val="670116B4"/>
    <w:rsid w:val="670A3BB1"/>
    <w:rsid w:val="670B7C57"/>
    <w:rsid w:val="671324E7"/>
    <w:rsid w:val="67172297"/>
    <w:rsid w:val="671C723A"/>
    <w:rsid w:val="671F493B"/>
    <w:rsid w:val="672B61CF"/>
    <w:rsid w:val="67387226"/>
    <w:rsid w:val="674045ED"/>
    <w:rsid w:val="674A6A84"/>
    <w:rsid w:val="6756424B"/>
    <w:rsid w:val="67646FB5"/>
    <w:rsid w:val="676F11D5"/>
    <w:rsid w:val="67766E34"/>
    <w:rsid w:val="67806F5E"/>
    <w:rsid w:val="678C6785"/>
    <w:rsid w:val="678E787B"/>
    <w:rsid w:val="6796339F"/>
    <w:rsid w:val="67973300"/>
    <w:rsid w:val="679B1F3D"/>
    <w:rsid w:val="67A21691"/>
    <w:rsid w:val="67A24F14"/>
    <w:rsid w:val="67A7359A"/>
    <w:rsid w:val="67B1772D"/>
    <w:rsid w:val="67B44C93"/>
    <w:rsid w:val="67C32ECB"/>
    <w:rsid w:val="67C36676"/>
    <w:rsid w:val="67D15A64"/>
    <w:rsid w:val="67DD1876"/>
    <w:rsid w:val="67DD2788"/>
    <w:rsid w:val="67E66902"/>
    <w:rsid w:val="67E710AD"/>
    <w:rsid w:val="67E73302"/>
    <w:rsid w:val="67F5111B"/>
    <w:rsid w:val="67FA0F1B"/>
    <w:rsid w:val="67FD6528"/>
    <w:rsid w:val="67FE3FA9"/>
    <w:rsid w:val="680A7DBC"/>
    <w:rsid w:val="680E73DA"/>
    <w:rsid w:val="682E21EB"/>
    <w:rsid w:val="68352BB8"/>
    <w:rsid w:val="683C5113"/>
    <w:rsid w:val="68446C9C"/>
    <w:rsid w:val="6848679C"/>
    <w:rsid w:val="684E1E7F"/>
    <w:rsid w:val="684E502D"/>
    <w:rsid w:val="684F3C7A"/>
    <w:rsid w:val="6852376A"/>
    <w:rsid w:val="685549B8"/>
    <w:rsid w:val="685C7BC6"/>
    <w:rsid w:val="686504D6"/>
    <w:rsid w:val="686C7A9F"/>
    <w:rsid w:val="68752CEE"/>
    <w:rsid w:val="68752FB5"/>
    <w:rsid w:val="687A7176"/>
    <w:rsid w:val="6893478B"/>
    <w:rsid w:val="68B37069"/>
    <w:rsid w:val="68BB3463"/>
    <w:rsid w:val="68C161FA"/>
    <w:rsid w:val="68C255CF"/>
    <w:rsid w:val="68CF6B69"/>
    <w:rsid w:val="68D94084"/>
    <w:rsid w:val="68DC3997"/>
    <w:rsid w:val="68E258A1"/>
    <w:rsid w:val="68E32613"/>
    <w:rsid w:val="68E41039"/>
    <w:rsid w:val="68EF4BB6"/>
    <w:rsid w:val="68F25B3B"/>
    <w:rsid w:val="68F42BEC"/>
    <w:rsid w:val="68F954C6"/>
    <w:rsid w:val="68FF4E51"/>
    <w:rsid w:val="69016156"/>
    <w:rsid w:val="690507DD"/>
    <w:rsid w:val="69075AE0"/>
    <w:rsid w:val="690D143F"/>
    <w:rsid w:val="69107F02"/>
    <w:rsid w:val="6912272D"/>
    <w:rsid w:val="69187F79"/>
    <w:rsid w:val="691937FC"/>
    <w:rsid w:val="691F3187"/>
    <w:rsid w:val="692ACBF6"/>
    <w:rsid w:val="692E5DD6"/>
    <w:rsid w:val="692F6998"/>
    <w:rsid w:val="69326925"/>
    <w:rsid w:val="69367529"/>
    <w:rsid w:val="693A5FE1"/>
    <w:rsid w:val="693A6297"/>
    <w:rsid w:val="694A4441"/>
    <w:rsid w:val="694B1A4D"/>
    <w:rsid w:val="694F4082"/>
    <w:rsid w:val="6956585F"/>
    <w:rsid w:val="696525F7"/>
    <w:rsid w:val="696A4500"/>
    <w:rsid w:val="696E0D08"/>
    <w:rsid w:val="6971770E"/>
    <w:rsid w:val="6973347C"/>
    <w:rsid w:val="6974326C"/>
    <w:rsid w:val="699478C3"/>
    <w:rsid w:val="699836E5"/>
    <w:rsid w:val="699E02E9"/>
    <w:rsid w:val="69A92292"/>
    <w:rsid w:val="69AB1384"/>
    <w:rsid w:val="69AF108E"/>
    <w:rsid w:val="69B1021E"/>
    <w:rsid w:val="69B144C0"/>
    <w:rsid w:val="69BE470A"/>
    <w:rsid w:val="69C04704"/>
    <w:rsid w:val="69C11915"/>
    <w:rsid w:val="69C30412"/>
    <w:rsid w:val="69C9638D"/>
    <w:rsid w:val="69D306AC"/>
    <w:rsid w:val="69D86DA0"/>
    <w:rsid w:val="69DF4B8A"/>
    <w:rsid w:val="69E471B1"/>
    <w:rsid w:val="69E51C4B"/>
    <w:rsid w:val="69EF33C0"/>
    <w:rsid w:val="69F908EC"/>
    <w:rsid w:val="69FF5E82"/>
    <w:rsid w:val="6A015CF8"/>
    <w:rsid w:val="6A135C12"/>
    <w:rsid w:val="6A1875BD"/>
    <w:rsid w:val="6A1C5DDE"/>
    <w:rsid w:val="6A271505"/>
    <w:rsid w:val="6A285BB8"/>
    <w:rsid w:val="6A302FC4"/>
    <w:rsid w:val="6A3C3322"/>
    <w:rsid w:val="6A3D342E"/>
    <w:rsid w:val="6A464F0B"/>
    <w:rsid w:val="6A503CD9"/>
    <w:rsid w:val="6A510F7A"/>
    <w:rsid w:val="6A596387"/>
    <w:rsid w:val="6A5A4B58"/>
    <w:rsid w:val="6A617017"/>
    <w:rsid w:val="6A634F4B"/>
    <w:rsid w:val="6A6731B6"/>
    <w:rsid w:val="6A6C75A6"/>
    <w:rsid w:val="6A775937"/>
    <w:rsid w:val="6A7D1E93"/>
    <w:rsid w:val="6A7D30C3"/>
    <w:rsid w:val="6A876FCF"/>
    <w:rsid w:val="6A961A6F"/>
    <w:rsid w:val="6A973C6D"/>
    <w:rsid w:val="6A9A31A7"/>
    <w:rsid w:val="6AA06AFB"/>
    <w:rsid w:val="6AB2653C"/>
    <w:rsid w:val="6AC22533"/>
    <w:rsid w:val="6AD01DD6"/>
    <w:rsid w:val="6AD66FD5"/>
    <w:rsid w:val="6AD74A57"/>
    <w:rsid w:val="6AF02DC7"/>
    <w:rsid w:val="6AF36585"/>
    <w:rsid w:val="6AF91E84"/>
    <w:rsid w:val="6B0D3978"/>
    <w:rsid w:val="6B153156"/>
    <w:rsid w:val="6B180D44"/>
    <w:rsid w:val="6B193A43"/>
    <w:rsid w:val="6B1C5EE7"/>
    <w:rsid w:val="6B1D51CB"/>
    <w:rsid w:val="6B2370D5"/>
    <w:rsid w:val="6B2547D6"/>
    <w:rsid w:val="6B277F2D"/>
    <w:rsid w:val="6B290FDE"/>
    <w:rsid w:val="6B344DF0"/>
    <w:rsid w:val="6B361DA3"/>
    <w:rsid w:val="6B3A3476"/>
    <w:rsid w:val="6B44508B"/>
    <w:rsid w:val="6B473025"/>
    <w:rsid w:val="6B481F0D"/>
    <w:rsid w:val="6B555325"/>
    <w:rsid w:val="6B5628A5"/>
    <w:rsid w:val="6B562DA7"/>
    <w:rsid w:val="6B576849"/>
    <w:rsid w:val="6B622A6D"/>
    <w:rsid w:val="6B6359C1"/>
    <w:rsid w:val="6B677B97"/>
    <w:rsid w:val="6B696120"/>
    <w:rsid w:val="6B6B74C9"/>
    <w:rsid w:val="6B6F1752"/>
    <w:rsid w:val="6B703FCE"/>
    <w:rsid w:val="6B745BDA"/>
    <w:rsid w:val="6B7C1223"/>
    <w:rsid w:val="6B7EBEA1"/>
    <w:rsid w:val="6B8517A6"/>
    <w:rsid w:val="6B853EBD"/>
    <w:rsid w:val="6B881251"/>
    <w:rsid w:val="6B8A63F8"/>
    <w:rsid w:val="6B8C547F"/>
    <w:rsid w:val="6BA17D14"/>
    <w:rsid w:val="6BA55D73"/>
    <w:rsid w:val="6BA81D0A"/>
    <w:rsid w:val="6BAE64BE"/>
    <w:rsid w:val="6BB57216"/>
    <w:rsid w:val="6BC262E2"/>
    <w:rsid w:val="6BCB07E7"/>
    <w:rsid w:val="6BD239F5"/>
    <w:rsid w:val="6BD35BF3"/>
    <w:rsid w:val="6BD40526"/>
    <w:rsid w:val="6BDD3F84"/>
    <w:rsid w:val="6BE12AD7"/>
    <w:rsid w:val="6BF012D0"/>
    <w:rsid w:val="6BF36128"/>
    <w:rsid w:val="6BF55889"/>
    <w:rsid w:val="6BF863D7"/>
    <w:rsid w:val="6BFA3EFD"/>
    <w:rsid w:val="6BFE7D3C"/>
    <w:rsid w:val="6C027425"/>
    <w:rsid w:val="6C0F21D5"/>
    <w:rsid w:val="6C14445E"/>
    <w:rsid w:val="6C164C56"/>
    <w:rsid w:val="6C1F0271"/>
    <w:rsid w:val="6C2614F4"/>
    <w:rsid w:val="6C303D8F"/>
    <w:rsid w:val="6C313A0F"/>
    <w:rsid w:val="6C3210B3"/>
    <w:rsid w:val="6C4471AC"/>
    <w:rsid w:val="6C535B7B"/>
    <w:rsid w:val="6C6B6E34"/>
    <w:rsid w:val="6C741EF9"/>
    <w:rsid w:val="6C974A38"/>
    <w:rsid w:val="6CA426C9"/>
    <w:rsid w:val="6CA901D5"/>
    <w:rsid w:val="6CA90A94"/>
    <w:rsid w:val="6CBA46E6"/>
    <w:rsid w:val="6CC77E24"/>
    <w:rsid w:val="6CCF2613"/>
    <w:rsid w:val="6CD46A9B"/>
    <w:rsid w:val="6CDA788A"/>
    <w:rsid w:val="6CDD1929"/>
    <w:rsid w:val="6CE34737"/>
    <w:rsid w:val="6CF50B68"/>
    <w:rsid w:val="6CF67ECA"/>
    <w:rsid w:val="6CFC66E6"/>
    <w:rsid w:val="6CFD7C5F"/>
    <w:rsid w:val="6CFF4B44"/>
    <w:rsid w:val="6D012D58"/>
    <w:rsid w:val="6D01750D"/>
    <w:rsid w:val="6D0B183A"/>
    <w:rsid w:val="6D0E20F8"/>
    <w:rsid w:val="6D1E0194"/>
    <w:rsid w:val="6D201D79"/>
    <w:rsid w:val="6D282CEC"/>
    <w:rsid w:val="6D2B74AA"/>
    <w:rsid w:val="6D2D3E5E"/>
    <w:rsid w:val="6D3416A0"/>
    <w:rsid w:val="6D3D435D"/>
    <w:rsid w:val="6D3E4E45"/>
    <w:rsid w:val="6D49739B"/>
    <w:rsid w:val="6D4A66A1"/>
    <w:rsid w:val="6D4E3707"/>
    <w:rsid w:val="6D596CF4"/>
    <w:rsid w:val="6D5B4BD4"/>
    <w:rsid w:val="6D621B82"/>
    <w:rsid w:val="6D6D6950"/>
    <w:rsid w:val="6D702BDA"/>
    <w:rsid w:val="6D7875A9"/>
    <w:rsid w:val="6D806BB4"/>
    <w:rsid w:val="6D812796"/>
    <w:rsid w:val="6D861DB2"/>
    <w:rsid w:val="6D883FC0"/>
    <w:rsid w:val="6D8A2607"/>
    <w:rsid w:val="6D9658FB"/>
    <w:rsid w:val="6D9767D9"/>
    <w:rsid w:val="6D9F4C95"/>
    <w:rsid w:val="6DA0348B"/>
    <w:rsid w:val="6DA74875"/>
    <w:rsid w:val="6DA83A16"/>
    <w:rsid w:val="6DAD1516"/>
    <w:rsid w:val="6DAD4F9F"/>
    <w:rsid w:val="6DC1541F"/>
    <w:rsid w:val="6DD137A9"/>
    <w:rsid w:val="6DD4443F"/>
    <w:rsid w:val="6DD733A1"/>
    <w:rsid w:val="6DDA1504"/>
    <w:rsid w:val="6DDA6AC8"/>
    <w:rsid w:val="6DDE6F4D"/>
    <w:rsid w:val="6DE446DA"/>
    <w:rsid w:val="6DE92D60"/>
    <w:rsid w:val="6DF350A8"/>
    <w:rsid w:val="6DF750CC"/>
    <w:rsid w:val="6DF8052E"/>
    <w:rsid w:val="6E005FF9"/>
    <w:rsid w:val="6E011BB8"/>
    <w:rsid w:val="6E0E551E"/>
    <w:rsid w:val="6E103523"/>
    <w:rsid w:val="6E16292A"/>
    <w:rsid w:val="6E276AFF"/>
    <w:rsid w:val="6E361438"/>
    <w:rsid w:val="6E565F94"/>
    <w:rsid w:val="6E584699"/>
    <w:rsid w:val="6E5B561D"/>
    <w:rsid w:val="6E5D1879"/>
    <w:rsid w:val="6E5F07A0"/>
    <w:rsid w:val="6E5F4023"/>
    <w:rsid w:val="6E6B6890"/>
    <w:rsid w:val="6E732CC4"/>
    <w:rsid w:val="6E775E47"/>
    <w:rsid w:val="6E7D35D3"/>
    <w:rsid w:val="6E805C45"/>
    <w:rsid w:val="6E824A57"/>
    <w:rsid w:val="6E992F04"/>
    <w:rsid w:val="6EAA139E"/>
    <w:rsid w:val="6EAF8331"/>
    <w:rsid w:val="6EB057E5"/>
    <w:rsid w:val="6EB36B79"/>
    <w:rsid w:val="6EB724B4"/>
    <w:rsid w:val="6EBD5D0C"/>
    <w:rsid w:val="6EC262C6"/>
    <w:rsid w:val="6EC55EB2"/>
    <w:rsid w:val="6ECB7DD2"/>
    <w:rsid w:val="6ED20ADF"/>
    <w:rsid w:val="6ED50C51"/>
    <w:rsid w:val="6EDA55AE"/>
    <w:rsid w:val="6EDE2373"/>
    <w:rsid w:val="6EDF562C"/>
    <w:rsid w:val="6EE2669F"/>
    <w:rsid w:val="6EE51CFE"/>
    <w:rsid w:val="6EEC0B65"/>
    <w:rsid w:val="6EFF0574"/>
    <w:rsid w:val="6F0671CF"/>
    <w:rsid w:val="6F080FB9"/>
    <w:rsid w:val="6F0D222A"/>
    <w:rsid w:val="6F146FCA"/>
    <w:rsid w:val="6F1737D2"/>
    <w:rsid w:val="6F1C43D6"/>
    <w:rsid w:val="6F1F4B21"/>
    <w:rsid w:val="6F1F5AA1"/>
    <w:rsid w:val="6F391788"/>
    <w:rsid w:val="6F3F1180"/>
    <w:rsid w:val="6F401113"/>
    <w:rsid w:val="6F493E1B"/>
    <w:rsid w:val="6F493EB5"/>
    <w:rsid w:val="6F6438D1"/>
    <w:rsid w:val="6F6C545A"/>
    <w:rsid w:val="6F6D0E8A"/>
    <w:rsid w:val="6F703E60"/>
    <w:rsid w:val="6F715165"/>
    <w:rsid w:val="6F77C9BE"/>
    <w:rsid w:val="6F867DCE"/>
    <w:rsid w:val="6F8A49D4"/>
    <w:rsid w:val="6F8F46A4"/>
    <w:rsid w:val="6F912DCA"/>
    <w:rsid w:val="6F985025"/>
    <w:rsid w:val="6F992AA6"/>
    <w:rsid w:val="6FA7002C"/>
    <w:rsid w:val="6FA8452B"/>
    <w:rsid w:val="6FB410D2"/>
    <w:rsid w:val="6FBE19E1"/>
    <w:rsid w:val="6FC04EE4"/>
    <w:rsid w:val="6FCA1D08"/>
    <w:rsid w:val="6FD4433F"/>
    <w:rsid w:val="6FD54E8A"/>
    <w:rsid w:val="6FD9000D"/>
    <w:rsid w:val="6FDA5A8E"/>
    <w:rsid w:val="6FE27182"/>
    <w:rsid w:val="6FEF21ED"/>
    <w:rsid w:val="6FF156B3"/>
    <w:rsid w:val="6FF440BA"/>
    <w:rsid w:val="6FF751BD"/>
    <w:rsid w:val="6FFC47DE"/>
    <w:rsid w:val="6FFC4D49"/>
    <w:rsid w:val="6FFF2353"/>
    <w:rsid w:val="70007ECC"/>
    <w:rsid w:val="7001594E"/>
    <w:rsid w:val="700510C2"/>
    <w:rsid w:val="70057BD7"/>
    <w:rsid w:val="70286F92"/>
    <w:rsid w:val="70293112"/>
    <w:rsid w:val="702B672C"/>
    <w:rsid w:val="70342CA5"/>
    <w:rsid w:val="703561A8"/>
    <w:rsid w:val="703D41C8"/>
    <w:rsid w:val="704760C2"/>
    <w:rsid w:val="704C29C9"/>
    <w:rsid w:val="7058635C"/>
    <w:rsid w:val="70597C8E"/>
    <w:rsid w:val="705D27E4"/>
    <w:rsid w:val="70614A6E"/>
    <w:rsid w:val="70626E1E"/>
    <w:rsid w:val="706630F4"/>
    <w:rsid w:val="706D2A7F"/>
    <w:rsid w:val="70703A03"/>
    <w:rsid w:val="70736AC3"/>
    <w:rsid w:val="708E6837"/>
    <w:rsid w:val="70992760"/>
    <w:rsid w:val="709D104F"/>
    <w:rsid w:val="70B25771"/>
    <w:rsid w:val="70C0030A"/>
    <w:rsid w:val="70C15D8C"/>
    <w:rsid w:val="70C21691"/>
    <w:rsid w:val="70C7907A"/>
    <w:rsid w:val="70CA3E58"/>
    <w:rsid w:val="70D25448"/>
    <w:rsid w:val="70D80136"/>
    <w:rsid w:val="70E0100F"/>
    <w:rsid w:val="70E02DBE"/>
    <w:rsid w:val="70EB6BD0"/>
    <w:rsid w:val="71096180"/>
    <w:rsid w:val="710A2232"/>
    <w:rsid w:val="710B1683"/>
    <w:rsid w:val="711B34C5"/>
    <w:rsid w:val="71202A4F"/>
    <w:rsid w:val="712863A1"/>
    <w:rsid w:val="712F05BE"/>
    <w:rsid w:val="713319FC"/>
    <w:rsid w:val="713F6856"/>
    <w:rsid w:val="71465FE5"/>
    <w:rsid w:val="71554F4A"/>
    <w:rsid w:val="7163442E"/>
    <w:rsid w:val="71651610"/>
    <w:rsid w:val="71693BD8"/>
    <w:rsid w:val="716952A0"/>
    <w:rsid w:val="71737DAE"/>
    <w:rsid w:val="717645B6"/>
    <w:rsid w:val="718C0CBC"/>
    <w:rsid w:val="718E074A"/>
    <w:rsid w:val="7198476A"/>
    <w:rsid w:val="719921EC"/>
    <w:rsid w:val="71997FEE"/>
    <w:rsid w:val="71B90522"/>
    <w:rsid w:val="71BA5FA4"/>
    <w:rsid w:val="71BA7C8A"/>
    <w:rsid w:val="71BB6F35"/>
    <w:rsid w:val="71D36939"/>
    <w:rsid w:val="71D46B4E"/>
    <w:rsid w:val="71D84CE0"/>
    <w:rsid w:val="71E91071"/>
    <w:rsid w:val="71FA1D50"/>
    <w:rsid w:val="71FC02A3"/>
    <w:rsid w:val="71FD7D12"/>
    <w:rsid w:val="720A37A4"/>
    <w:rsid w:val="72100F31"/>
    <w:rsid w:val="72162E3A"/>
    <w:rsid w:val="722021E3"/>
    <w:rsid w:val="723301EC"/>
    <w:rsid w:val="723B55F8"/>
    <w:rsid w:val="72450403"/>
    <w:rsid w:val="724B4BCF"/>
    <w:rsid w:val="724D637A"/>
    <w:rsid w:val="72565E22"/>
    <w:rsid w:val="725D1030"/>
    <w:rsid w:val="726254B8"/>
    <w:rsid w:val="726371D0"/>
    <w:rsid w:val="72684572"/>
    <w:rsid w:val="72695111"/>
    <w:rsid w:val="726E07A1"/>
    <w:rsid w:val="727069CC"/>
    <w:rsid w:val="72790C00"/>
    <w:rsid w:val="727F33AE"/>
    <w:rsid w:val="727F395E"/>
    <w:rsid w:val="728A5FD9"/>
    <w:rsid w:val="728B087B"/>
    <w:rsid w:val="729115B2"/>
    <w:rsid w:val="72916007"/>
    <w:rsid w:val="7293150A"/>
    <w:rsid w:val="72997B90"/>
    <w:rsid w:val="729A0E95"/>
    <w:rsid w:val="729C45BE"/>
    <w:rsid w:val="729D3834"/>
    <w:rsid w:val="729E789B"/>
    <w:rsid w:val="72AD20B4"/>
    <w:rsid w:val="72BB625C"/>
    <w:rsid w:val="72DA63FB"/>
    <w:rsid w:val="72E96A79"/>
    <w:rsid w:val="72EB4614"/>
    <w:rsid w:val="73031FC5"/>
    <w:rsid w:val="730B5955"/>
    <w:rsid w:val="731A4E85"/>
    <w:rsid w:val="731E2BC7"/>
    <w:rsid w:val="731F10EE"/>
    <w:rsid w:val="73254FD2"/>
    <w:rsid w:val="732748EA"/>
    <w:rsid w:val="73350EBE"/>
    <w:rsid w:val="73376795"/>
    <w:rsid w:val="733D289D"/>
    <w:rsid w:val="733F1C0B"/>
    <w:rsid w:val="73491A49"/>
    <w:rsid w:val="736949E6"/>
    <w:rsid w:val="736B7EE9"/>
    <w:rsid w:val="73703019"/>
    <w:rsid w:val="73707BF4"/>
    <w:rsid w:val="73711DF2"/>
    <w:rsid w:val="737B0183"/>
    <w:rsid w:val="738531BD"/>
    <w:rsid w:val="73873F96"/>
    <w:rsid w:val="73881A17"/>
    <w:rsid w:val="73892D1C"/>
    <w:rsid w:val="738F47C1"/>
    <w:rsid w:val="73965075"/>
    <w:rsid w:val="739A51B5"/>
    <w:rsid w:val="73A56DC9"/>
    <w:rsid w:val="73A97986"/>
    <w:rsid w:val="73AE4625"/>
    <w:rsid w:val="73B55E0E"/>
    <w:rsid w:val="73CB1207"/>
    <w:rsid w:val="73D13110"/>
    <w:rsid w:val="73D74B24"/>
    <w:rsid w:val="73DE39BC"/>
    <w:rsid w:val="73E80A83"/>
    <w:rsid w:val="73EB3A35"/>
    <w:rsid w:val="73FD10FA"/>
    <w:rsid w:val="74011985"/>
    <w:rsid w:val="74027161"/>
    <w:rsid w:val="7406706D"/>
    <w:rsid w:val="740857E9"/>
    <w:rsid w:val="740B1FF0"/>
    <w:rsid w:val="740F09F7"/>
    <w:rsid w:val="74157F65"/>
    <w:rsid w:val="741915E0"/>
    <w:rsid w:val="74253E9F"/>
    <w:rsid w:val="742779EC"/>
    <w:rsid w:val="74312230"/>
    <w:rsid w:val="74327CB2"/>
    <w:rsid w:val="74375464"/>
    <w:rsid w:val="743D24D6"/>
    <w:rsid w:val="74410D42"/>
    <w:rsid w:val="744439DF"/>
    <w:rsid w:val="74452385"/>
    <w:rsid w:val="74566390"/>
    <w:rsid w:val="74566BED"/>
    <w:rsid w:val="7457466E"/>
    <w:rsid w:val="745E125D"/>
    <w:rsid w:val="745E61F7"/>
    <w:rsid w:val="745E6DCC"/>
    <w:rsid w:val="74614F7E"/>
    <w:rsid w:val="74653DE2"/>
    <w:rsid w:val="746971F0"/>
    <w:rsid w:val="74703F13"/>
    <w:rsid w:val="74730CF0"/>
    <w:rsid w:val="74777121"/>
    <w:rsid w:val="747932AA"/>
    <w:rsid w:val="747B1953"/>
    <w:rsid w:val="74846437"/>
    <w:rsid w:val="748B5DC2"/>
    <w:rsid w:val="748D2266"/>
    <w:rsid w:val="749566D1"/>
    <w:rsid w:val="74975458"/>
    <w:rsid w:val="74987DE6"/>
    <w:rsid w:val="749B3E5E"/>
    <w:rsid w:val="74AE507D"/>
    <w:rsid w:val="74B06BFF"/>
    <w:rsid w:val="74B16002"/>
    <w:rsid w:val="74BD4012"/>
    <w:rsid w:val="74C27582"/>
    <w:rsid w:val="74D900BF"/>
    <w:rsid w:val="74DA13C4"/>
    <w:rsid w:val="74DB35C2"/>
    <w:rsid w:val="74F6722B"/>
    <w:rsid w:val="74FC2BFE"/>
    <w:rsid w:val="74FF72A3"/>
    <w:rsid w:val="75016CBD"/>
    <w:rsid w:val="75084492"/>
    <w:rsid w:val="75091F13"/>
    <w:rsid w:val="750B1B93"/>
    <w:rsid w:val="750C2108"/>
    <w:rsid w:val="75117320"/>
    <w:rsid w:val="75180EA9"/>
    <w:rsid w:val="751830D7"/>
    <w:rsid w:val="751E2DB2"/>
    <w:rsid w:val="752949C6"/>
    <w:rsid w:val="75377F70"/>
    <w:rsid w:val="753D7929"/>
    <w:rsid w:val="753E02ED"/>
    <w:rsid w:val="754C03FE"/>
    <w:rsid w:val="754D4987"/>
    <w:rsid w:val="75574211"/>
    <w:rsid w:val="755E374E"/>
    <w:rsid w:val="755F161D"/>
    <w:rsid w:val="75630023"/>
    <w:rsid w:val="75642008"/>
    <w:rsid w:val="75656DAA"/>
    <w:rsid w:val="756844AB"/>
    <w:rsid w:val="756F6BDD"/>
    <w:rsid w:val="75742200"/>
    <w:rsid w:val="757B56CA"/>
    <w:rsid w:val="75934C88"/>
    <w:rsid w:val="75951B4C"/>
    <w:rsid w:val="75B21A9F"/>
    <w:rsid w:val="75B841D0"/>
    <w:rsid w:val="75BC08EF"/>
    <w:rsid w:val="75C31342"/>
    <w:rsid w:val="75C857C9"/>
    <w:rsid w:val="75CE4B40"/>
    <w:rsid w:val="75D039C6"/>
    <w:rsid w:val="75D812E7"/>
    <w:rsid w:val="75D91027"/>
    <w:rsid w:val="75DA47EA"/>
    <w:rsid w:val="75DE31F0"/>
    <w:rsid w:val="75DE488F"/>
    <w:rsid w:val="75E17EDC"/>
    <w:rsid w:val="75E83951"/>
    <w:rsid w:val="75E91581"/>
    <w:rsid w:val="75E93780"/>
    <w:rsid w:val="75EC4704"/>
    <w:rsid w:val="75F10B8C"/>
    <w:rsid w:val="75F25B03"/>
    <w:rsid w:val="75FA729D"/>
    <w:rsid w:val="75FB31C2"/>
    <w:rsid w:val="76071956"/>
    <w:rsid w:val="760E49B2"/>
    <w:rsid w:val="760E5F3E"/>
    <w:rsid w:val="76115C78"/>
    <w:rsid w:val="761756AB"/>
    <w:rsid w:val="76263B40"/>
    <w:rsid w:val="7628701A"/>
    <w:rsid w:val="76411C10"/>
    <w:rsid w:val="764C7FA1"/>
    <w:rsid w:val="765B588A"/>
    <w:rsid w:val="766D1B33"/>
    <w:rsid w:val="766D5F57"/>
    <w:rsid w:val="7684397E"/>
    <w:rsid w:val="768F0D80"/>
    <w:rsid w:val="768F7791"/>
    <w:rsid w:val="7696299F"/>
    <w:rsid w:val="76992564"/>
    <w:rsid w:val="76A10D30"/>
    <w:rsid w:val="76AB4694"/>
    <w:rsid w:val="76C03F95"/>
    <w:rsid w:val="76CE5585"/>
    <w:rsid w:val="76D0242A"/>
    <w:rsid w:val="76E51777"/>
    <w:rsid w:val="76FD3648"/>
    <w:rsid w:val="770B5041"/>
    <w:rsid w:val="770D3B48"/>
    <w:rsid w:val="770E5AE1"/>
    <w:rsid w:val="77114867"/>
    <w:rsid w:val="771A18F7"/>
    <w:rsid w:val="77282A66"/>
    <w:rsid w:val="772E3E17"/>
    <w:rsid w:val="773248C7"/>
    <w:rsid w:val="775841CD"/>
    <w:rsid w:val="775C1F10"/>
    <w:rsid w:val="776932D2"/>
    <w:rsid w:val="776963DA"/>
    <w:rsid w:val="77742792"/>
    <w:rsid w:val="77742DA7"/>
    <w:rsid w:val="777C610E"/>
    <w:rsid w:val="778E18B2"/>
    <w:rsid w:val="779969FD"/>
    <w:rsid w:val="779C055E"/>
    <w:rsid w:val="779F7E99"/>
    <w:rsid w:val="77A4101A"/>
    <w:rsid w:val="77A613DD"/>
    <w:rsid w:val="77B7032F"/>
    <w:rsid w:val="77C60C6B"/>
    <w:rsid w:val="77C72D11"/>
    <w:rsid w:val="77CA303F"/>
    <w:rsid w:val="77CE2599"/>
    <w:rsid w:val="77D36B23"/>
    <w:rsid w:val="77D953BD"/>
    <w:rsid w:val="77DB0D76"/>
    <w:rsid w:val="77DE2936"/>
    <w:rsid w:val="77ED2B68"/>
    <w:rsid w:val="77EE4F4C"/>
    <w:rsid w:val="77EF5AEB"/>
    <w:rsid w:val="77F54AD9"/>
    <w:rsid w:val="77F813A3"/>
    <w:rsid w:val="77FB2266"/>
    <w:rsid w:val="77FD09C3"/>
    <w:rsid w:val="77FD5769"/>
    <w:rsid w:val="77FE3AEA"/>
    <w:rsid w:val="780A45B1"/>
    <w:rsid w:val="780D5A03"/>
    <w:rsid w:val="78106988"/>
    <w:rsid w:val="78152E10"/>
    <w:rsid w:val="78162634"/>
    <w:rsid w:val="783018BF"/>
    <w:rsid w:val="78304CBF"/>
    <w:rsid w:val="78351146"/>
    <w:rsid w:val="783842C9"/>
    <w:rsid w:val="78424C0F"/>
    <w:rsid w:val="784275CA"/>
    <w:rsid w:val="784635DF"/>
    <w:rsid w:val="78496E1F"/>
    <w:rsid w:val="784C3D32"/>
    <w:rsid w:val="785BDA75"/>
    <w:rsid w:val="786372CE"/>
    <w:rsid w:val="7864153E"/>
    <w:rsid w:val="78667397"/>
    <w:rsid w:val="78726C1C"/>
    <w:rsid w:val="787648A7"/>
    <w:rsid w:val="7880209A"/>
    <w:rsid w:val="788C2381"/>
    <w:rsid w:val="789449E3"/>
    <w:rsid w:val="78A45D51"/>
    <w:rsid w:val="78B23F93"/>
    <w:rsid w:val="78B91B66"/>
    <w:rsid w:val="78C53AE4"/>
    <w:rsid w:val="78D05741"/>
    <w:rsid w:val="78D86B8A"/>
    <w:rsid w:val="78DB2B5D"/>
    <w:rsid w:val="78F41CD4"/>
    <w:rsid w:val="78F77D47"/>
    <w:rsid w:val="79002D6F"/>
    <w:rsid w:val="79034987"/>
    <w:rsid w:val="790939D1"/>
    <w:rsid w:val="792148D3"/>
    <w:rsid w:val="79317002"/>
    <w:rsid w:val="793370DB"/>
    <w:rsid w:val="79383607"/>
    <w:rsid w:val="79385410"/>
    <w:rsid w:val="793961B4"/>
    <w:rsid w:val="793A1DDD"/>
    <w:rsid w:val="793A2BF2"/>
    <w:rsid w:val="793D367B"/>
    <w:rsid w:val="793F0970"/>
    <w:rsid w:val="793F171C"/>
    <w:rsid w:val="79466A05"/>
    <w:rsid w:val="79494CB8"/>
    <w:rsid w:val="794B223C"/>
    <w:rsid w:val="794C7D62"/>
    <w:rsid w:val="795100FA"/>
    <w:rsid w:val="795B69AA"/>
    <w:rsid w:val="79677BED"/>
    <w:rsid w:val="79727667"/>
    <w:rsid w:val="797A0159"/>
    <w:rsid w:val="79807697"/>
    <w:rsid w:val="79880773"/>
    <w:rsid w:val="798830BD"/>
    <w:rsid w:val="79894B12"/>
    <w:rsid w:val="798C015E"/>
    <w:rsid w:val="79910909"/>
    <w:rsid w:val="79956784"/>
    <w:rsid w:val="799A287B"/>
    <w:rsid w:val="799E3D6C"/>
    <w:rsid w:val="79A33E26"/>
    <w:rsid w:val="79B54ABA"/>
    <w:rsid w:val="79B85A3F"/>
    <w:rsid w:val="79C11BD2"/>
    <w:rsid w:val="79C6605A"/>
    <w:rsid w:val="79C72E50"/>
    <w:rsid w:val="79C96FDE"/>
    <w:rsid w:val="79CB43E5"/>
    <w:rsid w:val="79D96796"/>
    <w:rsid w:val="79E84010"/>
    <w:rsid w:val="79E84806"/>
    <w:rsid w:val="79ED0498"/>
    <w:rsid w:val="79F26B1E"/>
    <w:rsid w:val="79F3459F"/>
    <w:rsid w:val="79FA1606"/>
    <w:rsid w:val="79FF3C35"/>
    <w:rsid w:val="7A0108EA"/>
    <w:rsid w:val="7A057D3D"/>
    <w:rsid w:val="7A100D8F"/>
    <w:rsid w:val="7A1A0D36"/>
    <w:rsid w:val="7A353A07"/>
    <w:rsid w:val="7A3D371A"/>
    <w:rsid w:val="7A417F22"/>
    <w:rsid w:val="7A4D17B6"/>
    <w:rsid w:val="7A540C7C"/>
    <w:rsid w:val="7A545D6B"/>
    <w:rsid w:val="7A5D4901"/>
    <w:rsid w:val="7A610456"/>
    <w:rsid w:val="7A6A32E4"/>
    <w:rsid w:val="7A6F776C"/>
    <w:rsid w:val="7A733BF4"/>
    <w:rsid w:val="7A785FD9"/>
    <w:rsid w:val="7A7CFEAF"/>
    <w:rsid w:val="7A831561"/>
    <w:rsid w:val="7A885FEA"/>
    <w:rsid w:val="7A8C21B4"/>
    <w:rsid w:val="7A9247E8"/>
    <w:rsid w:val="7A9366A7"/>
    <w:rsid w:val="7A9750AD"/>
    <w:rsid w:val="7AA37E55"/>
    <w:rsid w:val="7AB214C1"/>
    <w:rsid w:val="7AB5465D"/>
    <w:rsid w:val="7AB77B60"/>
    <w:rsid w:val="7ABA0AE5"/>
    <w:rsid w:val="7AC15EF1"/>
    <w:rsid w:val="7AC94A46"/>
    <w:rsid w:val="7AD33C0D"/>
    <w:rsid w:val="7AE402E3"/>
    <w:rsid w:val="7AE804D8"/>
    <w:rsid w:val="7AE91634"/>
    <w:rsid w:val="7AEA15E0"/>
    <w:rsid w:val="7AEC0BBE"/>
    <w:rsid w:val="7AED4096"/>
    <w:rsid w:val="7AED7D82"/>
    <w:rsid w:val="7AEF0C56"/>
    <w:rsid w:val="7AF05B67"/>
    <w:rsid w:val="7AF741CD"/>
    <w:rsid w:val="7AF81F4F"/>
    <w:rsid w:val="7B0D056F"/>
    <w:rsid w:val="7B114DBF"/>
    <w:rsid w:val="7B152B01"/>
    <w:rsid w:val="7B29461C"/>
    <w:rsid w:val="7B2B5921"/>
    <w:rsid w:val="7B334F2B"/>
    <w:rsid w:val="7B3C7DB9"/>
    <w:rsid w:val="7B3D66FD"/>
    <w:rsid w:val="7B4619E2"/>
    <w:rsid w:val="7B4A207F"/>
    <w:rsid w:val="7B5A2BED"/>
    <w:rsid w:val="7B5B0730"/>
    <w:rsid w:val="7B5D1DB2"/>
    <w:rsid w:val="7B712812"/>
    <w:rsid w:val="7B7E1B28"/>
    <w:rsid w:val="7B892BA7"/>
    <w:rsid w:val="7B8D2142"/>
    <w:rsid w:val="7B9052C5"/>
    <w:rsid w:val="7B9E7492"/>
    <w:rsid w:val="7BA41DBA"/>
    <w:rsid w:val="7BA5672C"/>
    <w:rsid w:val="7BA67624"/>
    <w:rsid w:val="7BAC7174"/>
    <w:rsid w:val="7BBB4D2B"/>
    <w:rsid w:val="7BBF1BB1"/>
    <w:rsid w:val="7BC136E6"/>
    <w:rsid w:val="7BC17119"/>
    <w:rsid w:val="7BC3261C"/>
    <w:rsid w:val="7BC71022"/>
    <w:rsid w:val="7BD31CA7"/>
    <w:rsid w:val="7BD6571E"/>
    <w:rsid w:val="7BD7220B"/>
    <w:rsid w:val="7BDB4440"/>
    <w:rsid w:val="7BDD2FD1"/>
    <w:rsid w:val="7BDD31C6"/>
    <w:rsid w:val="7BE9680A"/>
    <w:rsid w:val="7BF62CE3"/>
    <w:rsid w:val="7BF662EE"/>
    <w:rsid w:val="7BF75F6E"/>
    <w:rsid w:val="7BF817F1"/>
    <w:rsid w:val="7BFB7EC5"/>
    <w:rsid w:val="7BFBC45E"/>
    <w:rsid w:val="7C0526B8"/>
    <w:rsid w:val="7C1C3A1B"/>
    <w:rsid w:val="7C1D7CBE"/>
    <w:rsid w:val="7C295844"/>
    <w:rsid w:val="7C2A1D8A"/>
    <w:rsid w:val="7C2B1EB0"/>
    <w:rsid w:val="7C2C6CF3"/>
    <w:rsid w:val="7C3001E4"/>
    <w:rsid w:val="7C350F81"/>
    <w:rsid w:val="7C353855"/>
    <w:rsid w:val="7C39225B"/>
    <w:rsid w:val="7C3C5E6C"/>
    <w:rsid w:val="7C433AEA"/>
    <w:rsid w:val="7C457EE7"/>
    <w:rsid w:val="7C474434"/>
    <w:rsid w:val="7C4C3713"/>
    <w:rsid w:val="7C501E80"/>
    <w:rsid w:val="7C5E6C17"/>
    <w:rsid w:val="7C634A0B"/>
    <w:rsid w:val="7C682DAA"/>
    <w:rsid w:val="7C7001B6"/>
    <w:rsid w:val="7C772F8A"/>
    <w:rsid w:val="7C7A77D6"/>
    <w:rsid w:val="7C7C6C06"/>
    <w:rsid w:val="7C843F94"/>
    <w:rsid w:val="7C933BEE"/>
    <w:rsid w:val="7C9A52C6"/>
    <w:rsid w:val="7CA332F6"/>
    <w:rsid w:val="7CA60690"/>
    <w:rsid w:val="7CB55428"/>
    <w:rsid w:val="7CB57626"/>
    <w:rsid w:val="7CBA3466"/>
    <w:rsid w:val="7CBF7CC6"/>
    <w:rsid w:val="7CBFE34A"/>
    <w:rsid w:val="7CC4115F"/>
    <w:rsid w:val="7CD136D3"/>
    <w:rsid w:val="7CD30A54"/>
    <w:rsid w:val="7CD85ECF"/>
    <w:rsid w:val="7CEB10DA"/>
    <w:rsid w:val="7CEF1D89"/>
    <w:rsid w:val="7CFD65A0"/>
    <w:rsid w:val="7CFE3EC6"/>
    <w:rsid w:val="7D1D5D51"/>
    <w:rsid w:val="7D1D701A"/>
    <w:rsid w:val="7D264462"/>
    <w:rsid w:val="7D466F15"/>
    <w:rsid w:val="7D474996"/>
    <w:rsid w:val="7D567BE4"/>
    <w:rsid w:val="7D6029EB"/>
    <w:rsid w:val="7D69294D"/>
    <w:rsid w:val="7D6B16D3"/>
    <w:rsid w:val="7D6E474B"/>
    <w:rsid w:val="7D7B60EA"/>
    <w:rsid w:val="7D7F14C3"/>
    <w:rsid w:val="7D851991"/>
    <w:rsid w:val="7D8E7F71"/>
    <w:rsid w:val="7D92071E"/>
    <w:rsid w:val="7D992442"/>
    <w:rsid w:val="7D9F315F"/>
    <w:rsid w:val="7DA642C3"/>
    <w:rsid w:val="7DB24046"/>
    <w:rsid w:val="7DB66366"/>
    <w:rsid w:val="7DC36EAF"/>
    <w:rsid w:val="7DCB3991"/>
    <w:rsid w:val="7DCF5B74"/>
    <w:rsid w:val="7DD148FB"/>
    <w:rsid w:val="7DDC5831"/>
    <w:rsid w:val="7DDD290B"/>
    <w:rsid w:val="7DDE038D"/>
    <w:rsid w:val="7DE22798"/>
    <w:rsid w:val="7DE65B48"/>
    <w:rsid w:val="7DED6109"/>
    <w:rsid w:val="7DF76D39"/>
    <w:rsid w:val="7DFF08C2"/>
    <w:rsid w:val="7DFFE897"/>
    <w:rsid w:val="7E0F43DF"/>
    <w:rsid w:val="7E1B0471"/>
    <w:rsid w:val="7E1E1177"/>
    <w:rsid w:val="7E2412AD"/>
    <w:rsid w:val="7E325778"/>
    <w:rsid w:val="7E3F7A67"/>
    <w:rsid w:val="7E434BA0"/>
    <w:rsid w:val="7E4932C0"/>
    <w:rsid w:val="7E4C09C1"/>
    <w:rsid w:val="7E4F1946"/>
    <w:rsid w:val="7E5E4A14"/>
    <w:rsid w:val="7E6150E3"/>
    <w:rsid w:val="7E6D67B0"/>
    <w:rsid w:val="7E710D0D"/>
    <w:rsid w:val="7E7C227A"/>
    <w:rsid w:val="7E7C25E5"/>
    <w:rsid w:val="7E7D4A13"/>
    <w:rsid w:val="7E83339A"/>
    <w:rsid w:val="7E83691D"/>
    <w:rsid w:val="7E8661C5"/>
    <w:rsid w:val="7E8B17AA"/>
    <w:rsid w:val="7E93600D"/>
    <w:rsid w:val="7E9D7B39"/>
    <w:rsid w:val="7E9E07CB"/>
    <w:rsid w:val="7E9E4F48"/>
    <w:rsid w:val="7E9F27AB"/>
    <w:rsid w:val="7EA01C51"/>
    <w:rsid w:val="7EA03CCE"/>
    <w:rsid w:val="7EA47B7B"/>
    <w:rsid w:val="7EAB7AE1"/>
    <w:rsid w:val="7EBB0F17"/>
    <w:rsid w:val="7EC00980"/>
    <w:rsid w:val="7EC108AA"/>
    <w:rsid w:val="7ECEA773"/>
    <w:rsid w:val="7ECF5717"/>
    <w:rsid w:val="7ED05708"/>
    <w:rsid w:val="7ED1449D"/>
    <w:rsid w:val="7ED357CA"/>
    <w:rsid w:val="7EE7398F"/>
    <w:rsid w:val="7EEB3B79"/>
    <w:rsid w:val="7EF20255"/>
    <w:rsid w:val="7EF67423"/>
    <w:rsid w:val="7EF768DB"/>
    <w:rsid w:val="7EFA7860"/>
    <w:rsid w:val="7EFF3CE8"/>
    <w:rsid w:val="7F08472B"/>
    <w:rsid w:val="7F0945F7"/>
    <w:rsid w:val="7F0F3F82"/>
    <w:rsid w:val="7F1B445E"/>
    <w:rsid w:val="7F201EE9"/>
    <w:rsid w:val="7F222FA3"/>
    <w:rsid w:val="7F2464A6"/>
    <w:rsid w:val="7F2A03AF"/>
    <w:rsid w:val="7F382EE6"/>
    <w:rsid w:val="7F405C73"/>
    <w:rsid w:val="7F417FD4"/>
    <w:rsid w:val="7F42336A"/>
    <w:rsid w:val="7F4B1F07"/>
    <w:rsid w:val="7F5411F3"/>
    <w:rsid w:val="7F565D15"/>
    <w:rsid w:val="7F5759FB"/>
    <w:rsid w:val="7F587460"/>
    <w:rsid w:val="7F610058"/>
    <w:rsid w:val="7F6364A4"/>
    <w:rsid w:val="7F672412"/>
    <w:rsid w:val="7F6C6A68"/>
    <w:rsid w:val="7F7A3631"/>
    <w:rsid w:val="7F7A4D35"/>
    <w:rsid w:val="7F7FFC9A"/>
    <w:rsid w:val="7F882947"/>
    <w:rsid w:val="7F886D2E"/>
    <w:rsid w:val="7F8A69E7"/>
    <w:rsid w:val="7F8FDD48"/>
    <w:rsid w:val="7F921161"/>
    <w:rsid w:val="7F9DA3D7"/>
    <w:rsid w:val="7F9F5502"/>
    <w:rsid w:val="7FAE3FB6"/>
    <w:rsid w:val="7FB777D7"/>
    <w:rsid w:val="7FBD0C23"/>
    <w:rsid w:val="7FC335E9"/>
    <w:rsid w:val="7FC6022D"/>
    <w:rsid w:val="7FCB2137"/>
    <w:rsid w:val="7FCF092E"/>
    <w:rsid w:val="7FCFF12B"/>
    <w:rsid w:val="7FDA5289"/>
    <w:rsid w:val="7FDB2C76"/>
    <w:rsid w:val="7FDD34C2"/>
    <w:rsid w:val="7FE361F8"/>
    <w:rsid w:val="7FEA29EC"/>
    <w:rsid w:val="7FF12376"/>
    <w:rsid w:val="7FF43129"/>
    <w:rsid w:val="7FF667FE"/>
    <w:rsid w:val="83FF9812"/>
    <w:rsid w:val="867F4907"/>
    <w:rsid w:val="8ABF9BE5"/>
    <w:rsid w:val="8EC70051"/>
    <w:rsid w:val="8FDE253D"/>
    <w:rsid w:val="94DD014E"/>
    <w:rsid w:val="97F74954"/>
    <w:rsid w:val="97F751D4"/>
    <w:rsid w:val="9BBFBDD2"/>
    <w:rsid w:val="9DA28D07"/>
    <w:rsid w:val="9F993AE9"/>
    <w:rsid w:val="9FCFB214"/>
    <w:rsid w:val="A63E2F5B"/>
    <w:rsid w:val="BCDE6772"/>
    <w:rsid w:val="BDBFCCDC"/>
    <w:rsid w:val="BFBFD28A"/>
    <w:rsid w:val="BFE75F4C"/>
    <w:rsid w:val="BFEB0277"/>
    <w:rsid w:val="C6F62665"/>
    <w:rsid w:val="CDEF9E11"/>
    <w:rsid w:val="CEEBA055"/>
    <w:rsid w:val="DABD0A3F"/>
    <w:rsid w:val="DBFFB6CD"/>
    <w:rsid w:val="DEFFDA31"/>
    <w:rsid w:val="DFFF544B"/>
    <w:rsid w:val="E6FF5ABA"/>
    <w:rsid w:val="E70DA98E"/>
    <w:rsid w:val="E7F7FD02"/>
    <w:rsid w:val="E7FD7087"/>
    <w:rsid w:val="EAAF3920"/>
    <w:rsid w:val="EBBD4FF3"/>
    <w:rsid w:val="EBEF2F2A"/>
    <w:rsid w:val="ECFC0E79"/>
    <w:rsid w:val="EEFB19CB"/>
    <w:rsid w:val="EEFFFC1A"/>
    <w:rsid w:val="EF779850"/>
    <w:rsid w:val="EFF3C631"/>
    <w:rsid w:val="F3D7D288"/>
    <w:rsid w:val="F55BCABB"/>
    <w:rsid w:val="F567F784"/>
    <w:rsid w:val="F7DF9010"/>
    <w:rsid w:val="F7FEDDF1"/>
    <w:rsid w:val="FCF8DAE8"/>
    <w:rsid w:val="FCFFBDE4"/>
    <w:rsid w:val="FD9EF176"/>
    <w:rsid w:val="FDBF550A"/>
    <w:rsid w:val="FDCB62E3"/>
    <w:rsid w:val="FDDFD0BB"/>
    <w:rsid w:val="FE6FC603"/>
    <w:rsid w:val="FEED9965"/>
    <w:rsid w:val="FF1FACC2"/>
    <w:rsid w:val="FF75D76A"/>
    <w:rsid w:val="FFEE8C76"/>
    <w:rsid w:val="FFEFAB7B"/>
    <w:rsid w:val="FFFA2D99"/>
    <w:rsid w:val="FFFF6F65"/>
    <w:rsid w:val="FFFF8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spacing w:line="560" w:lineRule="exact"/>
      <w:ind w:firstLine="0" w:firstLineChars="200"/>
      <w:jc w:val="both"/>
    </w:pPr>
    <w:rPr>
      <w:rFonts w:ascii="仿宋_GB2312" w:hAnsi="仿宋_GB2312" w:eastAsia="仿宋_GB2312" w:cs="仿宋_GB2312"/>
      <w:color w:val="auto"/>
      <w:kern w:val="2"/>
      <w:sz w:val="32"/>
      <w:szCs w:val="32"/>
      <w:lang w:val="en-US" w:eastAsia="zh-CN" w:bidi="ar-SA"/>
    </w:rPr>
  </w:style>
  <w:style w:type="paragraph" w:styleId="3">
    <w:name w:val="heading 1"/>
    <w:basedOn w:val="1"/>
    <w:next w:val="1"/>
    <w:link w:val="27"/>
    <w:qFormat/>
    <w:uiPriority w:val="9"/>
    <w:pPr>
      <w:outlineLvl w:val="0"/>
    </w:pPr>
  </w:style>
  <w:style w:type="paragraph" w:styleId="4">
    <w:name w:val="heading 2"/>
    <w:basedOn w:val="3"/>
    <w:next w:val="1"/>
    <w:link w:val="26"/>
    <w:unhideWhenUsed/>
    <w:qFormat/>
    <w:uiPriority w:val="9"/>
    <w:pPr>
      <w:outlineLvl w:val="1"/>
    </w:pPr>
    <w:rPr>
      <w:rFonts w:eastAsia="楷体_GB2312"/>
      <w:highlight w:val="none"/>
    </w:rPr>
  </w:style>
  <w:style w:type="paragraph" w:styleId="5">
    <w:name w:val="heading 3"/>
    <w:basedOn w:val="4"/>
    <w:next w:val="1"/>
    <w:link w:val="25"/>
    <w:unhideWhenUsed/>
    <w:qFormat/>
    <w:uiPriority w:val="9"/>
    <w:pPr>
      <w:outlineLvl w:val="2"/>
    </w:pPr>
    <w:rPr>
      <w:rFonts w:ascii="仿宋_GB2312" w:hAnsi="仿宋_GB2312" w:eastAsia="仿宋_GB231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adjustRightInd w:val="0"/>
      <w:snapToGrid w:val="0"/>
      <w:spacing w:line="264" w:lineRule="auto"/>
    </w:pPr>
    <w:rPr>
      <w:rFonts w:eastAsia="仿宋_GB2312"/>
      <w:bCs/>
    </w:rPr>
  </w:style>
  <w:style w:type="paragraph" w:styleId="6">
    <w:name w:val="Normal Indent"/>
    <w:basedOn w:val="1"/>
    <w:autoRedefine/>
    <w:qFormat/>
    <w:uiPriority w:val="99"/>
    <w:pPr>
      <w:ind w:firstLine="420"/>
    </w:pPr>
    <w:rPr>
      <w:szCs w:val="20"/>
    </w:rPr>
  </w:style>
  <w:style w:type="paragraph" w:styleId="7">
    <w:name w:val="annotation text"/>
    <w:basedOn w:val="1"/>
    <w:semiHidden/>
    <w:unhideWhenUsed/>
    <w:qFormat/>
    <w:uiPriority w:val="99"/>
    <w:pPr>
      <w:jc w:val="left"/>
    </w:pPr>
  </w:style>
  <w:style w:type="paragraph" w:styleId="8">
    <w:name w:val="Body Text Indent"/>
    <w:basedOn w:val="1"/>
    <w:unhideWhenUsed/>
    <w:qFormat/>
    <w:uiPriority w:val="99"/>
    <w:pPr>
      <w:spacing w:after="120"/>
      <w:ind w:left="420" w:leftChars="200"/>
    </w:pPr>
  </w:style>
  <w:style w:type="paragraph" w:styleId="9">
    <w:name w:val="toc 3"/>
    <w:basedOn w:val="1"/>
    <w:next w:val="1"/>
    <w:unhideWhenUsed/>
    <w:qFormat/>
    <w:uiPriority w:val="39"/>
    <w:pPr>
      <w:adjustRightInd w:val="0"/>
      <w:snapToGrid w:val="0"/>
      <w:ind w:left="567"/>
      <w:jc w:val="left"/>
    </w:pPr>
    <w:rPr>
      <w:rFonts w:eastAsia="楷体" w:cs="宋体"/>
      <w:iCs/>
      <w:sz w:val="30"/>
      <w:szCs w:val="20"/>
    </w:rPr>
  </w:style>
  <w:style w:type="paragraph" w:styleId="10">
    <w:name w:val="Plain Text"/>
    <w:basedOn w:val="1"/>
    <w:link w:val="35"/>
    <w:unhideWhenUsed/>
    <w:qFormat/>
    <w:uiPriority w:val="0"/>
    <w:pPr>
      <w:spacing w:line="240" w:lineRule="auto"/>
      <w:ind w:firstLine="0" w:firstLineChars="0"/>
    </w:pPr>
    <w:rPr>
      <w:rFonts w:ascii="宋体" w:hAnsi="Courier New" w:eastAsia="宋体" w:cs="Courier New"/>
      <w:sz w:val="21"/>
      <w:szCs w:val="21"/>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adjustRightInd w:val="0"/>
      <w:snapToGrid w:val="0"/>
      <w:jc w:val="left"/>
    </w:pPr>
    <w:rPr>
      <w:rFonts w:eastAsia="黑体" w:cs="宋体"/>
      <w:bCs/>
      <w:caps/>
      <w:szCs w:val="20"/>
    </w:rPr>
  </w:style>
  <w:style w:type="paragraph" w:styleId="14">
    <w:name w:val="Subtitle"/>
    <w:basedOn w:val="1"/>
    <w:next w:val="1"/>
    <w:link w:val="31"/>
    <w:qFormat/>
    <w:uiPriority w:val="11"/>
    <w:pPr>
      <w:adjustRightInd w:val="0"/>
      <w:snapToGrid w:val="0"/>
      <w:spacing w:line="240" w:lineRule="auto"/>
      <w:ind w:firstLine="0" w:firstLineChars="0"/>
      <w:jc w:val="center"/>
    </w:pPr>
    <w:rPr>
      <w:rFonts w:ascii="黑体" w:hAnsi="黑体" w:eastAsia="黑体" w:cs="黑体"/>
      <w:b/>
      <w:bCs/>
      <w:kern w:val="28"/>
      <w:sz w:val="36"/>
      <w:szCs w:val="36"/>
    </w:rPr>
  </w:style>
  <w:style w:type="paragraph" w:styleId="15">
    <w:name w:val="toc 2"/>
    <w:basedOn w:val="1"/>
    <w:next w:val="1"/>
    <w:unhideWhenUsed/>
    <w:qFormat/>
    <w:uiPriority w:val="39"/>
    <w:pPr>
      <w:adjustRightInd w:val="0"/>
      <w:snapToGrid w:val="0"/>
      <w:ind w:left="284"/>
      <w:jc w:val="left"/>
    </w:pPr>
    <w:rPr>
      <w:rFonts w:eastAsia="楷体" w:cs="宋体"/>
      <w:smallCaps/>
      <w:szCs w:val="20"/>
    </w:rPr>
  </w:style>
  <w:style w:type="paragraph" w:styleId="16">
    <w:name w:val="Normal (Web)"/>
    <w:basedOn w:val="1"/>
    <w:qFormat/>
    <w:uiPriority w:val="0"/>
    <w:pPr>
      <w:spacing w:beforeAutospacing="1" w:afterAutospacing="1" w:line="240" w:lineRule="auto"/>
      <w:ind w:firstLine="0" w:firstLineChars="0"/>
      <w:jc w:val="left"/>
    </w:pPr>
    <w:rPr>
      <w:rFonts w:cs="Times New Roman" w:asciiTheme="minorHAnsi" w:eastAsiaTheme="minorEastAsia"/>
      <w:kern w:val="0"/>
      <w:sz w:val="24"/>
      <w:szCs w:val="24"/>
    </w:rPr>
  </w:style>
  <w:style w:type="paragraph" w:styleId="17">
    <w:name w:val="Title"/>
    <w:basedOn w:val="13"/>
    <w:next w:val="1"/>
    <w:link w:val="30"/>
    <w:qFormat/>
    <w:uiPriority w:val="10"/>
    <w:pPr>
      <w:adjustRightInd/>
      <w:snapToGrid/>
      <w:spacing w:line="240" w:lineRule="auto"/>
      <w:ind w:firstLine="0" w:firstLineChars="0"/>
      <w:jc w:val="center"/>
    </w:pPr>
    <w:rPr>
      <w:rFonts w:ascii="Times New Roman" w:hAnsi="Times New Roman" w:eastAsia="方正小标宋简体" w:cs="Times New Roman"/>
      <w:b/>
      <w:bCs w:val="0"/>
      <w:caps w:val="0"/>
      <w:color w:val="000000"/>
      <w:sz w:val="44"/>
      <w:szCs w:val="44"/>
    </w:rPr>
  </w:style>
  <w:style w:type="paragraph" w:styleId="18">
    <w:name w:val="Body Text First Indent"/>
    <w:basedOn w:val="2"/>
    <w:next w:val="2"/>
    <w:unhideWhenUsed/>
    <w:qFormat/>
    <w:uiPriority w:val="99"/>
    <w:pPr>
      <w:ind w:firstLine="420" w:firstLineChars="100"/>
    </w:pPr>
  </w:style>
  <w:style w:type="paragraph" w:styleId="19">
    <w:name w:val="Body Text First Indent 2"/>
    <w:basedOn w:val="8"/>
    <w:qFormat/>
    <w:uiPriority w:val="0"/>
    <w:pPr>
      <w:ind w:left="0" w:leftChars="0" w:firstLine="420" w:firstLineChars="200"/>
    </w:pPr>
    <w:rPr>
      <w:rFonts w:hAnsi="仿宋_GB2312"/>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unhideWhenUsed/>
    <w:qFormat/>
    <w:uiPriority w:val="99"/>
    <w:rPr>
      <w:color w:val="0000FF"/>
      <w:u w:val="single"/>
    </w:rPr>
  </w:style>
  <w:style w:type="character" w:customStyle="1" w:styleId="25">
    <w:name w:val="标题 3 Char"/>
    <w:link w:val="5"/>
    <w:qFormat/>
    <w:uiPriority w:val="9"/>
    <w:rPr>
      <w:rFonts w:ascii="仿宋_GB2312" w:hAnsi="仿宋_GB2312" w:eastAsia="仿宋_GB2312" w:cstheme="minorBidi"/>
      <w:color w:val="auto"/>
      <w:kern w:val="2"/>
      <w:sz w:val="32"/>
      <w:szCs w:val="32"/>
      <w:highlight w:val="none"/>
      <w:lang w:val="en-US" w:eastAsia="zh-CN" w:bidi="ar-SA"/>
    </w:rPr>
  </w:style>
  <w:style w:type="character" w:customStyle="1" w:styleId="26">
    <w:name w:val="标题 2 Char"/>
    <w:link w:val="4"/>
    <w:qFormat/>
    <w:uiPriority w:val="9"/>
    <w:rPr>
      <w:rFonts w:ascii="仿宋_GB2312" w:hAnsi="仿宋_GB2312" w:eastAsia="楷体_GB2312" w:cstheme="minorBidi"/>
      <w:color w:val="auto"/>
      <w:kern w:val="2"/>
      <w:sz w:val="32"/>
      <w:szCs w:val="32"/>
      <w:highlight w:val="none"/>
      <w:lang w:val="en-US" w:eastAsia="zh-CN" w:bidi="ar-SA"/>
    </w:rPr>
  </w:style>
  <w:style w:type="character" w:customStyle="1" w:styleId="27">
    <w:name w:val="标题 1 Char"/>
    <w:link w:val="3"/>
    <w:qFormat/>
    <w:uiPriority w:val="9"/>
    <w:rPr>
      <w:rFonts w:ascii="仿宋_GB2312" w:hAnsi="仿宋_GB2312" w:eastAsia="仿宋_GB2312" w:cstheme="minorBidi"/>
      <w:color w:val="auto"/>
      <w:kern w:val="2"/>
      <w:sz w:val="32"/>
      <w:szCs w:val="32"/>
      <w:lang w:val="en-US" w:eastAsia="zh-CN" w:bidi="ar-SA"/>
    </w:rPr>
  </w:style>
  <w:style w:type="character" w:customStyle="1" w:styleId="28">
    <w:name w:val="页眉 Char"/>
    <w:basedOn w:val="22"/>
    <w:link w:val="12"/>
    <w:qFormat/>
    <w:uiPriority w:val="99"/>
    <w:rPr>
      <w:sz w:val="18"/>
      <w:szCs w:val="18"/>
    </w:rPr>
  </w:style>
  <w:style w:type="character" w:customStyle="1" w:styleId="29">
    <w:name w:val="页脚 Char"/>
    <w:basedOn w:val="22"/>
    <w:link w:val="11"/>
    <w:qFormat/>
    <w:uiPriority w:val="99"/>
    <w:rPr>
      <w:sz w:val="18"/>
      <w:szCs w:val="18"/>
    </w:rPr>
  </w:style>
  <w:style w:type="character" w:customStyle="1" w:styleId="30">
    <w:name w:val="标题 Char"/>
    <w:basedOn w:val="22"/>
    <w:link w:val="17"/>
    <w:qFormat/>
    <w:uiPriority w:val="10"/>
    <w:rPr>
      <w:rFonts w:ascii="Times New Roman" w:hAnsi="Times New Roman" w:eastAsia="方正小标宋简体" w:cs="Times New Roman"/>
      <w:b/>
      <w:color w:val="000000"/>
      <w:sz w:val="44"/>
      <w:szCs w:val="44"/>
    </w:rPr>
  </w:style>
  <w:style w:type="character" w:customStyle="1" w:styleId="31">
    <w:name w:val="副标题 Char"/>
    <w:basedOn w:val="22"/>
    <w:link w:val="14"/>
    <w:qFormat/>
    <w:uiPriority w:val="11"/>
    <w:rPr>
      <w:rFonts w:ascii="黑体" w:hAnsi="黑体" w:eastAsia="黑体" w:cs="黑体"/>
      <w:b/>
      <w:bCs/>
      <w:kern w:val="28"/>
      <w:sz w:val="36"/>
      <w:szCs w:val="36"/>
    </w:rPr>
  </w:style>
  <w:style w:type="paragraph" w:customStyle="1" w:styleId="32">
    <w:name w:val="新正文"/>
    <w:basedOn w:val="1"/>
    <w:qFormat/>
    <w:uiPriority w:val="0"/>
    <w:pPr>
      <w:adjustRightInd w:val="0"/>
      <w:snapToGrid w:val="0"/>
      <w:spacing w:line="360" w:lineRule="auto"/>
      <w:ind w:firstLine="640"/>
      <w:jc w:val="center"/>
    </w:pPr>
    <w:rPr>
      <w:rFonts w:ascii="Times New Roman" w:hAnsi="Times New Roman" w:cs="宋体"/>
      <w:szCs w:val="20"/>
    </w:rPr>
  </w:style>
  <w:style w:type="character" w:customStyle="1" w:styleId="33">
    <w:name w:val="规划正文1"/>
    <w:qFormat/>
    <w:uiPriority w:val="99"/>
    <w:rPr>
      <w:rFonts w:hint="default" w:ascii="Times New Roman" w:hAnsi="Times New Roman" w:eastAsia="仿宋_GB2312" w:cs="Times New Roman"/>
      <w:color w:val="000000"/>
      <w:sz w:val="32"/>
      <w:szCs w:val="32"/>
    </w:rPr>
  </w:style>
  <w:style w:type="character" w:customStyle="1" w:styleId="34">
    <w:name w:val="纯文本 Char"/>
    <w:basedOn w:val="22"/>
    <w:semiHidden/>
    <w:qFormat/>
    <w:uiPriority w:val="99"/>
    <w:rPr>
      <w:rFonts w:ascii="宋体" w:hAnsi="Courier New" w:eastAsia="宋体" w:cs="Courier New"/>
      <w:szCs w:val="21"/>
    </w:rPr>
  </w:style>
  <w:style w:type="character" w:customStyle="1" w:styleId="35">
    <w:name w:val="纯文本 Char1"/>
    <w:link w:val="10"/>
    <w:qFormat/>
    <w:uiPriority w:val="0"/>
    <w:rPr>
      <w:rFonts w:ascii="宋体" w:hAnsi="Courier New" w:eastAsia="宋体" w:cs="Courier New"/>
      <w:szCs w:val="21"/>
    </w:rPr>
  </w:style>
  <w:style w:type="character" w:customStyle="1" w:styleId="36">
    <w:name w:val="font21"/>
    <w:basedOn w:val="22"/>
    <w:qFormat/>
    <w:uiPriority w:val="0"/>
    <w:rPr>
      <w:rFonts w:hint="eastAsia" w:ascii="仿宋" w:hAnsi="仿宋" w:eastAsia="仿宋" w:cs="仿宋"/>
      <w:b/>
      <w:bCs/>
      <w:color w:val="000000"/>
      <w:sz w:val="24"/>
      <w:szCs w:val="24"/>
      <w:u w:val="none"/>
    </w:rPr>
  </w:style>
  <w:style w:type="character" w:customStyle="1" w:styleId="37">
    <w:name w:val="font11"/>
    <w:basedOn w:val="22"/>
    <w:qFormat/>
    <w:uiPriority w:val="0"/>
    <w:rPr>
      <w:rFonts w:hint="default" w:ascii="Times New Roman" w:hAnsi="Times New Roman" w:cs="Times New Roman"/>
      <w:color w:val="000000"/>
      <w:sz w:val="24"/>
      <w:szCs w:val="24"/>
      <w:u w:val="none"/>
    </w:rPr>
  </w:style>
  <w:style w:type="character" w:customStyle="1" w:styleId="38">
    <w:name w:val="font41"/>
    <w:basedOn w:val="22"/>
    <w:qFormat/>
    <w:uiPriority w:val="0"/>
    <w:rPr>
      <w:rFonts w:hint="eastAsia" w:ascii="仿宋" w:hAnsi="仿宋" w:eastAsia="仿宋" w:cs="仿宋"/>
      <w:color w:val="000000"/>
      <w:sz w:val="24"/>
      <w:szCs w:val="24"/>
      <w:u w:val="none"/>
    </w:rPr>
  </w:style>
  <w:style w:type="paragraph" w:customStyle="1" w:styleId="39">
    <w:name w:val="段落"/>
    <w:basedOn w:val="1"/>
    <w:qFormat/>
    <w:uiPriority w:val="0"/>
    <w:pPr>
      <w:tabs>
        <w:tab w:val="left" w:pos="4725"/>
      </w:tabs>
      <w:autoSpaceDE w:val="0"/>
      <w:autoSpaceDN w:val="0"/>
      <w:adjustRightInd w:val="0"/>
      <w:snapToGrid w:val="0"/>
      <w:spacing w:line="540" w:lineRule="exact"/>
      <w:ind w:firstLine="640" w:firstLineChars="200"/>
    </w:pPr>
    <w:rPr>
      <w:rFonts w:ascii="仿宋_GB2312" w:hAnsi="宋体" w:eastAsia="仿宋_GB2312"/>
      <w:kern w:val="0"/>
      <w:sz w:val="32"/>
      <w:szCs w:val="32"/>
    </w:rPr>
  </w:style>
  <w:style w:type="character" w:customStyle="1" w:styleId="40">
    <w:name w:val="font3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dd93d33a-59c2-40be-91e1-c74934b00d6c</errorID>
      <errorWord xmlns="http://schemas.wps.cn/vas-ai-hub/contract-review">碳排放总量与强度“双控”</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碳排放总量和强度“双控”</item>
      </candidateList>
      <explain xmlns="http://schemas.wps.cn/vas-ai-hub/contract-review">词汇“碳排放总量和强度“双控””在特定场景下为固定表述形式，请确认此处的“碳排放总量与强度“双控””是否存在不当。</explain>
      <paraID xmlns="http://schemas.wps.cn/vas-ai-hub/contract-review">4BE6C46E</paraID>
      <start xmlns="http://schemas.wps.cn/vas-ai-hub/contract-review">35</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2b7b9034-7199-45d1-92ac-4c946f4b172c</errorID>
      <errorWord xmlns="http://schemas.wps.cn/vas-ai-hub/contract-review">工程全面完成</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工程</item>
      </candidateList>
      <explain xmlns="http://schemas.wps.cn/vas-ai-hub/contract-review"/>
      <paraID xmlns="http://schemas.wps.cn/vas-ai-hub/contract-review">6C4FC947</paraID>
      <start xmlns="http://schemas.wps.cn/vas-ai-hub/contract-review">107</start>
      <end xmlns="http://schemas.wps.cn/vas-ai-hub/contract-review">113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1440de05-3f15-422e-8226-4fc7fce5fc9f</errorID>
      <errorWord xmlns="http://schemas.wps.cn/vas-ai-hub/contract-review">&gt;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64A141D5</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1eba3a8b-c10d-4493-a642-da0a3d045840</errorID>
      <errorWord xmlns="http://schemas.wps.cn/vas-ai-hub/contract-review">&gt;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7FD0690</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90764ce8-5f24-4581-ae68-27a410564c04</errorID>
      <errorWord xmlns="http://schemas.wps.cn/vas-ai-hub/contract-review">中重度及以上污染天数</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重度及以上污染天数</item>
      </candidateList>
      <explain xmlns="http://schemas.wps.cn/vas-ai-hub/contract-review">术语一致性：前文提及“重度及以上污染天数比例”，此处“中重度及以上污染天数”表述不一致，应统一为“重度及以上污染天数”</explain>
      <paraID xmlns="http://schemas.wps.cn/vas-ai-hub/contract-review">6461B66F</paraID>
      <start xmlns="http://schemas.wps.cn/vas-ai-hub/contract-review">0</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5f55e180-b580-46ec-b19a-eda8f4f34478</errorID>
      <errorWord xmlns="http://schemas.wps.cn/vas-ai-hub/contract-review">碳减排行动方案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碳达峰行动方案</item>
      </candidateList>
      <explain xmlns="http://schemas.wps.cn/vas-ai-hub/contract-review">词汇“碳达峰行动方案”在特定场景下为固定表述形式，请确认此处的“碳减排行动方案”是否存在不当。</explain>
      <paraID xmlns="http://schemas.wps.cn/vas-ai-hub/contract-review">3A5939A7</paraID>
      <start xmlns="http://schemas.wps.cn/vas-ai-hub/contract-review">11</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8cb7efa8-fab1-4648-93eb-6925a9618974</errorID>
      <errorWord xmlns="http://schemas.wps.cn/vas-ai-hub/contract-review">顺义</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·顺义</item>
      </candidateList>
      <explain xmlns="http://schemas.wps.cn/vas-ai-hub/contract-review"/>
      <paraID xmlns="http://schemas.wps.cn/vas-ai-hub/contract-review"> A4A1684</paraID>
      <start xmlns="http://schemas.wps.cn/vas-ai-hub/contract-review">282</start>
      <end xmlns="http://schemas.wps.cn/vas-ai-hub/contract-review">284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1e777949-08ed-43a2-92fb-2373071a692d</errorID>
      <errorWord xmlns="http://schemas.wps.cn/vas-ai-hub/contract-review">精抓细抠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精准治理</item>
      </candidateList>
      <explain xmlns="http://schemas.wps.cn/vas-ai-hub/contract-review"/>
      <paraID xmlns="http://schemas.wps.cn/vas-ai-hub/contract-review">2E3908EA</paraID>
      <start xmlns="http://schemas.wps.cn/vas-ai-hub/contract-review">9</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8df2c65c-6835-4b73-8de1-42b1a5d5c46d</errorID>
      <errorWord xmlns="http://schemas.wps.cn/vas-ai-hub/contract-review">总体</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的总体</item>
      </candidateList>
      <explain xmlns="http://schemas.wps.cn/vas-ai-hub/contract-review"/>
      <paraID xmlns="http://schemas.wps.cn/vas-ai-hub/contract-review">775FBBE6</paraID>
      <start xmlns="http://schemas.wps.cn/vas-ai-hub/contract-review">30</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3408d741-e4d1-4c8f-8aa1-10adbede6829</errorID>
      <errorWord xmlns="http://schemas.wps.cn/vas-ai-hub/contract-review">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为</item>
      </candidateList>
      <explain xmlns="http://schemas.wps.cn/vas-ai-hub/contract-review"/>
      <paraID xmlns="http://schemas.wps.cn/vas-ai-hub/contract-review">775FBBE6</paraID>
      <start xmlns="http://schemas.wps.cn/vas-ai-hub/contract-review">193</start>
      <end xmlns="http://schemas.wps.cn/vas-ai-hub/contract-review">195</end>
      <status xmlns="http://schemas.wps.cn/vas-ai-hub/contract-review">modified</status>
      <modifiedWord xmlns="http://schemas.wps.cn/vas-ai-hub/contract-review">为对</modifiedWord>
      <trackRevisions xmlns="http://schemas.wps.cn/vas-ai-hub/contract-review">true</trackRevisions>
    </reviewItem>
    <reviewItem xmlns="http://schemas.wps.cn/vas-ai-hub/contract-review">
      <errorID xmlns="http://schemas.wps.cn/vas-ai-hub/contract-review">9a4b42f9-42a2-49c9-b818-1c71f1649f92</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措施。</item>
      </candidateList>
      <explain xmlns="http://schemas.wps.cn/vas-ai-hub/contract-review"/>
      <paraID xmlns="http://schemas.wps.cn/vas-ai-hub/contract-review">775FBBE6</paraID>
      <start xmlns="http://schemas.wps.cn/vas-ai-hub/contract-review">208</start>
      <end xmlns="http://schemas.wps.cn/vas-ai-hub/contract-review">209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149a0976-ff32-485d-a8e4-382190caefaa</errorID>
      <errorWord xmlns="http://schemas.wps.cn/vas-ai-hub/contract-review">转移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转变</item>
      </candidateList>
      <explain xmlns="http://schemas.wps.cn/vas-ai-hub/contract-review"/>
      <paraID xmlns="http://schemas.wps.cn/vas-ai-hub/contract-review">775FBBE6</paraID>
      <start xmlns="http://schemas.wps.cn/vas-ai-hub/contract-review">240</start>
      <end xmlns="http://schemas.wps.cn/vas-ai-hub/contract-review">242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16a9746a-ca39-4c86-aeac-5efda0a8a949</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机制，</item>
      </candidateList>
      <explain xmlns="http://schemas.wps.cn/vas-ai-hub/contract-review"/>
      <paraID xmlns="http://schemas.wps.cn/vas-ai-hub/contract-review">7D85AAA1</paraID>
      <start xmlns="http://schemas.wps.cn/vas-ai-hub/contract-review">23</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4e04d161-2839-454b-b8d4-5f0f15e82056</errorID>
      <errorWord xmlns="http://schemas.wps.cn/vas-ai-hub/contract-review">区域联建联防</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区域联防联控</item>
      </candidateList>
      <explain xmlns="http://schemas.wps.cn/vas-ai-hub/contract-review">此处内容疑似含有固定表述相关错误，建议核查。</explain>
      <paraID xmlns="http://schemas.wps.cn/vas-ai-hub/contract-review">61273E27</paraID>
      <start xmlns="http://schemas.wps.cn/vas-ai-hub/contract-review">20</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95582879-35a7-4e40-81bb-5375b95216a6</errorID>
      <errorWord xmlns="http://schemas.wps.cn/vas-ai-hub/contract-review">有限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优先</item>
      </candidateList>
      <explain xmlns="http://schemas.wps.cn/vas-ai-hub/contract-review"/>
      <paraID xmlns="http://schemas.wps.cn/vas-ai-hub/contract-review">54831167</paraID>
      <start xmlns="http://schemas.wps.cn/vas-ai-hub/contract-review">111</start>
      <end xmlns="http://schemas.wps.cn/vas-ai-hub/contract-review">113</end>
      <status xmlns="http://schemas.wps.cn/vas-ai-hub/contract-review">modified</status>
      <modifiedWord xmlns="http://schemas.wps.cn/vas-ai-hub/contract-review">优先</modifiedWord>
      <trackRevisions xmlns="http://schemas.wps.cn/vas-ai-hub/contract-review">true</trackRevisions>
    </reviewItem>
    <reviewItem xmlns="http://schemas.wps.cn/vas-ai-hub/contract-review">
      <errorID xmlns="http://schemas.wps.cn/vas-ai-hub/contract-review">2dbb29a6-9051-4821-9708-22bde605c666</errorID>
      <errorWord xmlns="http://schemas.wps.cn/vas-ai-hub/contract-review">等台帐</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等台账</item>
      </candidateList>
      <explain xmlns="http://schemas.wps.cn/vas-ai-hub/contract-review">词汇[等台帐]为不规范表述或旧称，其规范书面表述为[等台账]。</explain>
      <paraID xmlns="http://schemas.wps.cn/vas-ai-hub/contract-review">4FE8C994</paraID>
      <start xmlns="http://schemas.wps.cn/vas-ai-hub/contract-review">79</start>
      <end xmlns="http://schemas.wps.cn/vas-ai-hub/contract-review">82</end>
      <status xmlns="http://schemas.wps.cn/vas-ai-hub/contract-review">modified</status>
      <modifiedWord xmlns="http://schemas.wps.cn/vas-ai-hub/contract-review">等台账</modifiedWord>
      <trackRevisions xmlns="http://schemas.wps.cn/vas-ai-hub/contract-review">true</trackRevisions>
    </reviewItem>
    <reviewItem xmlns="http://schemas.wps.cn/vas-ai-hub/contract-review">
      <errorID xmlns="http://schemas.wps.cn/vas-ai-hub/contract-review">4d09da70-88ce-4796-b367-470425a05c3a</errorID>
      <errorWord xmlns="http://schemas.wps.cn/vas-ai-hub/contract-review">顺义</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城市顺义</item>
      </candidateList>
      <explain xmlns="http://schemas.wps.cn/vas-ai-hub/contract-review"/>
      <paraID xmlns="http://schemas.wps.cn/vas-ai-hub/contract-review"> 3AE0C86</paraID>
      <start xmlns="http://schemas.wps.cn/vas-ai-hub/contract-review">10</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3c176d99-115f-4d57-82f0-7aea7bf42320</errorID>
      <errorWord xmlns="http://schemas.wps.cn/vas-ai-hub/contract-review">露台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打造露台</item>
      </candidateList>
      <explain xmlns="http://schemas.wps.cn/vas-ai-hub/contract-review"/>
      <paraID xmlns="http://schemas.wps.cn/vas-ai-hub/contract-review">207246F8</paraID>
      <start xmlns="http://schemas.wps.cn/vas-ai-hub/contract-review">72</start>
      <end xmlns="http://schemas.wps.cn/vas-ai-hub/contract-review">74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eefbdcbf-43d6-4c6d-b60b-aed7b98e988d</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工作。</item>
      </candidateList>
      <explain xmlns="http://schemas.wps.cn/vas-ai-hub/contract-review"/>
      <paraID xmlns="http://schemas.wps.cn/vas-ai-hub/contract-review">1B63E934</paraID>
      <start xmlns="http://schemas.wps.cn/vas-ai-hub/contract-review">82</start>
      <end xmlns="http://schemas.wps.cn/vas-ai-hub/contract-review">83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929c68db-636a-4f76-93d7-dd3285561dd5</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的情况。</item>
      </candidateList>
      <explain xmlns="http://schemas.wps.cn/vas-ai-hub/contract-review"/>
      <paraID xmlns="http://schemas.wps.cn/vas-ai-hub/contract-review">4E06B950</paraID>
      <start xmlns="http://schemas.wps.cn/vas-ai-hub/contract-review">231</start>
      <end xmlns="http://schemas.wps.cn/vas-ai-hub/contract-review">232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cad5f725-53b0-4d00-b2cc-47c46b217b7a</errorID>
      <errorWord xmlns="http://schemas.wps.cn/vas-ai-hub/contract-review">市委市政府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市委、市政府</item>
      </candidateList>
      <explain xmlns="http://schemas.wps.cn/vas-ai-hub/contract-review"/>
      <paraID xmlns="http://schemas.wps.cn/vas-ai-hub/contract-review">2CB18391</paraID>
      <start xmlns="http://schemas.wps.cn/vas-ai-hub/contract-review">0</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441b9f49-b2ac-4a83-9ba9-cf73348c9c1a</errorID>
      <errorWord xmlns="http://schemas.wps.cn/vas-ai-hub/contract-review">区委区政府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区委、区政府</item>
      </candidateList>
      <explain xmlns="http://schemas.wps.cn/vas-ai-hub/contract-review">注意检查当前固定表述标点是否使用规范。</explain>
      <paraID xmlns="http://schemas.wps.cn/vas-ai-hub/contract-review">15A33B7E</paraID>
      <start xmlns="http://schemas.wps.cn/vas-ai-hub/contract-review">0</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d2278426-f1b2-4e91-bfc2-105a0051613b</errorID>
      <errorWord xmlns="http://schemas.wps.cn/vas-ai-hub/contract-review">碳减排行动方案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碳达峰行动方案</item>
      </candidateList>
      <explain xmlns="http://schemas.wps.cn/vas-ai-hub/contract-review">词汇“碳达峰行动方案”在特定场景下为固定表述形式，请确认此处的“碳减排行动方案”是否存在不当。</explain>
      <paraID xmlns="http://schemas.wps.cn/vas-ai-hub/contract-review"> 6297A45</paraID>
      <start xmlns="http://schemas.wps.cn/vas-ai-hub/contract-review">19</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9ffb2caa-990d-4956-a551-b479596aa5e3</errorID>
      <errorWord xmlns="http://schemas.wps.cn/vas-ai-hub/contract-review">融合贯通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融会贯通</item>
      </candidateList>
      <explain xmlns="http://schemas.wps.cn/vas-ai-hub/contract-review">参合多方面的知识或道理而得到全面的透彻的领悟。</explain>
      <paraID xmlns="http://schemas.wps.cn/vas-ai-hub/contract-review"> BB5B38E</paraID>
      <start xmlns="http://schemas.wps.cn/vas-ai-hub/contract-review">16</start>
      <end xmlns="http://schemas.wps.cn/vas-ai-hub/contract-review">20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c0822-f718-4e79-8509-d3c5c38361ad}">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3736</Words>
  <Characters>4019</Characters>
  <Lines>200</Lines>
  <Paragraphs>56</Paragraphs>
  <TotalTime>0</TotalTime>
  <ScaleCrop>false</ScaleCrop>
  <LinksUpToDate>false</LinksUpToDate>
  <CharactersWithSpaces>4070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2025-04-28T23:38:00Z</dcterms:created>
  <dc:creator>lenovo</dc:creator>
  <cp:lastModifiedBy>你是年少的欢喜.</cp:lastModifiedBy>
  <cp:lastPrinted>2026-04-29T15:24:16Z</cp:lastPrinted>
  <dcterms:modified xsi:type="dcterms:W3CDTF">2026-04-29T15:24:51Z</dcterms:modified>
  <cp:revision>499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E2D344095082ECE176A8F169816EA022_43</vt:lpwstr>
  </property>
  <property fmtid="{D5CDD505-2E9C-101B-9397-08002B2CF9AE}" pid="4" name="KSOTemplateDocerSaveRecord">
    <vt:lpwstr>eyJoZGlkIjoiMWVjZWY1OWEwN2Q5YTc2N2IyMmU5N2I5MDg3YjcwZTMiLCJ1c2VySWQiOiIyOTY2ODM1ODkifQ==</vt:lpwstr>
  </property>
</Properties>
</file>