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E2376">
      <w:pPr>
        <w:pStyle w:val="14"/>
        <w:bidi w:val="0"/>
        <w:rPr>
          <w:rFonts w:hint="default"/>
          <w:lang w:val="en-US" w:eastAsia="zh-CN"/>
        </w:rPr>
      </w:pPr>
      <w:bookmarkStart w:id="0" w:name="_GoBack"/>
      <w:r>
        <w:rPr>
          <w:rFonts w:hint="default"/>
          <w:lang w:val="en-US" w:eastAsia="zh-CN"/>
        </w:rPr>
        <w:t>海淀区全面打造OPC创业生态专项申报指南政策解读</w:t>
      </w:r>
    </w:p>
    <w:bookmarkEnd w:id="0"/>
    <w:p w14:paraId="7CD4801E">
      <w:pPr>
        <w:pStyle w:val="8"/>
        <w:bidi w:val="0"/>
        <w:rPr>
          <w:rFonts w:hint="default"/>
          <w:lang w:val="en-US" w:eastAsia="zh-CN"/>
        </w:rPr>
      </w:pPr>
      <w:r>
        <w:rPr>
          <w:rFonts w:hint="default"/>
          <w:lang w:val="en-US" w:eastAsia="zh-CN"/>
        </w:rPr>
        <w:t>日期:2026年05月20日09:51</w:t>
      </w:r>
      <w:r>
        <w:rPr>
          <w:rFonts w:hint="eastAsia"/>
          <w:lang w:val="en-US" w:eastAsia="zh-CN"/>
        </w:rPr>
        <w:t xml:space="preserve">                  </w:t>
      </w:r>
      <w:r>
        <w:rPr>
          <w:rFonts w:hint="default"/>
          <w:lang w:val="en-US" w:eastAsia="zh-CN"/>
        </w:rPr>
        <w:t>来源:中关村科学城管理委员会</w:t>
      </w:r>
    </w:p>
    <w:p w14:paraId="339FE326">
      <w:pPr>
        <w:bidi w:val="0"/>
        <w:rPr>
          <w:rFonts w:hint="default"/>
          <w:lang w:val="en-US" w:eastAsia="zh-CN"/>
        </w:rPr>
      </w:pPr>
      <w:r>
        <w:rPr>
          <w:rFonts w:hint="default"/>
          <w:lang w:val="en-US" w:eastAsia="zh-CN"/>
        </w:rPr>
        <w:t>近日，中关村科学城管委会发布了《海淀区全面打造OPC创业生态专项申报指南》，重点支持OPC及OPC创业友好社区发展，中关村科学城管委会进行了解读，内容如下：</w:t>
      </w:r>
    </w:p>
    <w:p w14:paraId="20079D7F">
      <w:pPr>
        <w:pStyle w:val="2"/>
        <w:bidi w:val="0"/>
        <w:rPr>
          <w:rFonts w:hint="default"/>
          <w:lang w:val="en-US" w:eastAsia="zh-CN"/>
        </w:rPr>
      </w:pPr>
      <w:r>
        <w:rPr>
          <w:rFonts w:hint="default"/>
          <w:lang w:val="en-US" w:eastAsia="zh-CN"/>
        </w:rPr>
        <w:t>1.问：申报主体要符合哪些条件？</w:t>
      </w:r>
    </w:p>
    <w:p w14:paraId="32A964CF">
      <w:pPr>
        <w:ind w:firstLine="560" w:firstLineChars="200"/>
        <w:rPr>
          <w:rFonts w:hint="default"/>
          <w:lang w:val="en-US" w:eastAsia="zh-CN"/>
        </w:rPr>
      </w:pPr>
      <w:r>
        <w:rPr>
          <w:rFonts w:hint="default"/>
          <w:lang w:val="en-US" w:eastAsia="zh-CN"/>
        </w:rPr>
        <w:t>答：申报本专项的OPC需同时满足以下全部条件：</w:t>
      </w:r>
    </w:p>
    <w:p w14:paraId="67397DC9">
      <w:pPr>
        <w:pStyle w:val="4"/>
        <w:bidi w:val="0"/>
        <w:rPr>
          <w:rFonts w:hint="default"/>
          <w:lang w:val="en-US" w:eastAsia="zh-CN"/>
        </w:rPr>
      </w:pPr>
      <w:r>
        <w:rPr>
          <w:rFonts w:hint="default"/>
          <w:lang w:val="en-US" w:eastAsia="zh-CN"/>
        </w:rPr>
        <w:t>1.主体资格</w:t>
      </w:r>
    </w:p>
    <w:p w14:paraId="58879A06">
      <w:pPr>
        <w:ind w:firstLine="560" w:firstLineChars="200"/>
        <w:rPr>
          <w:rFonts w:hint="default"/>
          <w:lang w:val="en-US" w:eastAsia="zh-CN"/>
        </w:rPr>
      </w:pPr>
      <w:r>
        <w:rPr>
          <w:rFonts w:hint="default"/>
          <w:lang w:val="en-US" w:eastAsia="zh-CN"/>
        </w:rPr>
        <w:t>（1）在海淀区行政区域内合法经营，具有独立法人资格。</w:t>
      </w:r>
    </w:p>
    <w:p w14:paraId="1D1F70C2">
      <w:pPr>
        <w:ind w:firstLine="560" w:firstLineChars="200"/>
        <w:rPr>
          <w:rFonts w:hint="default"/>
          <w:lang w:val="en-US" w:eastAsia="zh-CN"/>
        </w:rPr>
      </w:pPr>
      <w:r>
        <w:rPr>
          <w:rFonts w:hint="default"/>
          <w:lang w:val="en-US" w:eastAsia="zh-CN"/>
        </w:rPr>
        <w:t>（2）符合海淀区“1+X+1”现代化产业体系建设方向。</w:t>
      </w:r>
    </w:p>
    <w:p w14:paraId="32EFDFD0">
      <w:pPr>
        <w:ind w:firstLine="560" w:firstLineChars="200"/>
        <w:rPr>
          <w:rFonts w:hint="default"/>
          <w:lang w:val="en-US" w:eastAsia="zh-CN"/>
        </w:rPr>
      </w:pPr>
      <w:r>
        <w:rPr>
          <w:rFonts w:hint="default"/>
          <w:lang w:val="en-US" w:eastAsia="zh-CN"/>
        </w:rPr>
        <w:t>（3）企业成立时间自注册之日起至指南发布之日，不超过3年（应在2023年5月20日之后注册成立）。</w:t>
      </w:r>
    </w:p>
    <w:p w14:paraId="0C5B984C">
      <w:pPr>
        <w:ind w:firstLine="560" w:firstLineChars="200"/>
        <w:rPr>
          <w:rFonts w:hint="default"/>
          <w:lang w:val="en-US" w:eastAsia="zh-CN"/>
        </w:rPr>
      </w:pPr>
      <w:r>
        <w:rPr>
          <w:rFonts w:hint="default"/>
          <w:lang w:val="en-US" w:eastAsia="zh-CN"/>
        </w:rPr>
        <w:t>（4）企业无严重违法违规记录和不良信用记录。</w:t>
      </w:r>
    </w:p>
    <w:p w14:paraId="3B8CDA81">
      <w:pPr>
        <w:pStyle w:val="4"/>
        <w:bidi w:val="0"/>
        <w:rPr>
          <w:rFonts w:hint="default"/>
          <w:lang w:val="en-US" w:eastAsia="zh-CN"/>
        </w:rPr>
      </w:pPr>
      <w:r>
        <w:rPr>
          <w:rFonts w:hint="default"/>
          <w:lang w:val="en-US" w:eastAsia="zh-CN"/>
        </w:rPr>
        <w:t>2.人员结构</w:t>
      </w:r>
    </w:p>
    <w:p w14:paraId="716A0A47">
      <w:pPr>
        <w:ind w:firstLine="560" w:firstLineChars="200"/>
        <w:rPr>
          <w:rFonts w:hint="default"/>
          <w:lang w:val="en-US" w:eastAsia="zh-CN"/>
        </w:rPr>
      </w:pPr>
      <w:r>
        <w:rPr>
          <w:rFonts w:hint="default"/>
          <w:lang w:val="en-US" w:eastAsia="zh-CN"/>
        </w:rPr>
        <w:t>（5）企业员工总数原则上不超过10人。</w:t>
      </w:r>
    </w:p>
    <w:p w14:paraId="7E4F8404">
      <w:pPr>
        <w:ind w:firstLine="560" w:firstLineChars="200"/>
        <w:rPr>
          <w:rFonts w:hint="default"/>
          <w:lang w:val="en-US" w:eastAsia="zh-CN"/>
        </w:rPr>
      </w:pPr>
      <w:r>
        <w:rPr>
          <w:rFonts w:hint="default"/>
          <w:lang w:val="en-US" w:eastAsia="zh-CN"/>
        </w:rPr>
        <w:t>（6）单一个人在企业的技术创新、战略决策和主要业务执行中发挥主导作用（经股权穿透后，单一创始人合计持股比例超过50%）。</w:t>
      </w:r>
    </w:p>
    <w:p w14:paraId="6386F597">
      <w:pPr>
        <w:pStyle w:val="4"/>
        <w:bidi w:val="0"/>
        <w:rPr>
          <w:rFonts w:hint="default"/>
          <w:lang w:val="en-US" w:eastAsia="zh-CN"/>
        </w:rPr>
      </w:pPr>
      <w:r>
        <w:rPr>
          <w:rFonts w:hint="default"/>
          <w:lang w:val="en-US" w:eastAsia="zh-CN"/>
        </w:rPr>
        <w:t>3.技术特征</w:t>
      </w:r>
    </w:p>
    <w:p w14:paraId="46402896">
      <w:pPr>
        <w:ind w:firstLine="560" w:firstLineChars="200"/>
        <w:rPr>
          <w:rFonts w:hint="default"/>
          <w:lang w:val="en-US" w:eastAsia="zh-CN"/>
        </w:rPr>
      </w:pPr>
      <w:r>
        <w:rPr>
          <w:rFonts w:hint="default"/>
          <w:lang w:val="en-US" w:eastAsia="zh-CN"/>
        </w:rPr>
        <w:t>（7）以人工智能技术作为核心生产工具与关键驱动力。企业通过人工智能算法、模型或相关技术，完成核心产品或服务、主要业务流程等，实现商业闭环。</w:t>
      </w:r>
    </w:p>
    <w:p w14:paraId="631BAC31">
      <w:pPr>
        <w:ind w:firstLine="560" w:firstLineChars="200"/>
        <w:rPr>
          <w:rFonts w:hint="default"/>
          <w:lang w:val="en-US" w:eastAsia="zh-CN"/>
        </w:rPr>
      </w:pPr>
      <w:r>
        <w:rPr>
          <w:rFonts w:hint="default"/>
          <w:lang w:val="en-US" w:eastAsia="zh-CN"/>
        </w:rPr>
        <w:t>若企业具备研发创新、科技成果转化、取得知识产权授权等情况，或获得国家高新技术企业、创新型中小企业、科技型中小企业等资质，请一并提供佐证材料。</w:t>
      </w:r>
    </w:p>
    <w:p w14:paraId="3630BE1E">
      <w:pPr>
        <w:ind w:firstLine="560" w:firstLineChars="200"/>
        <w:rPr>
          <w:rFonts w:hint="default"/>
          <w:lang w:val="en-US" w:eastAsia="zh-CN"/>
        </w:rPr>
      </w:pPr>
      <w:r>
        <w:rPr>
          <w:rFonts w:hint="default"/>
          <w:lang w:val="en-US" w:eastAsia="zh-CN"/>
        </w:rPr>
        <w:t>（8）具备与业务规模相适应的人工智能设施使用能力（包括自有或租用），能够支撑其全业务链路的独立或主导运行。过去12个月，企业采购Token、算力、工具等软硬件费用月均不低于1000元人民币或等额外币，如企业成立时间不足12个月，则按成立之日起计算。</w:t>
      </w:r>
    </w:p>
    <w:p w14:paraId="457852DC">
      <w:pPr>
        <w:pStyle w:val="4"/>
        <w:bidi w:val="0"/>
        <w:rPr>
          <w:rFonts w:hint="default"/>
          <w:lang w:val="en-US" w:eastAsia="zh-CN"/>
        </w:rPr>
      </w:pPr>
      <w:r>
        <w:rPr>
          <w:rFonts w:hint="default"/>
          <w:lang w:val="en-US" w:eastAsia="zh-CN"/>
        </w:rPr>
        <w:t>4.其他要求</w:t>
      </w:r>
    </w:p>
    <w:p w14:paraId="6FCC65AC">
      <w:pPr>
        <w:ind w:firstLine="560" w:firstLineChars="200"/>
        <w:rPr>
          <w:rFonts w:hint="default"/>
          <w:lang w:val="en-US" w:eastAsia="zh-CN"/>
        </w:rPr>
      </w:pPr>
      <w:r>
        <w:rPr>
          <w:rFonts w:hint="default"/>
          <w:lang w:val="en-US" w:eastAsia="zh-CN"/>
        </w:rPr>
        <w:t>申请安居支持的创业青年人才，还须满足：申请人需为经认定的OPC青年创始人及获得知名投资机构投资企业的核心人才，年龄45周岁及以下，具有全日制本科及以上学历，且家庭成员（含申请人、配偶和未成年子女）在本市无住房。</w:t>
      </w:r>
    </w:p>
    <w:p w14:paraId="1375DBFA">
      <w:pPr>
        <w:ind w:firstLine="560" w:firstLineChars="200"/>
        <w:rPr>
          <w:rFonts w:hint="default"/>
          <w:lang w:val="en-US" w:eastAsia="zh-CN"/>
        </w:rPr>
      </w:pPr>
      <w:r>
        <w:rPr>
          <w:rFonts w:hint="default"/>
          <w:lang w:val="en-US" w:eastAsia="zh-CN"/>
        </w:rPr>
        <w:t>申报本专项的OPC创业友好社区,需同时满足以下全部条件：</w:t>
      </w:r>
    </w:p>
    <w:p w14:paraId="1EBD0D47">
      <w:pPr>
        <w:ind w:firstLine="560" w:firstLineChars="200"/>
        <w:rPr>
          <w:rFonts w:hint="default"/>
          <w:lang w:val="en-US" w:eastAsia="zh-CN"/>
        </w:rPr>
      </w:pPr>
      <w:r>
        <w:rPr>
          <w:rFonts w:hint="default"/>
          <w:lang w:val="en-US" w:eastAsia="zh-CN"/>
        </w:rPr>
        <w:t>1.社区具备管理运营主体，运营主体在海淀区合法经营并稳定运营一年以上。社区拥有专业化运营服务团队，专职OPC服务人员不少于2人。</w:t>
      </w:r>
    </w:p>
    <w:p w14:paraId="17610572">
      <w:pPr>
        <w:ind w:firstLine="560" w:firstLineChars="200"/>
        <w:rPr>
          <w:rFonts w:hint="default"/>
          <w:lang w:val="en-US" w:eastAsia="zh-CN"/>
        </w:rPr>
      </w:pPr>
      <w:r>
        <w:rPr>
          <w:rFonts w:hint="default"/>
          <w:lang w:val="en-US" w:eastAsia="zh-CN"/>
        </w:rPr>
        <w:t>2.社区自主支配场地面积不低于1000平方米，或能够提供不少于50个OPC创业者工位，须配套路演场所、会议室等公共服务场地及设施。</w:t>
      </w:r>
    </w:p>
    <w:p w14:paraId="19FAF6EB">
      <w:pPr>
        <w:ind w:firstLine="560" w:firstLineChars="200"/>
        <w:rPr>
          <w:rFonts w:hint="default"/>
          <w:lang w:val="en-US" w:eastAsia="zh-CN"/>
        </w:rPr>
      </w:pPr>
      <w:r>
        <w:rPr>
          <w:rFonts w:hint="default"/>
          <w:lang w:val="en-US" w:eastAsia="zh-CN"/>
        </w:rPr>
        <w:t>3.社区内已培育不少于10家OPC（需满足海淀区OPC认定标准），且具备持续吸引和服务OPC的能力。</w:t>
      </w:r>
    </w:p>
    <w:p w14:paraId="005C5B1B">
      <w:pPr>
        <w:ind w:firstLine="560" w:firstLineChars="200"/>
        <w:rPr>
          <w:rFonts w:hint="default"/>
          <w:lang w:val="en-US" w:eastAsia="zh-CN"/>
        </w:rPr>
      </w:pPr>
      <w:r>
        <w:rPr>
          <w:rFonts w:hint="default"/>
          <w:lang w:val="en-US" w:eastAsia="zh-CN"/>
        </w:rPr>
        <w:t>4.社区能够面向各类科技社区社群活动提供场地支持，每年开展技术沙龙、专题研讨、技能培训、项目路演等OPC生态活动不少于30场次。</w:t>
      </w:r>
    </w:p>
    <w:p w14:paraId="7E580B57">
      <w:pPr>
        <w:ind w:firstLine="560" w:firstLineChars="200"/>
        <w:rPr>
          <w:rFonts w:hint="default"/>
          <w:lang w:val="en-US" w:eastAsia="zh-CN"/>
        </w:rPr>
      </w:pPr>
      <w:r>
        <w:rPr>
          <w:rFonts w:hint="default"/>
          <w:lang w:val="en-US" w:eastAsia="zh-CN"/>
        </w:rPr>
        <w:t>5.社区须构建覆盖OPC全成长周期的专业化服务能力，包括但不限于，人工智能核心要素和生产工具、商业与法律服务、资本对接、政策辅导服务等。</w:t>
      </w:r>
    </w:p>
    <w:p w14:paraId="44CF1BAC">
      <w:pPr>
        <w:ind w:firstLine="560" w:firstLineChars="200"/>
        <w:rPr>
          <w:rFonts w:hint="default"/>
          <w:lang w:val="en-US" w:eastAsia="zh-CN"/>
        </w:rPr>
      </w:pPr>
      <w:r>
        <w:rPr>
          <w:rFonts w:hint="default"/>
          <w:lang w:val="en-US" w:eastAsia="zh-CN"/>
        </w:rPr>
        <w:t>6.社区运营主体无严重违法违规记录和不良信用记录。</w:t>
      </w:r>
    </w:p>
    <w:p w14:paraId="1959C2B8">
      <w:pPr>
        <w:pStyle w:val="2"/>
        <w:bidi w:val="0"/>
        <w:rPr>
          <w:rFonts w:hint="default"/>
          <w:lang w:val="en-US" w:eastAsia="zh-CN"/>
        </w:rPr>
      </w:pPr>
      <w:r>
        <w:rPr>
          <w:rFonts w:hint="default"/>
          <w:lang w:val="en-US" w:eastAsia="zh-CN"/>
        </w:rPr>
        <w:t>2.问：专项重点围绕哪几个方向给予支持？</w:t>
      </w:r>
    </w:p>
    <w:p w14:paraId="29D044DD">
      <w:pPr>
        <w:ind w:firstLine="560" w:firstLineChars="200"/>
        <w:rPr>
          <w:rFonts w:hint="default"/>
          <w:lang w:val="en-US" w:eastAsia="zh-CN"/>
        </w:rPr>
      </w:pPr>
      <w:r>
        <w:rPr>
          <w:rFonts w:hint="default"/>
          <w:lang w:val="en-US" w:eastAsia="zh-CN"/>
        </w:rPr>
        <w:t>答：本专项重点支持四个方向：一是支持OPC创业企业，强化人才集聚效应与创新生态建设。体现为措施一“支持科技人才创办OPC”，对经认定符合条件的OPC新创企业给予10万元创业资金支持；措施二“支持优质创赛项目转化”，对在赛事中获奖并落地海淀的OPC企业，给予最高50万元支持。二是为OPC企业提供全方位、全链条的创业支撑。体现为措施三“提供模型券补贴支持”，对优质OPC企业提供模型券支持，对经认定符合条件的OPC企业按50%补贴，每家企业每年最高支持200万元；措施四“向OPC人才提供安居保障”，对OPC企业青年创始人定向配租人才保障住房，或给予最长2年的安居补贴；措施五“加强OPC企业金融服务供给”，鼓励OPC企业申请专项贷款支持（措施五方向一）和普惠型综合科技保险统保全额保费支持（措施五方向二）。三是鼓励OPC企业实现商业突破与研发创新。体现为措施六“支持OPC企业加强研发创新”，结合企业研发创新情况给予资金奖励。措施七“激励OPC实现商业化突破”，对实现首订单或成立两年内累计订单额达到100万元的，以及完成首轮融资且融资额度超过100万元的，给予一次性奖励资金支持；四是完善OPC创新创业生态。体现为措施八“建设OPC友好社区”，对经认定的OPC创业友好社区，按照其培育OPC企业数量，每年给予最高200万元资金支持。</w:t>
      </w:r>
    </w:p>
    <w:p w14:paraId="7178CC80">
      <w:pPr>
        <w:pStyle w:val="2"/>
        <w:bidi w:val="0"/>
        <w:rPr>
          <w:rFonts w:hint="default"/>
          <w:lang w:val="en-US" w:eastAsia="zh-CN"/>
        </w:rPr>
      </w:pPr>
      <w:r>
        <w:rPr>
          <w:rFonts w:hint="default"/>
          <w:lang w:val="en-US" w:eastAsia="zh-CN"/>
        </w:rPr>
        <w:t>3.问：申报专项都要提供什么材料？</w:t>
      </w:r>
    </w:p>
    <w:p w14:paraId="5692D780">
      <w:pPr>
        <w:ind w:firstLine="560" w:firstLineChars="200"/>
        <w:rPr>
          <w:rFonts w:hint="default"/>
          <w:lang w:val="en-US" w:eastAsia="zh-CN"/>
        </w:rPr>
      </w:pPr>
      <w:r>
        <w:rPr>
          <w:rFonts w:hint="default"/>
          <w:lang w:val="en-US" w:eastAsia="zh-CN"/>
        </w:rPr>
        <w:t>答：所有的申请主体都需要登录北京市人民政府门户网站“政策兑现”频道（https://zhengce.beijing.gov.cn/），选择对应项目进行线上申报。</w:t>
      </w:r>
    </w:p>
    <w:p w14:paraId="389F0232">
      <w:pPr>
        <w:ind w:firstLine="560" w:firstLineChars="200"/>
        <w:rPr>
          <w:rFonts w:hint="default"/>
          <w:lang w:val="en-US" w:eastAsia="zh-CN"/>
        </w:rPr>
      </w:pPr>
      <w:r>
        <w:rPr>
          <w:rFonts w:hint="default"/>
          <w:lang w:val="en-US" w:eastAsia="zh-CN"/>
        </w:rPr>
        <w:t>申报措施一需提交：（1）企业基本情况及需求表（含对应证明材料）；（2）申报承诺书。</w:t>
      </w:r>
    </w:p>
    <w:p w14:paraId="00D9DFB9">
      <w:pPr>
        <w:ind w:firstLine="560" w:firstLineChars="200"/>
        <w:rPr>
          <w:rFonts w:hint="default"/>
          <w:lang w:val="en-US" w:eastAsia="zh-CN"/>
        </w:rPr>
      </w:pPr>
      <w:r>
        <w:rPr>
          <w:rFonts w:hint="default"/>
          <w:lang w:val="en-US" w:eastAsia="zh-CN"/>
        </w:rPr>
        <w:t>申报措施二需提交：对已公开获奖名单的赛事，符合支持条件的OPC无需提交申报材料，由中关村科学城管委会依据公示名单实行免申即享政策支持。对未公开获奖名单的赛事，符合支持条件的OPC需提交获奖证书、获奖奖杯奖牌。证书等材料原件为实体文件的应提交清晰扫描件，如为电子证书的请提交原件。</w:t>
      </w:r>
    </w:p>
    <w:p w14:paraId="4A0666B0">
      <w:pPr>
        <w:ind w:firstLine="560" w:firstLineChars="200"/>
        <w:rPr>
          <w:rFonts w:hint="default"/>
          <w:lang w:val="en-US" w:eastAsia="zh-CN"/>
        </w:rPr>
      </w:pPr>
      <w:r>
        <w:rPr>
          <w:rFonts w:hint="default"/>
          <w:lang w:val="en-US" w:eastAsia="zh-CN"/>
        </w:rPr>
        <w:t>申报措施三无需提交申报材料，待中关村科学城模型券专项申报结果公示发布后，企业可通过官方发布链接进行申请，经审核后符合条件的企业可获得模型券支持。</w:t>
      </w:r>
    </w:p>
    <w:p w14:paraId="56B9CADB">
      <w:pPr>
        <w:ind w:firstLine="560" w:firstLineChars="200"/>
        <w:rPr>
          <w:rFonts w:hint="default"/>
          <w:lang w:val="en-US" w:eastAsia="zh-CN"/>
        </w:rPr>
      </w:pPr>
      <w:r>
        <w:rPr>
          <w:rFonts w:hint="default"/>
          <w:lang w:val="en-US" w:eastAsia="zh-CN"/>
        </w:rPr>
        <w:t>申报措施四需提交：（1）申请人需提交身份、学历等证明材料及《海淀区创业青年人才安居支持申请表》，其中，获知名投资机构投资企业还需提交股权融资证明材料（投资协议及银行到账凭证扫描件等）及核心人员证明材料。如在海淀北部租赁市场房屋，申请安居奖励的，另需提交房屋租赁合同和租金缴纳证明复印件。</w:t>
      </w:r>
    </w:p>
    <w:p w14:paraId="1CD8EA86">
      <w:pPr>
        <w:ind w:firstLine="560" w:firstLineChars="200"/>
        <w:rPr>
          <w:rFonts w:hint="default"/>
          <w:lang w:val="en-US" w:eastAsia="zh-CN"/>
        </w:rPr>
      </w:pPr>
      <w:r>
        <w:rPr>
          <w:rFonts w:hint="default"/>
          <w:lang w:val="en-US" w:eastAsia="zh-CN"/>
        </w:rPr>
        <w:t>申报措施五方向一无需提交申报材料，企业可直接注册登录海淀区财金协同平台（https://cj.hdzfydjj.com/），点击“海淀区财金协同专项行动-专项行动补贴”模块在线提交申请，经审核后符合条件的企业可获得贷款贴息支持。</w:t>
      </w:r>
    </w:p>
    <w:p w14:paraId="6E5E9E09">
      <w:pPr>
        <w:ind w:firstLine="560" w:firstLineChars="200"/>
        <w:rPr>
          <w:rFonts w:hint="default"/>
          <w:lang w:val="en-US" w:eastAsia="zh-CN"/>
        </w:rPr>
      </w:pPr>
      <w:r>
        <w:rPr>
          <w:rFonts w:hint="default"/>
          <w:lang w:val="en-US" w:eastAsia="zh-CN"/>
        </w:rPr>
        <w:t>申报措施五方向二无需提交申报材料，中关村科学城管委会根据企业在基本情况及需求表中填报的申报险种，为符合条件的企业办理投保手续。</w:t>
      </w:r>
    </w:p>
    <w:p w14:paraId="5EAA7BDD">
      <w:pPr>
        <w:ind w:firstLine="560" w:firstLineChars="200"/>
        <w:rPr>
          <w:rFonts w:hint="default"/>
          <w:lang w:val="en-US" w:eastAsia="zh-CN"/>
        </w:rPr>
      </w:pPr>
      <w:r>
        <w:rPr>
          <w:rFonts w:hint="default"/>
          <w:lang w:val="en-US" w:eastAsia="zh-CN"/>
        </w:rPr>
        <w:t>申报措施六无需提交申报材料，参照企业研发创新情况给予免申即享支持。</w:t>
      </w:r>
    </w:p>
    <w:p w14:paraId="327A9222">
      <w:pPr>
        <w:ind w:firstLine="560" w:firstLineChars="200"/>
        <w:rPr>
          <w:rFonts w:hint="default"/>
          <w:lang w:val="en-US" w:eastAsia="zh-CN"/>
        </w:rPr>
      </w:pPr>
      <w:r>
        <w:rPr>
          <w:rFonts w:hint="default"/>
          <w:lang w:val="en-US" w:eastAsia="zh-CN"/>
        </w:rPr>
        <w:t>申报措施七需提交：（1）订单证明材料，包括合同、交易记录、发票、银行到款凭证扫描件等（申报措施七支持条件1、2需提交）；（2）投资协议及银行到账凭证扫描件等（申报措施七支持条件3需提交）。</w:t>
      </w:r>
    </w:p>
    <w:p w14:paraId="423AFBE6">
      <w:pPr>
        <w:ind w:firstLine="560" w:firstLineChars="200"/>
        <w:rPr>
          <w:rFonts w:hint="default"/>
          <w:lang w:val="en-US" w:eastAsia="zh-CN"/>
        </w:rPr>
      </w:pPr>
      <w:r>
        <w:rPr>
          <w:rFonts w:hint="default"/>
          <w:lang w:val="en-US" w:eastAsia="zh-CN"/>
        </w:rPr>
        <w:t>申报措施八需提交：（1）申报单位需提供友好社区基本情况表、OPC服务合同（含入驻、孵化协议）、开展相关活动的证明材料（同一OPC原则上只能入驻一家OPC社区。若存在两家或以上OPC社区认定同一企业为社区内入驻OPC，需由该企业提交说明确定其归属社区）。（2）申报措施八支持条件2的还需提交社区运营主体为OPC提供人工智能核心要素和生产工具的证明材料及平台建设资金投入的证明材料。</w:t>
      </w:r>
    </w:p>
    <w:p w14:paraId="1A8EAA81">
      <w:pPr>
        <w:pStyle w:val="2"/>
        <w:bidi w:val="0"/>
        <w:rPr>
          <w:rFonts w:hint="default"/>
          <w:lang w:val="en-US" w:eastAsia="zh-CN"/>
        </w:rPr>
      </w:pPr>
      <w:r>
        <w:rPr>
          <w:rFonts w:hint="default"/>
          <w:lang w:val="en-US" w:eastAsia="zh-CN"/>
        </w:rPr>
        <w:t>4.问：申报专项还有哪些注意事项？</w:t>
      </w:r>
    </w:p>
    <w:p w14:paraId="1B2B48C5">
      <w:pPr>
        <w:ind w:firstLine="560" w:firstLineChars="200"/>
        <w:rPr>
          <w:rFonts w:hint="default"/>
          <w:lang w:val="en-US" w:eastAsia="zh-CN"/>
        </w:rPr>
      </w:pPr>
      <w:r>
        <w:rPr>
          <w:rFonts w:hint="default"/>
          <w:lang w:val="en-US" w:eastAsia="zh-CN"/>
        </w:rPr>
        <w:t>答：为提升政策实施成效，本专项将先行启动措施一的申报审核工作，审核完成后，将以短信形式告知通过审核的申报主体，随后启动其他措施条目的申报受理工作。申报措施三、措施五方向一的主体，可依据相关政策要求自主申报，其申报受理及审核工作不受措施一审核结果影响。</w:t>
      </w:r>
    </w:p>
    <w:p w14:paraId="33C0C624">
      <w:pPr>
        <w:rPr>
          <w:rFonts w:hint="default"/>
          <w:lang w:val="en-US" w:eastAsia="zh-CN"/>
        </w:rPr>
      </w:pPr>
      <w:r>
        <w:rPr>
          <w:rFonts w:hint="default"/>
          <w:lang w:val="en-US" w:eastAsia="zh-CN"/>
        </w:rPr>
        <w:t>https://zyk.bjhd.gov.cn/zwdt/zcjd/202605/t20260520_4815593.shtml</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10"/>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1"/>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0225A02"/>
    <w:rsid w:val="109003E2"/>
    <w:rsid w:val="11284EE7"/>
    <w:rsid w:val="122C71D3"/>
    <w:rsid w:val="126555E2"/>
    <w:rsid w:val="12B6109D"/>
    <w:rsid w:val="135C6A68"/>
    <w:rsid w:val="14AC3169"/>
    <w:rsid w:val="14BA55A9"/>
    <w:rsid w:val="16E465E6"/>
    <w:rsid w:val="17B571BE"/>
    <w:rsid w:val="187A04AD"/>
    <w:rsid w:val="188602CE"/>
    <w:rsid w:val="191F6B75"/>
    <w:rsid w:val="19DB3E43"/>
    <w:rsid w:val="19E646A3"/>
    <w:rsid w:val="1A3F168A"/>
    <w:rsid w:val="1ACD4BC9"/>
    <w:rsid w:val="1AD00105"/>
    <w:rsid w:val="1C1F5C60"/>
    <w:rsid w:val="1C26202E"/>
    <w:rsid w:val="1CFA082A"/>
    <w:rsid w:val="1D75769C"/>
    <w:rsid w:val="1E486D5E"/>
    <w:rsid w:val="20E515DF"/>
    <w:rsid w:val="20EE4514"/>
    <w:rsid w:val="21490716"/>
    <w:rsid w:val="22A660F0"/>
    <w:rsid w:val="23350630"/>
    <w:rsid w:val="239C0C8D"/>
    <w:rsid w:val="2458023C"/>
    <w:rsid w:val="24891F4C"/>
    <w:rsid w:val="24DD1B30"/>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451107"/>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0B60DD"/>
    <w:rsid w:val="3D242F7A"/>
    <w:rsid w:val="3E9C40F3"/>
    <w:rsid w:val="40B15178"/>
    <w:rsid w:val="4139196E"/>
    <w:rsid w:val="415848E1"/>
    <w:rsid w:val="417A5F93"/>
    <w:rsid w:val="4296377D"/>
    <w:rsid w:val="42F8070A"/>
    <w:rsid w:val="430E0353"/>
    <w:rsid w:val="433C38D6"/>
    <w:rsid w:val="441C68B9"/>
    <w:rsid w:val="446948F1"/>
    <w:rsid w:val="45B9632A"/>
    <w:rsid w:val="47407E1B"/>
    <w:rsid w:val="477B0D92"/>
    <w:rsid w:val="480F418D"/>
    <w:rsid w:val="485C7A85"/>
    <w:rsid w:val="486F5D2C"/>
    <w:rsid w:val="4B077B9F"/>
    <w:rsid w:val="4CF97814"/>
    <w:rsid w:val="4D797ECA"/>
    <w:rsid w:val="4E7271B8"/>
    <w:rsid w:val="4EB31BF9"/>
    <w:rsid w:val="4F216E80"/>
    <w:rsid w:val="4F6B7653"/>
    <w:rsid w:val="505020B9"/>
    <w:rsid w:val="513841CB"/>
    <w:rsid w:val="514A0E57"/>
    <w:rsid w:val="515B6E68"/>
    <w:rsid w:val="52025F45"/>
    <w:rsid w:val="52511EB8"/>
    <w:rsid w:val="52687459"/>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BDB68DE"/>
    <w:rsid w:val="6C270DD3"/>
    <w:rsid w:val="6C705350"/>
    <w:rsid w:val="6D872A5A"/>
    <w:rsid w:val="6E1F25FD"/>
    <w:rsid w:val="6E413E28"/>
    <w:rsid w:val="6F370898"/>
    <w:rsid w:val="6F4638FD"/>
    <w:rsid w:val="6F735C79"/>
    <w:rsid w:val="70956FE4"/>
    <w:rsid w:val="71020CE1"/>
    <w:rsid w:val="73F7433F"/>
    <w:rsid w:val="756F626F"/>
    <w:rsid w:val="75930F1E"/>
    <w:rsid w:val="76FA56D9"/>
    <w:rsid w:val="775748F9"/>
    <w:rsid w:val="77BF12F7"/>
    <w:rsid w:val="78264085"/>
    <w:rsid w:val="79060B26"/>
    <w:rsid w:val="798E17BF"/>
    <w:rsid w:val="79D16624"/>
    <w:rsid w:val="79E44119"/>
    <w:rsid w:val="7A283BED"/>
    <w:rsid w:val="7A5A1A94"/>
    <w:rsid w:val="7AA0221D"/>
    <w:rsid w:val="7B705706"/>
    <w:rsid w:val="7D324444"/>
    <w:rsid w:val="7D470D1C"/>
    <w:rsid w:val="7DCC36B1"/>
    <w:rsid w:val="7E0E1F5B"/>
    <w:rsid w:val="7E39495F"/>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4"/>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7"/>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8"/>
    <w:unhideWhenUsed/>
    <w:qFormat/>
    <w:uiPriority w:val="9"/>
    <w:pPr>
      <w:keepNext/>
      <w:keepLines/>
      <w:spacing w:line="440" w:lineRule="exact"/>
      <w:outlineLvl w:val="2"/>
    </w:pPr>
    <w:rPr>
      <w:b/>
      <w:bCs/>
      <w:szCs w:val="32"/>
    </w:rPr>
  </w:style>
  <w:style w:type="paragraph" w:styleId="5">
    <w:name w:val="heading 4"/>
    <w:basedOn w:val="1"/>
    <w:next w:val="1"/>
    <w:link w:val="29"/>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paragraph" w:styleId="9">
    <w:name w:val="heading 8"/>
    <w:basedOn w:val="1"/>
    <w:next w:val="1"/>
    <w:unhideWhenUsed/>
    <w:qFormat/>
    <w:uiPriority w:val="9"/>
    <w:pPr>
      <w:keepNext/>
      <w:keepLines/>
      <w:spacing w:beforeLines="0" w:beforeAutospacing="0" w:afterLines="0" w:afterAutospacing="0" w:line="240" w:lineRule="auto"/>
      <w:ind w:firstLine="0" w:firstLineChars="0"/>
      <w:jc w:val="center"/>
      <w:outlineLvl w:val="7"/>
    </w:pPr>
    <w:rPr>
      <w:rFonts w:ascii="Arial" w:hAnsi="Arial" w:eastAsia="仿宋_GB2312" w:cs="Times New Roman"/>
      <w:sz w:val="24"/>
      <w:szCs w:val="22"/>
    </w:rPr>
  </w:style>
  <w:style w:type="character" w:default="1" w:styleId="17">
    <w:name w:val="Default Paragraph Font"/>
    <w:unhideWhenUsed/>
    <w:qFormat/>
    <w:uiPriority w:val="1"/>
  </w:style>
  <w:style w:type="table" w:default="1" w:styleId="15">
    <w:name w:val="Normal Table"/>
    <w:unhideWhenUsed/>
    <w:qFormat/>
    <w:uiPriority w:val="99"/>
    <w:tblPr>
      <w:tblCellMar>
        <w:top w:w="0" w:type="dxa"/>
        <w:left w:w="108" w:type="dxa"/>
        <w:bottom w:w="0" w:type="dxa"/>
        <w:right w:w="108" w:type="dxa"/>
      </w:tblCellMar>
    </w:tblPr>
  </w:style>
  <w:style w:type="paragraph" w:styleId="10">
    <w:name w:val="footer"/>
    <w:basedOn w:val="1"/>
    <w:link w:val="30"/>
    <w:unhideWhenUsed/>
    <w:qFormat/>
    <w:uiPriority w:val="99"/>
    <w:pPr>
      <w:tabs>
        <w:tab w:val="center" w:pos="4153"/>
        <w:tab w:val="right" w:pos="8306"/>
      </w:tabs>
      <w:snapToGrid w:val="0"/>
    </w:pPr>
    <w:rPr>
      <w:sz w:val="18"/>
      <w:szCs w:val="18"/>
    </w:rPr>
  </w:style>
  <w:style w:type="paragraph" w:styleId="11">
    <w:name w:val="header"/>
    <w:basedOn w:val="1"/>
    <w:link w:val="3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link w:val="32"/>
    <w:qFormat/>
    <w:uiPriority w:val="11"/>
    <w:pPr>
      <w:outlineLvl w:val="1"/>
    </w:pPr>
    <w:rPr>
      <w:b/>
      <w:bCs/>
      <w:kern w:val="28"/>
      <w:szCs w:val="32"/>
    </w:rPr>
  </w:style>
  <w:style w:type="paragraph" w:styleId="13">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4">
    <w:name w:val="Title"/>
    <w:basedOn w:val="1"/>
    <w:next w:val="1"/>
    <w:link w:val="26"/>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6">
    <w:name w:val="Table Grid"/>
    <w:basedOn w:val="15"/>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qFormat/>
    <w:uiPriority w:val="22"/>
    <w:rPr>
      <w:rFonts w:eastAsia="仿宋_GB2312"/>
      <w:b/>
      <w:bCs/>
      <w:color w:val="7030A0"/>
      <w:spacing w:val="-8"/>
      <w:w w:val="96"/>
      <w:sz w:val="28"/>
    </w:rPr>
  </w:style>
  <w:style w:type="character" w:styleId="19">
    <w:name w:val="FollowedHyperlink"/>
    <w:basedOn w:val="17"/>
    <w:unhideWhenUsed/>
    <w:qFormat/>
    <w:uiPriority w:val="99"/>
    <w:rPr>
      <w:color w:val="404040"/>
      <w:u w:val="none"/>
    </w:rPr>
  </w:style>
  <w:style w:type="character" w:styleId="20">
    <w:name w:val="Emphasis"/>
    <w:basedOn w:val="17"/>
    <w:qFormat/>
    <w:uiPriority w:val="20"/>
    <w:rPr>
      <w:rFonts w:eastAsia="华文楷体"/>
      <w:iCs/>
      <w:sz w:val="28"/>
    </w:rPr>
  </w:style>
  <w:style w:type="character" w:styleId="21">
    <w:name w:val="line number"/>
    <w:basedOn w:val="17"/>
    <w:unhideWhenUsed/>
    <w:qFormat/>
    <w:uiPriority w:val="99"/>
  </w:style>
  <w:style w:type="character" w:styleId="22">
    <w:name w:val="HTML Variable"/>
    <w:basedOn w:val="17"/>
    <w:unhideWhenUsed/>
    <w:qFormat/>
    <w:uiPriority w:val="99"/>
  </w:style>
  <w:style w:type="character" w:styleId="23">
    <w:name w:val="Hyperlink"/>
    <w:basedOn w:val="17"/>
    <w:unhideWhenUsed/>
    <w:qFormat/>
    <w:uiPriority w:val="99"/>
    <w:rPr>
      <w:color w:val="404040"/>
      <w:u w:val="none"/>
    </w:rPr>
  </w:style>
  <w:style w:type="character" w:customStyle="1" w:styleId="24">
    <w:name w:val="标题 1 字符"/>
    <w:basedOn w:val="17"/>
    <w:link w:val="2"/>
    <w:qFormat/>
    <w:uiPriority w:val="9"/>
    <w:rPr>
      <w:rFonts w:ascii="黑体" w:hAnsi="黑体" w:eastAsia="黑体"/>
      <w:bCs/>
      <w:kern w:val="44"/>
      <w:sz w:val="28"/>
      <w:szCs w:val="44"/>
    </w:rPr>
  </w:style>
  <w:style w:type="character" w:customStyle="1" w:styleId="25">
    <w:name w:val="标题 3 Char1"/>
    <w:link w:val="4"/>
    <w:qFormat/>
    <w:uiPriority w:val="9"/>
    <w:rPr>
      <w:rFonts w:ascii="仿宋_GB2312" w:hAnsi="仿宋_GB2312" w:eastAsia="仿宋_GB2312"/>
      <w:b/>
    </w:rPr>
  </w:style>
  <w:style w:type="character" w:customStyle="1" w:styleId="26">
    <w:name w:val="标题 字符"/>
    <w:basedOn w:val="17"/>
    <w:link w:val="14"/>
    <w:qFormat/>
    <w:uiPriority w:val="10"/>
    <w:rPr>
      <w:rFonts w:ascii="华文中宋" w:hAnsi="华文中宋" w:eastAsia="华文中宋" w:cs="Times New Roman"/>
      <w:b/>
      <w:bCs/>
      <w:sz w:val="32"/>
      <w:szCs w:val="32"/>
    </w:rPr>
  </w:style>
  <w:style w:type="character" w:customStyle="1" w:styleId="27">
    <w:name w:val="标题 2 字符"/>
    <w:basedOn w:val="17"/>
    <w:link w:val="3"/>
    <w:qFormat/>
    <w:uiPriority w:val="9"/>
    <w:rPr>
      <w:rFonts w:ascii="楷体_GB2312" w:hAnsi="楷体_GB2312" w:eastAsia="楷体_GB2312" w:cs="Times New Roman"/>
      <w:b/>
      <w:bCs/>
      <w:sz w:val="28"/>
      <w:szCs w:val="32"/>
    </w:rPr>
  </w:style>
  <w:style w:type="character" w:customStyle="1" w:styleId="28">
    <w:name w:val="标题 3 字符"/>
    <w:basedOn w:val="17"/>
    <w:link w:val="4"/>
    <w:semiHidden/>
    <w:qFormat/>
    <w:uiPriority w:val="9"/>
    <w:rPr>
      <w:rFonts w:ascii="仿宋_GB2312" w:hAnsi="仿宋_GB2312" w:eastAsia="仿宋_GB2312"/>
      <w:b/>
      <w:bCs/>
      <w:kern w:val="2"/>
      <w:sz w:val="28"/>
      <w:szCs w:val="32"/>
    </w:rPr>
  </w:style>
  <w:style w:type="character" w:customStyle="1" w:styleId="29">
    <w:name w:val="标题 4 Char1"/>
    <w:link w:val="5"/>
    <w:qFormat/>
    <w:uiPriority w:val="9"/>
    <w:rPr>
      <w:rFonts w:ascii="仿宋_GB2312" w:hAnsi="仿宋_GB2312" w:eastAsia="仿宋_GB2312"/>
    </w:rPr>
  </w:style>
  <w:style w:type="character" w:customStyle="1" w:styleId="30">
    <w:name w:val="页脚 字符"/>
    <w:basedOn w:val="17"/>
    <w:link w:val="10"/>
    <w:qFormat/>
    <w:uiPriority w:val="99"/>
    <w:rPr>
      <w:sz w:val="18"/>
      <w:szCs w:val="18"/>
    </w:rPr>
  </w:style>
  <w:style w:type="character" w:customStyle="1" w:styleId="31">
    <w:name w:val="页眉 字符"/>
    <w:basedOn w:val="17"/>
    <w:link w:val="11"/>
    <w:qFormat/>
    <w:uiPriority w:val="99"/>
    <w:rPr>
      <w:sz w:val="18"/>
      <w:szCs w:val="18"/>
    </w:rPr>
  </w:style>
  <w:style w:type="character" w:customStyle="1" w:styleId="32">
    <w:name w:val="副标题 字符"/>
    <w:basedOn w:val="17"/>
    <w:link w:val="12"/>
    <w:qFormat/>
    <w:uiPriority w:val="11"/>
    <w:rPr>
      <w:rFonts w:ascii="仿宋_GB2312" w:eastAsia="仿宋_GB2312"/>
      <w:b/>
      <w:bCs/>
      <w:kern w:val="28"/>
      <w:sz w:val="28"/>
      <w:szCs w:val="32"/>
    </w:rPr>
  </w:style>
  <w:style w:type="paragraph" w:styleId="33">
    <w:name w:val="Quote"/>
    <w:basedOn w:val="1"/>
    <w:next w:val="1"/>
    <w:link w:val="34"/>
    <w:qFormat/>
    <w:uiPriority w:val="29"/>
    <w:pPr>
      <w:ind w:firstLine="486"/>
    </w:pPr>
    <w:rPr>
      <w:rFonts w:eastAsia="华文楷体"/>
      <w:iCs/>
      <w:spacing w:val="-16"/>
      <w:w w:val="98"/>
    </w:rPr>
  </w:style>
  <w:style w:type="character" w:customStyle="1" w:styleId="34">
    <w:name w:val="引用 字符"/>
    <w:basedOn w:val="17"/>
    <w:link w:val="33"/>
    <w:qFormat/>
    <w:uiPriority w:val="29"/>
    <w:rPr>
      <w:rFonts w:ascii="仿宋_GB2312" w:eastAsia="华文楷体"/>
      <w:iCs/>
      <w:spacing w:val="-16"/>
      <w:w w:val="98"/>
      <w:sz w:val="28"/>
    </w:rPr>
  </w:style>
  <w:style w:type="paragraph" w:styleId="35">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6">
    <w:name w:val="不明显强调1"/>
    <w:basedOn w:val="17"/>
    <w:qFormat/>
    <w:uiPriority w:val="19"/>
    <w:rPr>
      <w:i/>
      <w:iCs/>
      <w:color w:val="3F3F3F"/>
    </w:rPr>
  </w:style>
  <w:style w:type="table" w:customStyle="1" w:styleId="37">
    <w:name w:val="Table Normal"/>
    <w:unhideWhenUsed/>
    <w:qFormat/>
    <w:uiPriority w:val="0"/>
    <w:tblPr>
      <w:tblCellMar>
        <w:top w:w="0" w:type="dxa"/>
        <w:left w:w="0" w:type="dxa"/>
        <w:bottom w:w="0" w:type="dxa"/>
        <w:right w:w="0" w:type="dxa"/>
      </w:tblCellMar>
    </w:tblPr>
  </w:style>
  <w:style w:type="paragraph" w:customStyle="1" w:styleId="38">
    <w:name w:val="title_m"/>
    <w:basedOn w:val="1"/>
    <w:qFormat/>
    <w:uiPriority w:val="0"/>
    <w:pPr>
      <w:jc w:val="center"/>
    </w:pPr>
    <w:rPr>
      <w:rFonts w:ascii="宋体" w:hAnsi="宋体" w:eastAsia="宋体" w:cs="宋体"/>
      <w:b/>
      <w:bCs/>
      <w:sz w:val="32"/>
      <w:szCs w:val="32"/>
    </w:rPr>
  </w:style>
  <w:style w:type="paragraph" w:customStyle="1" w:styleId="39">
    <w:name w:val="fulltext_text"/>
    <w:basedOn w:val="1"/>
    <w:qFormat/>
    <w:uiPriority w:val="0"/>
    <w:pPr>
      <w:spacing w:line="525" w:lineRule="atLeast"/>
    </w:pPr>
    <w:rPr>
      <w:rFonts w:ascii="宋体" w:hAnsi="宋体" w:eastAsia="宋体" w:cs="宋体"/>
      <w:sz w:val="24"/>
      <w:szCs w:val="24"/>
    </w:rPr>
  </w:style>
  <w:style w:type="character" w:customStyle="1" w:styleId="40">
    <w:name w:val="c_tiao"/>
    <w:basedOn w:val="17"/>
    <w:qFormat/>
    <w:uiPriority w:val="0"/>
    <w:rPr>
      <w:rFonts w:ascii="宋体" w:hAnsi="宋体" w:eastAsia="宋体" w:cs="宋体"/>
      <w:b/>
      <w:bCs/>
      <w:sz w:val="24"/>
      <w:szCs w:val="24"/>
    </w:rPr>
  </w:style>
  <w:style w:type="paragraph" w:customStyle="1" w:styleId="41">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2">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3">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4">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5">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6">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7">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9">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0</Words>
  <Characters>0</Characters>
  <Lines>1</Lines>
  <Paragraphs>1</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2026-05-20T08:56:02Z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3E0D072295414789B97AE3CB79797C6B_13</vt:lpwstr>
  </property>
  <property fmtid="{D5CDD505-2E9C-101B-9397-08002B2CF9AE}" pid="4" name="KSOTemplateDocerSaveRecord">
    <vt:lpwstr>eyJoZGlkIjoiMjIxMjI5YjhlNTAxYzUyOTYyYWZlMGFjYmE4ZTczY2EiLCJ1c2VySWQiOiIxNDU2NzYxMDUwIn0=</vt:lpwstr>
  </property>
</Properties>
</file>