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C58D6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一图读懂：《北京市支持超高清视听产业发展项目管理办法（2024-2027年）》</w:t>
      </w:r>
    </w:p>
    <w:bookmarkEnd w:id="0"/>
    <w:p w14:paraId="0DA54BD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来源：北京市广播电视局</w: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default"/>
          <w:lang w:val="en-US" w:eastAsia="zh-CN"/>
        </w:rPr>
        <w:t xml:space="preserve"> 发布时间：2026-05-19</w:t>
      </w:r>
    </w:p>
    <w:p w14:paraId="2F308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24300" cy="80873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5250" cy="8324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33850" cy="8858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8620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6225" cy="8696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4800" cy="8610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2400" cy="8562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90975" cy="8743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6225" cy="88106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0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https://gdj.beijing.gov.cn/zwxx/2024zcjd/202605/t20260519_4657657.html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3841CB"/>
    <w:rsid w:val="514A0E57"/>
    <w:rsid w:val="515B6E68"/>
    <w:rsid w:val="52025F45"/>
    <w:rsid w:val="52511EB8"/>
    <w:rsid w:val="52687459"/>
    <w:rsid w:val="528945A2"/>
    <w:rsid w:val="54581D88"/>
    <w:rsid w:val="56A05C5E"/>
    <w:rsid w:val="56E823FC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E39495F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microsoft.com/office/2006/relationships/keyMapCustomizations" Target="customizations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2026-05-20T08:48:17Z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DB6DF4F7BBD64D0E97CAF0569198A440_13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