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 w:bidi="ar-SA"/>
        </w:rPr>
        <w:t>北京市延庆区科学技术和经济信息化局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关于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 w:bidi="ar-SA"/>
        </w:rPr>
        <w:t>开展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科学研究和技术服务业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发展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 w:bidi="ar-SA"/>
        </w:rPr>
        <w:t>支持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项目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 w:bidi="ar-SA"/>
        </w:rPr>
        <w:t>征集工作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的通知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企业：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为落实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延庆区关于加强科技创新引领高质量发展支持办法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》（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京延科信发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〔202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号），构建绿色“高精尖”产业结构，加速培育特色产业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创新发展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，现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开展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科学研究和技术服务业发展支持项目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征集工作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。有关事项通知如下：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val="en-US" w:eastAsia="zh-CN"/>
        </w:rPr>
        <w:t>申报条件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项目申报主体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须</w:t>
      </w:r>
      <w:r>
        <w:rPr>
          <w:rFonts w:ascii="仿宋_GB2312" w:eastAsia="仿宋_GB2312" w:cs="仿宋_GB2312"/>
          <w:sz w:val="32"/>
          <w:szCs w:val="32"/>
          <w:lang w:bidi="ar-SA"/>
        </w:rPr>
        <w:t>在延经营，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符合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延庆区关于加强科技创新引领高质量发展支持办法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》（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京延科信发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〔202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号）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第五条。本通知所指“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上年度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”为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年度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FFFFFF"/>
        </w:rPr>
        <w:t>二、支持内容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助力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科学研究和技术服务业企业进一步发展，通过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鼓励企业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优化创新专利布局、推动科技成果转化、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加大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研发投入等途径，提升企业核心技术竞争力，促进构建完善的科技服务生态体系。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</w:rPr>
        <w:t>三、</w:t>
      </w:r>
      <w:r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</w:rPr>
        <w:t>方式与标准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对上年度营业收入</w:t>
      </w:r>
      <w:r>
        <w:rPr>
          <w:rFonts w:ascii="仿宋_GB2312" w:eastAsia="仿宋_GB2312" w:cs="仿宋_GB2312"/>
          <w:sz w:val="32"/>
          <w:szCs w:val="32"/>
        </w:rPr>
        <w:t>增速不低于全区平均值且为正增长，</w:t>
      </w:r>
      <w:r>
        <w:rPr>
          <w:rFonts w:ascii="仿宋_GB2312" w:eastAsia="仿宋_GB2312"/>
          <w:sz w:val="32"/>
          <w:szCs w:val="32"/>
        </w:rPr>
        <w:t>所属行业为</w:t>
      </w:r>
      <w:r>
        <w:rPr>
          <w:rFonts w:hint="eastAsia" w:ascii="仿宋_GB2312" w:eastAsia="仿宋_GB2312"/>
          <w:sz w:val="32"/>
          <w:szCs w:val="32"/>
        </w:rPr>
        <w:t>科学研究和技术服务业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规模以上</w:t>
      </w:r>
      <w:r>
        <w:rPr>
          <w:rFonts w:hint="eastAsia" w:ascii="仿宋_GB2312" w:eastAsia="仿宋_GB2312"/>
          <w:sz w:val="32"/>
          <w:szCs w:val="32"/>
        </w:rPr>
        <w:t>企业，</w:t>
      </w:r>
      <w:r>
        <w:rPr>
          <w:rFonts w:ascii="仿宋_GB2312" w:eastAsia="仿宋_GB2312"/>
          <w:sz w:val="32"/>
          <w:szCs w:val="32"/>
        </w:rPr>
        <w:t>分档给予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上年度营业收入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ascii="仿宋_GB2312" w:eastAsia="仿宋_GB2312"/>
          <w:sz w:val="32"/>
          <w:szCs w:val="32"/>
        </w:rPr>
        <w:t>（含）以上的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万元；上年度营业收入</w:t>
      </w:r>
      <w:r>
        <w:rPr>
          <w:rFonts w:ascii="仿宋_GB2312" w:eastAsia="仿宋_GB2312"/>
          <w:sz w:val="32"/>
          <w:szCs w:val="32"/>
        </w:rPr>
        <w:t>1亿元（含）至3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ascii="仿宋_GB2312" w:eastAsia="仿宋_GB2312"/>
          <w:sz w:val="32"/>
          <w:szCs w:val="32"/>
        </w:rPr>
        <w:t>（不含）的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上年度营业收入</w:t>
      </w:r>
      <w:r>
        <w:rPr>
          <w:rFonts w:ascii="仿宋_GB2312" w:eastAsia="仿宋_GB2312"/>
          <w:sz w:val="32"/>
          <w:szCs w:val="32"/>
        </w:rPr>
        <w:t>1亿元（不含）以下的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四、申报时间及流程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材料报送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企业需在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前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登录北京市人民政府门户网站“政策兑现”栏目（https://zhengce.beijing.gov.cn）选择相对应的项目进行申报</w:t>
      </w:r>
      <w:r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逾期未申报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，视为自动放弃本项目享受资格。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 w:bidi="ar-SA"/>
        </w:rPr>
        <w:t>项目公示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。通过政府官网发布项目公示。若对公示内容有异议，请于通知发布后</w:t>
      </w:r>
      <w:r>
        <w:rPr>
          <w:rFonts w:ascii="仿宋_GB2312" w:eastAsia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个工作日内提供书面情况说明及佐证材料，发送至区科信局科技创新科邮箱（kwglke@126.com）。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 w:cs="Times New Roman"/>
          <w:b/>
          <w:bCs/>
          <w:kern w:val="0"/>
          <w:sz w:val="32"/>
          <w:szCs w:val="32"/>
          <w:lang w:val="en-US" w:eastAsia="zh-CN" w:bidi="ar-SA"/>
        </w:rPr>
        <w:t>资金拨付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。支持资金由区科信局按照流程办理拨付。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highlight w:val="none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五、监督管理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获得支持的单位需自觉接受区科信局、区财政局等部门的监督检查，确保项目资金不挪用、占用，且对项目资金使用单独建账，专款专用。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eastAsia="黑体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  <w:t>咨询</w:t>
      </w:r>
      <w:r>
        <w:rPr>
          <w:rFonts w:hint="eastAsia" w:ascii="黑体" w:eastAsia="黑体" w:cs="仿宋_GB2312"/>
          <w:sz w:val="32"/>
          <w:szCs w:val="32"/>
          <w:shd w:val="clear" w:color="auto" w:fill="FFFFFF"/>
          <w:lang w:eastAsia="zh-CN" w:bidi="ar-SA"/>
        </w:rPr>
        <w:t>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-SA"/>
        </w:rPr>
        <w:t>受理部门：延庆区科信局科技创新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咨询电话：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010-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69143197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咨询服务时间：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-SA"/>
        </w:rPr>
        <w:t>工作日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9:00-11:30，14:</w:t>
      </w:r>
      <w:r>
        <w:rPr>
          <w:rFonts w:ascii="仿宋_GB2312" w:eastAsia="仿宋_GB2312" w:cs="仿宋_GB2312"/>
          <w:sz w:val="32"/>
          <w:szCs w:val="32"/>
          <w:shd w:val="clear" w:color="auto" w:fill="FFFFFF"/>
          <w:lang w:bidi="ar-SA"/>
        </w:rPr>
        <w:t>3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0-17:</w:t>
      </w:r>
      <w:r>
        <w:rPr>
          <w:rFonts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0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附件：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项目申报资料清单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-SA"/>
        </w:rPr>
        <w:t>北京市延庆区科学技术和经济信息化局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2026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月</w:t>
      </w:r>
      <w:r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 w:bidi="ar-SA"/>
        </w:rPr>
        <w:t>15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日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       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sectPr>
          <w:footerReference r:id="rId3" w:type="default"/>
          <w:pgSz w:w="11905" w:h="16838"/>
          <w:pgMar w:top="1440" w:right="1689" w:bottom="1440" w:left="1689" w:header="851" w:footer="992" w:gutter="0"/>
          <w:cols w:space="720" w:num="1"/>
          <w:rtlGutter w:val="1"/>
          <w:docGrid w:type="lines" w:linePitch="325" w:charSpace="0"/>
        </w:sectPr>
      </w:pPr>
    </w:p>
    <w:p>
      <w:pPr>
        <w:widowControl/>
        <w:jc w:val="left"/>
        <w:rPr>
          <w:rFonts w:hint="eastAsia" w:ascii="黑体" w:eastAsia="黑体" w:cs="黑体"/>
          <w:sz w:val="32"/>
          <w:szCs w:val="32"/>
          <w:highlight w:val="none"/>
          <w:lang w:eastAsia="zh-CN" w:bidi="ar-SA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 w:bidi="ar-SA"/>
        </w:rPr>
        <w:t>附件</w:t>
      </w:r>
    </w:p>
    <w:p>
      <w:pPr>
        <w:jc w:val="center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方正小标宋简体" w:eastAsia="方正小标宋简体" w:cs="Calibri"/>
          <w:sz w:val="44"/>
          <w:szCs w:val="44"/>
          <w:lang w:eastAsia="zh-CN" w:bidi="ar-SA"/>
        </w:rPr>
        <w:t>项目申报资料清单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科学研究和技术服务业发展支持项目申报表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（见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1）。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2.</w:t>
      </w:r>
      <w:r>
        <w:rPr>
          <w:rFonts w:hint="eastAsia" w:ascii="仿宋_GB2312" w:eastAsia="仿宋_GB2312" w:cs="仿宋_GB2312"/>
          <w:bCs/>
          <w:sz w:val="32"/>
          <w:szCs w:val="32"/>
          <w:lang w:bidi="ar-SA"/>
        </w:rPr>
        <w:t>科学研究和技术服务业发展支持项目实施情况报告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（见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2）。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.项目申报主体承诺书（见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）。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 w:bidi="ar-SA"/>
        </w:rPr>
        <w:t>科学研究和技术服务业发展支持项目企业收款账号信息回执表（见附件4）。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.企业最新版营业执照复印件。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（需盖章）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bidi="ar-SA"/>
        </w:rPr>
        <w:sectPr>
          <w:pgSz w:w="11905" w:h="16838"/>
          <w:pgMar w:top="1440" w:right="1689" w:bottom="1440" w:left="1689" w:header="851" w:footer="992" w:gutter="0"/>
          <w:cols w:space="720" w:num="1"/>
          <w:rtlGutter w:val="1"/>
          <w:docGrid w:type="lines" w:linePitch="325" w:charSpace="0"/>
        </w:sectPr>
      </w:pPr>
    </w:p>
    <w:tbl>
      <w:tblPr>
        <w:tblStyle w:val="10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499"/>
        <w:gridCol w:w="243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sz w:val="24"/>
                <w:highlight w:val="none"/>
              </w:rPr>
            </w:pPr>
            <w:bookmarkStart w:id="0" w:name="RANGE!B1:M19"/>
            <w:r>
              <w:rPr>
                <w:rFonts w:hint="eastAsia" w:ascii="黑体" w:eastAsia="黑体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1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  <w:lang w:eastAsia="zh-CN"/>
              </w:rPr>
              <w:t>科学研究和技术服务业发展支持项目</w:t>
            </w:r>
            <w:r>
              <w:rPr>
                <w:rFonts w:hint="eastAsia" w:ascii="宋体"/>
                <w:b/>
                <w:bCs/>
                <w:sz w:val="32"/>
                <w:szCs w:val="32"/>
                <w:highlight w:val="none"/>
              </w:rPr>
              <w:t>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sz w:val="24"/>
                <w:highlight w:val="none"/>
              </w:rPr>
              <w:t>第一部分 企业基本情况（加盖公章）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企业名称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highlight w:val="none"/>
              </w:rPr>
              <w:t>统一社会信用代码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注册地址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highlight w:val="none"/>
              </w:rPr>
              <w:t>生产地址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国民经济行业分类代码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主要服务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法定代表人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项目申报联系人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联系人手机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联系人邮箱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sz w:val="24"/>
                <w:highlight w:val="none"/>
              </w:rPr>
              <w:t>第二部分 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项目名称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项目主要内容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（500字以内简要描述）</w:t>
            </w:r>
          </w:p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方正小标宋简体" w:eastAsia="方正小标宋简体"/>
          <w:sz w:val="36"/>
          <w:szCs w:val="40"/>
          <w:highlight w:val="none"/>
        </w:rPr>
        <w:sectPr>
          <w:pgSz w:w="11907" w:h="16840"/>
          <w:pgMar w:top="2098" w:right="1474" w:bottom="1985" w:left="1588" w:header="851" w:footer="992" w:gutter="0"/>
          <w:cols w:space="720" w:num="1"/>
          <w:docGrid w:type="lines" w:linePitch="325" w:charSpace="-4915"/>
        </w:sectPr>
      </w:pPr>
    </w:p>
    <w:p>
      <w:pPr>
        <w:tabs>
          <w:tab w:val="left" w:pos="2410"/>
        </w:tabs>
        <w:snapToGrid w:val="0"/>
        <w:spacing w:line="560" w:lineRule="atLeast"/>
        <w:rPr>
          <w:rFonts w:hint="eastAsia" w:ascii="黑体" w:eastAsia="黑体" w:cs="宋体"/>
          <w:kern w:val="0"/>
          <w:sz w:val="32"/>
          <w:szCs w:val="32"/>
          <w:highlight w:val="none"/>
          <w:lang w:bidi="ar-SA"/>
        </w:rPr>
      </w:pPr>
      <w:r>
        <w:rPr>
          <w:rFonts w:hint="eastAsia" w:ascii="黑体" w:eastAsia="黑体" w:cs="宋体"/>
          <w:kern w:val="0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黑体" w:eastAsia="黑体" w:cs="宋体"/>
          <w:kern w:val="0"/>
          <w:sz w:val="32"/>
          <w:szCs w:val="32"/>
          <w:highlight w:val="none"/>
          <w:lang w:val="en-US" w:eastAsia="zh-CN" w:bidi="ar-SA"/>
        </w:rPr>
        <w:t>2</w:t>
      </w:r>
    </w:p>
    <w:p>
      <w:pPr>
        <w:tabs>
          <w:tab w:val="left" w:pos="2410"/>
        </w:tabs>
        <w:snapToGrid w:val="0"/>
        <w:spacing w:line="560" w:lineRule="atLeast"/>
        <w:rPr>
          <w:rFonts w:hint="eastAsia" w:ascii="黑体" w:eastAsia="黑体" w:cs="宋体"/>
          <w:kern w:val="0"/>
          <w:sz w:val="32"/>
          <w:szCs w:val="32"/>
          <w:highlight w:val="none"/>
          <w:lang w:bidi="ar-SA"/>
        </w:rPr>
      </w:pPr>
    </w:p>
    <w:p>
      <w:pPr>
        <w:tabs>
          <w:tab w:val="left" w:pos="2410"/>
        </w:tabs>
        <w:snapToGrid w:val="0"/>
        <w:spacing w:line="560" w:lineRule="atLeast"/>
        <w:rPr>
          <w:rFonts w:hint="eastAsia" w:ascii="黑体" w:eastAsia="黑体" w:cs="宋体"/>
          <w:kern w:val="0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科学研究和技术服务业发展支持项目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实施情况报告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（模板）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 xml:space="preserve"> 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ind w:firstLine="1840" w:firstLineChars="575"/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项目名称：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bidi="ar-SA"/>
        </w:rPr>
        <w:t xml:space="preserve">                              </w:t>
      </w:r>
    </w:p>
    <w:p>
      <w:pPr>
        <w:spacing w:line="560" w:lineRule="atLeast"/>
        <w:ind w:firstLine="1840" w:firstLineChars="575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ind w:firstLine="1840" w:firstLineChars="575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企业名称（加盖公章）：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bidi="ar-SA"/>
        </w:rPr>
        <w:t xml:space="preserve">                   </w:t>
      </w: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center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20   年   月    日</w:t>
      </w:r>
    </w:p>
    <w:p>
      <w:pPr>
        <w:spacing w:line="560" w:lineRule="exact"/>
        <w:rPr>
          <w:rFonts w:hint="eastAsia" w:ascii="黑体" w:eastAsia="黑体" w:cs="黑体"/>
          <w:sz w:val="32"/>
          <w:szCs w:val="32"/>
          <w:highlight w:val="none"/>
          <w:lang w:bidi="ar-SA"/>
        </w:rPr>
      </w:pPr>
      <w:r>
        <w:rPr>
          <w:rFonts w:hint="eastAsia" w:ascii="楷体" w:eastAsia="楷体"/>
          <w:sz w:val="28"/>
          <w:highlight w:val="none"/>
        </w:rPr>
        <w:t xml:space="preserve">    </w:t>
      </w:r>
      <w:r>
        <w:rPr>
          <w:rFonts w:hint="eastAsia" w:ascii="黑体" w:eastAsia="黑体" w:cs="黑体"/>
          <w:sz w:val="32"/>
          <w:szCs w:val="32"/>
          <w:highlight w:val="none"/>
          <w:lang w:bidi="ar-SA"/>
        </w:rPr>
        <w:t>一、企业基本情况介绍</w:t>
      </w:r>
    </w:p>
    <w:p>
      <w:pPr>
        <w:spacing w:line="560" w:lineRule="exact"/>
        <w:ind w:firstLine="320" w:firstLineChars="100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（企业基本信息、发展现状和近3年生产经营情况，成立不满3年的企业提供成立以来的生产经营情况。）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b/>
          <w:position w:val="6"/>
          <w:sz w:val="28"/>
          <w:highlight w:val="none"/>
          <w:lang w:bidi="ar-SA"/>
        </w:rPr>
      </w:pPr>
      <w:r>
        <w:rPr>
          <w:rFonts w:hint="eastAsia" w:ascii="黑体" w:eastAsia="黑体" w:cs="黑体"/>
          <w:bCs/>
          <w:kern w:val="0"/>
          <w:sz w:val="32"/>
          <w:szCs w:val="32"/>
          <w:highlight w:val="none"/>
          <w:lang w:bidi="ar-SA"/>
        </w:rPr>
        <w:t>二、项目建设方案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2.1 项目主要内容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（项目背景与意义、预期解决的问题、建设总体目标等。）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2.2项目预期实现的经济社会效益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2.3建议绩效考核数量指标（例如形成专利数量等）</w:t>
      </w:r>
    </w:p>
    <w:p>
      <w:pPr>
        <w:spacing w:line="560" w:lineRule="exact"/>
        <w:ind w:firstLine="640" w:firstLineChars="200"/>
        <w:contextualSpacing/>
        <w:rPr>
          <w:rFonts w:hint="eastAsia" w:ascii="黑体" w:eastAsia="黑体" w:cs="黑体"/>
          <w:position w:val="6"/>
          <w:sz w:val="32"/>
          <w:lang w:bidi="ar-SA"/>
        </w:rPr>
        <w:sectPr>
          <w:pgSz w:w="11905" w:h="16838"/>
          <w:pgMar w:top="1440" w:right="1803" w:bottom="1440" w:left="1803" w:header="851" w:footer="992" w:gutter="0"/>
          <w:cols w:space="720" w:num="1"/>
          <w:docGrid w:type="lines" w:linePitch="325" w:charSpace="-4915"/>
        </w:sectPr>
      </w:pPr>
      <w:r>
        <w:rPr>
          <w:rFonts w:hint="eastAsia" w:ascii="黑体" w:eastAsia="黑体" w:cs="黑体"/>
          <w:position w:val="6"/>
          <w:sz w:val="32"/>
          <w:highlight w:val="none"/>
          <w:lang w:bidi="ar-SA"/>
        </w:rPr>
        <w:t>三、其他需说明的事项</w:t>
      </w:r>
    </w:p>
    <w:p>
      <w:pPr>
        <w:spacing w:line="500" w:lineRule="exact"/>
        <w:jc w:val="left"/>
        <w:rPr>
          <w:rFonts w:hint="eastAsia" w:ascii="黑体" w:eastAsia="黑体" w:cs="黑体"/>
          <w:sz w:val="32"/>
          <w:szCs w:val="32"/>
          <w:highlight w:val="none"/>
          <w:lang w:val="en-US" w:bidi="ar-SA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highlight w:val="none"/>
          <w:lang w:val="en-US" w:eastAsia="zh-CN" w:bidi="ar-SA"/>
        </w:rPr>
        <w:t>3</w:t>
      </w:r>
    </w:p>
    <w:p>
      <w:pPr>
        <w:pStyle w:val="6"/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科学研究和技术服务业发展支持项目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申报</w:t>
      </w:r>
      <w:r>
        <w:rPr>
          <w:rFonts w:hint="eastAsia" w:ascii="方正小标宋简体" w:eastAsia="方正小标宋简体"/>
          <w:w w:val="95"/>
          <w:sz w:val="44"/>
          <w:szCs w:val="44"/>
        </w:rPr>
        <w:t>承诺书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本单位拟申请</w:t>
      </w:r>
      <w:r>
        <w:rPr>
          <w:rFonts w:hint="eastAsia" w:ascii="仿宋_GB2312" w:eastAsia="仿宋_GB2312"/>
          <w:sz w:val="32"/>
          <w:szCs w:val="32"/>
          <w:lang w:eastAsia="zh-CN"/>
        </w:rPr>
        <w:t>延庆区关于加强科技创新引领高质量发展支持办法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科技服务业发展支持项目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方向</w:t>
      </w:r>
      <w:r>
        <w:rPr>
          <w:rFonts w:hint="eastAsia" w:ascii="仿宋_GB2312" w:eastAsia="仿宋_GB2312"/>
          <w:sz w:val="32"/>
          <w:szCs w:val="32"/>
        </w:rPr>
        <w:t>，承诺如下：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本单位严格遵守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国家相关法律法规、政策要求，以及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《延庆区关于加强科技创新引领高质量发展支持办法》等相关规定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Times New Roman"/>
          <w:spacing w:val="-6"/>
          <w:sz w:val="32"/>
          <w:szCs w:val="32"/>
          <w:lang w:eastAsia="zh-CN" w:bidi="he-IL"/>
        </w:rPr>
      </w:pPr>
      <w:r>
        <w:rPr>
          <w:rFonts w:hint="eastAsia" w:ascii="仿宋_GB2312" w:eastAsia="仿宋_GB2312" w:cs="Times New Roman"/>
          <w:sz w:val="32"/>
          <w:szCs w:val="32"/>
          <w:lang w:bidi="ar-SA"/>
        </w:rPr>
        <w:t>2.</w:t>
      </w: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未</w:t>
      </w:r>
      <w:r>
        <w:rPr>
          <w:rFonts w:hint="eastAsia" w:ascii="仿宋_GB2312" w:eastAsia="仿宋_GB2312" w:cs="Times New Roman"/>
          <w:spacing w:val="-6"/>
          <w:sz w:val="32"/>
          <w:szCs w:val="32"/>
          <w:lang w:bidi="he-IL"/>
        </w:rPr>
        <w:t>因违法失信行为被行政机关实施联合惩戒</w:t>
      </w:r>
      <w:r>
        <w:rPr>
          <w:rFonts w:hint="eastAsia" w:ascii="仿宋_GB2312" w:eastAsia="仿宋_GB2312" w:cs="Times New Roman"/>
          <w:spacing w:val="-6"/>
          <w:sz w:val="32"/>
          <w:szCs w:val="32"/>
          <w:lang w:eastAsia="zh-CN" w:bidi="he-IL"/>
        </w:rPr>
        <w:t>，</w:t>
      </w:r>
      <w:r>
        <w:rPr>
          <w:rFonts w:hint="eastAsia" w:ascii="仿宋_GB2312" w:eastAsia="仿宋_GB2312" w:cs="Times New Roman"/>
          <w:spacing w:val="-6"/>
          <w:sz w:val="32"/>
          <w:szCs w:val="32"/>
          <w:lang w:bidi="he-IL"/>
        </w:rPr>
        <w:t>或被司法部门采取失信惩戒措施</w:t>
      </w:r>
      <w:r>
        <w:rPr>
          <w:rFonts w:hint="eastAsia" w:ascii="仿宋_GB2312" w:eastAsia="仿宋_GB2312" w:cs="Times New Roman"/>
          <w:spacing w:val="-6"/>
          <w:sz w:val="32"/>
          <w:szCs w:val="32"/>
          <w:lang w:eastAsia="zh-CN" w:bidi="he-IL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本单位提交的全部材料均真实、准确、有效，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资格和条件符合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通知相关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规定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.本单位自愿接受并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积极配合相关部门监管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 w:bidi="ar-SA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本单位遵循诚实守信原则，若违反以上承诺事项，将在收到北京市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延庆区科学技术和经济信息化局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要求退还资金的通知之日起6个月内向北京市延庆区科学技术和经济信息化局退还全部资金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  <w:lang w:bidi="ar-SA"/>
        </w:rPr>
      </w:pP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.本单位将按照相关法律法规和制度规定使用资金，对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和使用中存在虚报、骗取、挪用、贿赂等违法违规行为，将依照《财政违法行为处罚处分条例》等相关法律法规接受处理。涉嫌犯罪的，自愿接受司法机关依法处理。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</w:p>
    <w:p>
      <w:pPr>
        <w:widowControl/>
        <w:spacing w:line="520" w:lineRule="exact"/>
        <w:ind w:right="128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单位（签章）：</w:t>
      </w:r>
    </w:p>
    <w:p>
      <w:pPr>
        <w:widowControl/>
        <w:spacing w:line="520" w:lineRule="exact"/>
        <w:ind w:right="1280" w:firstLine="64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wordWrap w:val="0"/>
        <w:spacing w:line="520" w:lineRule="exact"/>
        <w:ind w:right="26"/>
        <w:jc w:val="righ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时间：    年    月   日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textAlignment w:val="auto"/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  <w:t>附件</w:t>
      </w:r>
      <w:r>
        <w:rPr>
          <w:rFonts w:hint="eastAsia" w:ascii="黑体" w:eastAsia="黑体" w:cs="仿宋_GB2312"/>
          <w:sz w:val="32"/>
          <w:szCs w:val="32"/>
          <w:shd w:val="clear" w:color="auto" w:fill="FFFFFF"/>
          <w:lang w:val="en-US" w:eastAsia="zh-CN" w:bidi="ar-SA"/>
        </w:rPr>
        <w:t>4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bidi="ar-SA"/>
        </w:rPr>
      </w:pPr>
      <w:r>
        <w:rPr>
          <w:rFonts w:hint="eastAsia" w:ascii="方正小标宋简体" w:eastAsia="方正小标宋简体" w:cs="宋体"/>
          <w:sz w:val="36"/>
          <w:szCs w:val="36"/>
          <w:lang w:eastAsia="zh-CN" w:bidi="ar-SA"/>
        </w:rPr>
        <w:t>科学研究和技术服务业发展支持项目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  <w:t>企业收款账号信息回执表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997"/>
        <w:gridCol w:w="1997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申报单位名称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（盖章）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社会统一信用代码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eastAsia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法定代表人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企业联系人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开户银行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银行账号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  <w:t>核定具体条款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outlineLvl w:val="1"/>
              <w:rPr>
                <w:rFonts w:hint="eastAsia" w:ascii="仿宋_GB2312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 w:bidi="ar-SA"/>
              </w:rPr>
              <w:t>《延庆区关于加强科技创新引领高质量发展支持办法》（京延科信发〔2025〕2号）第五条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  <w:t>核定金额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both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</w:p>
    <w:p/>
    <w:sectPr>
      <w:footerReference r:id="rId4" w:type="default"/>
      <w:pgSz w:w="11907" w:h="16840"/>
      <w:pgMar w:top="2098" w:right="1474" w:bottom="1985" w:left="1588" w:header="720" w:footer="720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43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chPw0QAAAAMBAAAPAAAAAAAAAAEAIAAAACIAAABkcnMvZG93bnJldi54&#10;bWxQSwECFAAUAAAACACHTuJANp0gHAECAAD0AwAADgAAAAAAAAABACAAAAAg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43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—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Y8BwtEAAAADAQAADwAAAAAAAAABACAAAAAiAAAAZHJzL2Rvd25yZXYu&#10;eG1sUEsBAhQAFAAAAAgAh07iQFiy4usCAgAA9A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—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2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7877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next w:val="5"/>
    <w:uiPriority w:val="0"/>
    <w:pPr>
      <w:widowControl w:val="0"/>
      <w:jc w:val="both"/>
    </w:pPr>
    <w:rPr>
      <w:rFonts w:ascii="华文新魏" w:eastAsia="华文新魏" w:cs="Times New Roman"/>
      <w:kern w:val="0"/>
      <w:sz w:val="36"/>
      <w:szCs w:val="24"/>
      <w:lang w:val="en-US" w:eastAsia="zh-CN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1783</Words>
  <Characters>1901</Characters>
  <Lines>166</Lines>
  <Paragraphs>89</Paragraphs>
  <TotalTime>215</TotalTime>
  <ScaleCrop>false</ScaleCrop>
  <LinksUpToDate>false</LinksUpToDate>
  <CharactersWithSpaces>2040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2026-05-08T03:39:00Z</dcterms:created>
  <dc:creator>LiuZixuan</dc:creator>
  <cp:lastModifiedBy>Lenovo</cp:lastModifiedBy>
  <dcterms:modified xsi:type="dcterms:W3CDTF">2026-05-15T09:42:10Z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C47019BD5D3F481C97AEE2D0DFCD103F_11</vt:lpwstr>
  </property>
  <property fmtid="{D5CDD505-2E9C-101B-9397-08002B2CF9AE}" pid="4" name="KSOTemplateDocerSaveRecord">
    <vt:lpwstr>eyJoZGlkIjoiMGRmMDgyM2ZkYjA2ZDkyYjJhMTYxMTQwZDk1NTRmYjAiLCJ1c2VySWQiOiI4NTEwMzg4NTAifQ==</vt:lpwstr>
  </property>
</Properties>
</file>