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113CF">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eastAsia="仿宋_GB2312"/>
          <w:sz w:val="44"/>
          <w:szCs w:val="44"/>
        </w:rPr>
      </w:pPr>
    </w:p>
    <w:p w14:paraId="4C74F73C">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eastAsia="仿宋_GB2312"/>
          <w:sz w:val="44"/>
          <w:szCs w:val="44"/>
        </w:rPr>
      </w:pPr>
    </w:p>
    <w:p w14:paraId="0206BF26">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eastAsia="仿宋_GB2312"/>
          <w:sz w:val="44"/>
          <w:szCs w:val="44"/>
        </w:rPr>
      </w:pPr>
    </w:p>
    <w:p w14:paraId="28E0810E">
      <w:pPr>
        <w:spacing w:line="1200" w:lineRule="exact"/>
        <w:ind w:left="0" w:leftChars="0" w:firstLine="0" w:firstLineChars="0"/>
        <w:jc w:val="distribute"/>
        <w:outlineLvl w:val="0"/>
        <w:rPr>
          <w:rFonts w:hint="eastAsia" w:eastAsia="方正小标宋简体"/>
          <w:bCs/>
          <w:color w:val="FF0000"/>
          <w:spacing w:val="-40"/>
          <w:sz w:val="44"/>
        </w:rPr>
      </w:pPr>
      <w:r>
        <w:rPr>
          <w:rFonts w:hint="eastAsia" w:ascii="方正小标宋简体" w:hAnsi="方正小标宋简体" w:eastAsia="方正小标宋简体" w:cs="方正小标宋简体"/>
          <w:color w:val="FF0000"/>
          <w:spacing w:val="-40"/>
          <w:w w:val="70"/>
          <w:kern w:val="0"/>
          <w:sz w:val="94"/>
          <w:szCs w:val="94"/>
        </w:rPr>
        <w:t>北京市昌平区人民政府办公室文件</w:t>
      </w:r>
    </w:p>
    <w:p w14:paraId="26A5F8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方正小标宋简体"/>
          <w:bCs/>
          <w:color w:val="FF0000"/>
          <w:sz w:val="44"/>
        </w:rPr>
      </w:pPr>
    </w:p>
    <w:p w14:paraId="44D322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方正小标宋简体"/>
          <w:bCs/>
          <w:sz w:val="44"/>
        </w:rPr>
      </w:pPr>
    </w:p>
    <w:p w14:paraId="4A557C9B">
      <w:pPr>
        <w:pStyle w:val="5"/>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outlineLvl w:val="0"/>
        <w:rPr>
          <w:rFonts w:hint="eastAsia" w:ascii="仿宋_GB2312"/>
          <w:b w:val="0"/>
        </w:rPr>
      </w:pPr>
      <w:r>
        <w:rPr>
          <w:rFonts w:hint="eastAsia" w:ascii="仿宋_GB2312"/>
          <w:b w:val="0"/>
        </w:rPr>
        <w:t>昌政办发〔20</w:t>
      </w:r>
      <w:r>
        <w:rPr>
          <w:rFonts w:hint="eastAsia" w:ascii="仿宋_GB2312"/>
          <w:b w:val="0"/>
          <w:lang w:val="en-US" w:eastAsia="zh-CN"/>
        </w:rPr>
        <w:t>26</w:t>
      </w:r>
      <w:r>
        <w:rPr>
          <w:rFonts w:hint="eastAsia" w:ascii="仿宋_GB2312"/>
          <w:b w:val="0"/>
        </w:rPr>
        <w:t>〕</w:t>
      </w:r>
      <w:r>
        <w:rPr>
          <w:rFonts w:hint="eastAsia" w:ascii="仿宋_GB2312"/>
          <w:b w:val="0"/>
          <w:color w:val="000000" w:themeColor="text1"/>
          <w:lang w:val="en-US" w:eastAsia="zh-CN"/>
          <w14:textFill>
            <w14:solidFill>
              <w14:schemeClr w14:val="tx1"/>
            </w14:solidFill>
          </w14:textFill>
        </w:rPr>
        <w:t>6</w:t>
      </w:r>
      <w:r>
        <w:rPr>
          <w:rFonts w:hint="eastAsia" w:ascii="仿宋_GB2312"/>
          <w:b w:val="0"/>
        </w:rPr>
        <w:t>号</w:t>
      </w:r>
    </w:p>
    <w:p w14:paraId="48F233C0">
      <w:pPr>
        <w:pStyle w:val="5"/>
        <w:spacing w:line="480" w:lineRule="exact"/>
        <w:ind w:firstLine="0" w:firstLineChars="0"/>
        <w:rPr>
          <w:rFonts w:hint="eastAsia" w:ascii="仿宋_GB2312"/>
          <w:b w:val="0"/>
        </w:rPr>
      </w:pPr>
      <w:r>
        <w:rPr>
          <w:rFonts w:hint="eastAsia" w:eastAsia="方正小标宋简体"/>
          <w:bCs/>
          <w:color w:val="FF0000"/>
          <w:sz w:val="44"/>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23495</wp:posOffset>
                </wp:positionV>
                <wp:extent cx="5590540" cy="0"/>
                <wp:effectExtent l="0" t="10795" r="0" b="11430"/>
                <wp:wrapNone/>
                <wp:docPr id="1" name="直接连接符 1"/>
                <wp:cNvGraphicFramePr/>
                <a:graphic xmlns:a="http://schemas.openxmlformats.org/drawingml/2006/main">
                  <a:graphicData uri="http://schemas.microsoft.com/office/word/2010/wordprocessingShape">
                    <wps:wsp>
                      <wps:cNvCnPr/>
                      <wps:spPr>
                        <a:xfrm>
                          <a:off x="0" y="0"/>
                          <a:ext cx="55905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5pt;height:0pt;width:440.2pt;z-index:251661312;mso-width-relative:page;mso-height-relative:page;" filled="f" stroked="t" coordsize="21600,21600" o:gfxdata="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eCxB1AAAAAYBAAAPAAAAAAAAAAEAIAAAACIAAABkcnMvZG93bnJldi54bWxQSwECFAAU&#10;AAAACACHTuJAsEbABPUBAADlAwAADgAAAAAAAAABACAAAAAjAQAAZHJzL2Uyb0RvYy54bWxQSwUG&#10;AAAAAAYABgBZAQAAigUAAAAA&#10;">
                <v:fill on="f" focussize="0,0"/>
                <v:stroke weight="1.75pt" color="#FF0000" joinstyle="round"/>
                <v:imagedata o:title=""/>
                <o:lock v:ext="edit" aspectratio="f"/>
              </v:line>
            </w:pict>
          </mc:Fallback>
        </mc:AlternateContent>
      </w:r>
      <w:r>
        <w:rPr>
          <w:rFonts w:hint="eastAsia" w:eastAsia="方正小标宋简体"/>
          <w:bCs/>
          <w:sz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33020</wp:posOffset>
                </wp:positionV>
                <wp:extent cx="55905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90540" cy="0"/>
                        </a:xfrm>
                        <a:prstGeom prst="line">
                          <a:avLst/>
                        </a:prstGeom>
                        <a:ln w="22225">
                          <a:noFill/>
                        </a:ln>
                      </wps:spPr>
                      <wps:bodyPr upright="1"/>
                    </wps:wsp>
                  </a:graphicData>
                </a:graphic>
              </wp:anchor>
            </w:drawing>
          </mc:Choice>
          <mc:Fallback>
            <w:pict>
              <v:line id="_x0000_s1026" o:spid="_x0000_s1026" o:spt="20" style="position:absolute;left:0pt;margin-left:0pt;margin-top:2.6pt;height:0pt;width:440.2pt;z-index:251660288;mso-width-relative:page;mso-height-relative:page;" filled="f" stroked="f" coordsize="21600,21600" o:gfxdata="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4hUsYNAAAAAEAQAADwAAAAAA&#10;AAABACAAAAAiAAAAZHJzL2Rvd25yZXYueG1sUEsBAhQAFAAAAAgAh07iQMbST9apAQAAOQMAAA4A&#10;AAAAAAAAAQAgAAAAHwEAAGRycy9lMm9Eb2MueG1sUEsFBgAAAAAGAAYAWQEAADoFAAAAAA==&#10;">
                <v:fill on="f" focussize="0,0"/>
                <v:stroke on="f" weight="1.75pt"/>
                <v:imagedata o:title=""/>
                <o:lock v:ext="edit" aspectratio="f"/>
              </v:line>
            </w:pict>
          </mc:Fallback>
        </mc:AlternateContent>
      </w:r>
    </w:p>
    <w:p w14:paraId="2E1340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0"/>
        <w:rPr>
          <w:rFonts w:hint="eastAsia" w:ascii="方正小标宋简体" w:eastAsia="方正小标宋简体"/>
          <w:bCs/>
          <w:color w:val="000000"/>
          <w:kern w:val="21"/>
          <w:sz w:val="44"/>
          <w:szCs w:val="44"/>
          <w:lang w:eastAsia="zh-CN"/>
        </w:rPr>
      </w:pPr>
      <w:r>
        <w:rPr>
          <w:rFonts w:hint="eastAsia" w:ascii="方正小标宋简体" w:eastAsia="方正小标宋简体"/>
          <w:bCs/>
          <w:color w:val="000000"/>
          <w:kern w:val="21"/>
          <w:sz w:val="44"/>
          <w:szCs w:val="44"/>
        </w:rPr>
        <w:t>北京市昌平区人民政府</w:t>
      </w:r>
      <w:r>
        <w:rPr>
          <w:rFonts w:hint="eastAsia" w:ascii="方正小标宋简体" w:eastAsia="方正小标宋简体"/>
          <w:bCs/>
          <w:color w:val="000000"/>
          <w:kern w:val="21"/>
          <w:sz w:val="44"/>
          <w:szCs w:val="44"/>
          <w:lang w:eastAsia="zh-CN"/>
        </w:rPr>
        <w:t>办公室</w:t>
      </w:r>
    </w:p>
    <w:p w14:paraId="6F5DFD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0"/>
        <w:rPr>
          <w:rFonts w:hint="eastAsia" w:ascii="方正小标宋简体" w:eastAsia="方正小标宋简体"/>
          <w:bCs/>
          <w:color w:val="000000"/>
          <w:kern w:val="21"/>
          <w:sz w:val="44"/>
          <w:szCs w:val="44"/>
          <w:lang w:eastAsia="zh-CN"/>
        </w:rPr>
      </w:pPr>
      <w:r>
        <w:rPr>
          <w:rFonts w:hint="eastAsia" w:ascii="方正小标宋简体" w:eastAsia="方正小标宋简体"/>
          <w:bCs/>
          <w:color w:val="000000"/>
          <w:kern w:val="21"/>
          <w:sz w:val="44"/>
          <w:szCs w:val="44"/>
        </w:rPr>
        <w:t>关于</w:t>
      </w:r>
      <w:r>
        <w:rPr>
          <w:rFonts w:hint="eastAsia" w:ascii="方正小标宋简体" w:eastAsia="方正小标宋简体"/>
          <w:bCs/>
          <w:color w:val="000000"/>
          <w:kern w:val="21"/>
          <w:sz w:val="44"/>
          <w:szCs w:val="44"/>
          <w:lang w:eastAsia="zh-CN"/>
        </w:rPr>
        <w:t>印发《昌平区加快科技成果转化支持办法（</w:t>
      </w:r>
      <w:r>
        <w:rPr>
          <w:rFonts w:hint="eastAsia" w:ascii="方正小标宋简体" w:eastAsia="方正小标宋简体"/>
          <w:bCs/>
          <w:color w:val="000000"/>
          <w:kern w:val="21"/>
          <w:sz w:val="44"/>
          <w:szCs w:val="44"/>
          <w:lang w:val="en-US" w:eastAsia="zh-CN"/>
        </w:rPr>
        <w:t>2026年修订</w:t>
      </w:r>
      <w:r>
        <w:rPr>
          <w:rFonts w:hint="eastAsia" w:ascii="方正小标宋简体" w:eastAsia="方正小标宋简体"/>
          <w:bCs/>
          <w:color w:val="000000"/>
          <w:kern w:val="21"/>
          <w:sz w:val="44"/>
          <w:szCs w:val="44"/>
          <w:lang w:eastAsia="zh-CN"/>
        </w:rPr>
        <w:t>版）》的通知</w:t>
      </w:r>
    </w:p>
    <w:p w14:paraId="7FBED48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ascii="仿宋_GB2312" w:hAnsi="仿宋_GB2312" w:eastAsia="仿宋_GB2312" w:cs="仿宋_GB2312"/>
          <w:b w:val="0"/>
          <w:bCs/>
          <w:color w:val="auto"/>
          <w:highlight w:val="none"/>
        </w:rPr>
      </w:pPr>
    </w:p>
    <w:p w14:paraId="644DD7D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各镇人民政府、街道办事处，区政府各委、办、局（公司）：</w:t>
      </w:r>
    </w:p>
    <w:p w14:paraId="0B2BF9B3">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
        </w:rPr>
      </w:pPr>
      <w:r>
        <w:rPr>
          <w:rFonts w:hint="eastAsia" w:ascii="楷体_GB2312" w:hAnsi="楷体_GB2312" w:eastAsia="楷体_GB2312" w:cs="楷体_GB2312"/>
          <w:kern w:val="0"/>
          <w:sz w:val="32"/>
          <w:szCs w:val="32"/>
          <w:u w:val="none" w:color="000000"/>
        </w:rPr>
        <w:t>经区政府研究同意，</w:t>
      </w:r>
      <w:r>
        <w:rPr>
          <w:rFonts w:hint="eastAsia" w:ascii="楷体_GB2312" w:hAnsi="楷体_GB2312" w:eastAsia="楷体_GB2312" w:cs="楷体_GB2312"/>
          <w:color w:val="auto"/>
          <w:kern w:val="2"/>
          <w:sz w:val="32"/>
          <w:szCs w:val="32"/>
          <w:highlight w:val="none"/>
          <w:lang w:val="en-US" w:eastAsia="zh-CN" w:bidi="ar"/>
        </w:rPr>
        <w:t>现将《昌平区加快科技成果转化支持办法（2026年修订版）》印发给你们，请认真贯彻落实。</w:t>
      </w:r>
    </w:p>
    <w:p w14:paraId="4B54D4E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sz w:val="32"/>
          <w:szCs w:val="32"/>
          <w:lang w:val="en-US" w:eastAsia="zh-CN"/>
        </w:rPr>
      </w:pPr>
    </w:p>
    <w:p w14:paraId="20E5F38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sz w:val="32"/>
          <w:szCs w:val="32"/>
          <w:lang w:val="en-US" w:eastAsia="zh-CN"/>
        </w:rPr>
      </w:pPr>
    </w:p>
    <w:p w14:paraId="49BD352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楷体_GB2312" w:hAnsi="楷体_GB2312" w:eastAsia="楷体_GB2312" w:cs="楷体_GB2312"/>
          <w:sz w:val="32"/>
          <w:szCs w:val="32"/>
          <w:lang w:val="en-US" w:eastAsia="zh-CN"/>
        </w:rPr>
      </w:pPr>
    </w:p>
    <w:p w14:paraId="3264C08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0" w:firstLine="4160" w:firstLineChars="1300"/>
        <w:jc w:val="both"/>
        <w:textAlignment w:val="auto"/>
        <w:rPr>
          <w:rFonts w:hint="eastAsia" w:ascii="楷体_GB2312" w:hAnsi="楷体_GB2312" w:eastAsia="楷体_GB2312" w:cs="楷体_GB2312"/>
          <w:color w:val="000000"/>
          <w:kern w:val="2"/>
          <w:sz w:val="32"/>
          <w:szCs w:val="32"/>
          <w:highlight w:val="none"/>
          <w:lang w:val="en-US" w:eastAsia="zh-CN" w:bidi="ar"/>
        </w:rPr>
      </w:pPr>
      <w:r>
        <w:rPr>
          <w:rFonts w:hint="eastAsia" w:ascii="楷体_GB2312" w:hAnsi="楷体_GB2312" w:eastAsia="楷体_GB2312" w:cs="楷体_GB2312"/>
          <w:color w:val="000000"/>
          <w:kern w:val="2"/>
          <w:sz w:val="32"/>
          <w:szCs w:val="32"/>
          <w:highlight w:val="none"/>
          <w:lang w:val="en-US" w:eastAsia="zh-CN" w:bidi="ar"/>
        </w:rPr>
        <w:t>北京市昌平区人民政府办公室</w:t>
      </w:r>
    </w:p>
    <w:p w14:paraId="6BF168B7">
      <w:pPr>
        <w:keepNext w:val="0"/>
        <w:keepLines w:val="0"/>
        <w:pageBreakBefore w:val="0"/>
        <w:widowControl w:val="0"/>
        <w:suppressLineNumbers w:val="0"/>
        <w:kinsoku/>
        <w:wordWrap w:val="0"/>
        <w:overflowPunct/>
        <w:topLinePunct w:val="0"/>
        <w:autoSpaceDE/>
        <w:autoSpaceDN/>
        <w:bidi w:val="0"/>
        <w:spacing w:before="0" w:beforeAutospacing="0" w:after="0" w:afterAutospacing="0" w:line="500" w:lineRule="exact"/>
        <w:ind w:left="0" w:right="0" w:firstLine="640" w:firstLineChars="200"/>
        <w:jc w:val="right"/>
        <w:textAlignment w:val="auto"/>
        <w:rPr>
          <w:rFonts w:hint="eastAsia" w:ascii="楷体_GB2312" w:hAnsi="楷体_GB2312" w:eastAsia="楷体_GB2312" w:cs="楷体_GB2312"/>
          <w:color w:val="auto"/>
          <w:kern w:val="2"/>
          <w:sz w:val="32"/>
          <w:szCs w:val="32"/>
          <w:highlight w:val="none"/>
          <w:lang w:val="en-US" w:eastAsia="zh-CN" w:bidi="ar"/>
        </w:rPr>
      </w:pPr>
      <w:r>
        <w:rPr>
          <w:rFonts w:hint="eastAsia" w:ascii="楷体_GB2312" w:hAnsi="楷体_GB2312" w:eastAsia="楷体_GB2312" w:cs="楷体_GB2312"/>
          <w:color w:val="000000"/>
          <w:kern w:val="2"/>
          <w:sz w:val="32"/>
          <w:szCs w:val="32"/>
          <w:highlight w:val="none"/>
          <w:lang w:val="en-US" w:eastAsia="zh-CN" w:bidi="ar"/>
        </w:rPr>
        <w:t>2026年4月</w:t>
      </w:r>
      <w:r>
        <w:rPr>
          <w:rFonts w:hint="eastAsia" w:ascii="楷体_GB2312" w:hAnsi="楷体_GB2312" w:eastAsia="楷体_GB2312" w:cs="楷体_GB2312"/>
          <w:color w:val="000000" w:themeColor="text1"/>
          <w:kern w:val="2"/>
          <w:sz w:val="32"/>
          <w:szCs w:val="32"/>
          <w:highlight w:val="none"/>
          <w:lang w:val="en-US" w:eastAsia="zh-CN" w:bidi="ar"/>
          <w14:textFill>
            <w14:solidFill>
              <w14:schemeClr w14:val="tx1"/>
            </w14:solidFill>
          </w14:textFill>
        </w:rPr>
        <w:t>21</w:t>
      </w:r>
      <w:r>
        <w:rPr>
          <w:rFonts w:hint="eastAsia" w:ascii="楷体_GB2312" w:hAnsi="楷体_GB2312" w:eastAsia="楷体_GB2312" w:cs="楷体_GB2312"/>
          <w:color w:val="000000"/>
          <w:kern w:val="2"/>
          <w:sz w:val="32"/>
          <w:szCs w:val="32"/>
          <w:highlight w:val="none"/>
          <w:lang w:val="en-US" w:eastAsia="zh-CN" w:bidi="ar"/>
        </w:rPr>
        <w:t xml:space="preserve">日   </w:t>
      </w:r>
      <w:r>
        <w:rPr>
          <w:rFonts w:hint="eastAsia" w:ascii="楷体_GB2312" w:hAnsi="楷体_GB2312" w:eastAsia="楷体_GB2312" w:cs="楷体_GB2312"/>
          <w:color w:val="auto"/>
          <w:kern w:val="2"/>
          <w:sz w:val="32"/>
          <w:szCs w:val="32"/>
          <w:highlight w:val="none"/>
          <w:lang w:val="en-US" w:eastAsia="zh-CN" w:bidi="ar"/>
        </w:rPr>
        <w:t xml:space="preserve">     </w:t>
      </w:r>
    </w:p>
    <w:p w14:paraId="125E445E">
      <w:pPr>
        <w:keepNext w:val="0"/>
        <w:keepLines w:val="0"/>
        <w:pageBreakBefore w:val="0"/>
        <w:widowControl w:val="0"/>
        <w:tabs>
          <w:tab w:val="left" w:pos="7526"/>
          <w:tab w:val="left" w:pos="7580"/>
        </w:tabs>
        <w:kinsoku/>
        <w:wordWrap/>
        <w:overflowPunct/>
        <w:topLinePunct w:val="0"/>
        <w:autoSpaceDE/>
        <w:autoSpaceDN/>
        <w:bidi w:val="0"/>
        <w:adjustRightInd w:val="0"/>
        <w:snapToGrid w:val="0"/>
        <w:spacing w:line="500" w:lineRule="exact"/>
        <w:ind w:right="0" w:rightChars="0" w:firstLine="640" w:firstLineChars="200"/>
        <w:jc w:val="both"/>
        <w:textAlignment w:val="auto"/>
        <w:outlineLvl w:val="9"/>
        <w:rPr>
          <w:rFonts w:hint="eastAsia" w:ascii="楷体_GB2312" w:hAnsi="楷体_GB2312" w:eastAsia="楷体_GB2312" w:cs="楷体_GB2312"/>
          <w:snapToGrid w:val="0"/>
          <w:kern w:val="0"/>
          <w:sz w:val="32"/>
          <w:szCs w:val="32"/>
          <w:lang w:val="en-US" w:eastAsia="zh-CN"/>
        </w:rPr>
      </w:pPr>
      <w:r>
        <w:rPr>
          <w:rFonts w:hint="eastAsia" w:ascii="楷体_GB2312" w:hAnsi="楷体_GB2312" w:eastAsia="楷体_GB2312" w:cs="楷体_GB2312"/>
          <w:snapToGrid w:val="0"/>
          <w:kern w:val="0"/>
          <w:sz w:val="32"/>
          <w:szCs w:val="32"/>
          <w:lang w:val="en-US" w:eastAsia="zh-CN"/>
        </w:rPr>
        <w:t>（此件主动公开）</w:t>
      </w:r>
    </w:p>
    <w:p w14:paraId="10850853">
      <w:pPr>
        <w:keepNext w:val="0"/>
        <w:keepLines w:val="0"/>
        <w:pageBreakBefore w:val="0"/>
        <w:widowControl w:val="0"/>
        <w:tabs>
          <w:tab w:val="left" w:pos="7526"/>
          <w:tab w:val="left" w:pos="7580"/>
        </w:tabs>
        <w:kinsoku/>
        <w:wordWrap/>
        <w:overflowPunct/>
        <w:topLinePunct w:val="0"/>
        <w:autoSpaceDE/>
        <w:autoSpaceDN/>
        <w:bidi w:val="0"/>
        <w:adjustRightInd w:val="0"/>
        <w:snapToGrid w:val="0"/>
        <w:spacing w:line="500" w:lineRule="exact"/>
        <w:ind w:right="0" w:rightChars="0" w:firstLine="880" w:firstLineChars="200"/>
        <w:jc w:val="both"/>
        <w:textAlignment w:val="auto"/>
        <w:outlineLvl w:val="9"/>
        <w:rPr>
          <w:rFonts w:hint="eastAsia" w:ascii="方正小标宋简体" w:hAnsi="方正小标宋简体" w:eastAsia="方正小标宋简体" w:cs="方正小标宋简体"/>
          <w:sz w:val="44"/>
          <w:szCs w:val="44"/>
        </w:rPr>
        <w:sectPr>
          <w:headerReference r:id="rId3" w:type="default"/>
          <w:pgSz w:w="11906" w:h="16838"/>
          <w:pgMar w:top="2098" w:right="1531" w:bottom="1985" w:left="1531" w:header="851" w:footer="992" w:gutter="0"/>
          <w:pgBorders w:offsetFrom="page">
            <w:top w:val="none" w:sz="0" w:space="0"/>
            <w:left w:val="none" w:sz="0" w:space="0"/>
            <w:bottom w:val="none" w:sz="0" w:space="0"/>
            <w:right w:val="none" w:sz="0" w:space="0"/>
          </w:pgBorders>
          <w:pgNumType w:fmt="decimal"/>
          <w:cols w:space="720" w:num="1"/>
          <w:docGrid w:type="lines" w:linePitch="435" w:charSpace="0"/>
        </w:sectPr>
      </w:pPr>
      <w:bookmarkStart w:id="0" w:name="_GoBack"/>
      <w:bookmarkEnd w:id="0"/>
    </w:p>
    <w:p w14:paraId="7E8FD53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昌平区加快科技成果转化支持办法</w:t>
      </w:r>
    </w:p>
    <w:p w14:paraId="26C38EE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（2026年修订版）</w:t>
      </w:r>
    </w:p>
    <w:p w14:paraId="52256E8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p>
    <w:p w14:paraId="178E3D4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第一条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为全面落实国家关于深入实施创新驱动发展、实现高水平科技自立自强的战略部署，加快“四区”建设，发挥昌平区科技资源聚集优势，做强未来科学城“两谷一园”创新引擎，优化创新创业服务体系，加快有组织的科技成果转化，加快发展未来产业，提升新质生产力，根据《中华人民共和国促进科技成果转化法》《北京国际科技创新中心建设条例》《北京市促进科技成果转化条例》《北京市推进科技成果转化落地行动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2025-2027年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关于</w:t>
      </w:r>
      <w:r>
        <w:rPr>
          <w:rFonts w:hint="eastAsia" w:ascii="仿宋_GB2312" w:hAnsi="仿宋_GB2312" w:eastAsia="仿宋_GB2312" w:cs="仿宋_GB2312"/>
          <w:color w:val="auto"/>
          <w:sz w:val="32"/>
          <w:szCs w:val="32"/>
          <w:highlight w:val="none"/>
        </w:rPr>
        <w:t>加快国际科技创新中心主平台建设促进高精尖产业发展意见》，结合工作实际，制定本办法。</w:t>
      </w:r>
    </w:p>
    <w:p w14:paraId="194AAA66">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第二条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本办法适用于科技创新企业、高校、科研机构、医疗卫生机构等。对医药健康、先进能源、先进制造、数字经济等主导产业领域以及脑机接口、智能机器人、合成生物制造等未来产业领域给予重点支持。</w:t>
      </w:r>
    </w:p>
    <w:p w14:paraId="32C597CD">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rPr>
        <w:t>第三条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kern w:val="2"/>
          <w:sz w:val="32"/>
          <w:szCs w:val="32"/>
          <w:highlight w:val="none"/>
          <w:lang w:val="en-US" w:eastAsia="zh-CN" w:bidi="ar-SA"/>
        </w:rPr>
        <w:t>支持国家实验室创新成果转化。建立全链条服务保障机制，支持国家实验室联合高校、科研机构和龙头企业协同创新，联合地方政府</w:t>
      </w:r>
      <w:r>
        <w:rPr>
          <w:rFonts w:hint="eastAsia" w:ascii="仿宋_GB2312" w:hAnsi="仿宋_GB2312" w:eastAsia="仿宋_GB2312" w:cs="仿宋_GB2312"/>
          <w:color w:val="000000"/>
          <w:kern w:val="2"/>
          <w:sz w:val="32"/>
          <w:szCs w:val="32"/>
          <w:highlight w:val="none"/>
          <w:lang w:val="en-US" w:eastAsia="zh-CN" w:bidi="ar-SA"/>
        </w:rPr>
        <w:t>及其转化平台公司</w:t>
      </w:r>
      <w:r>
        <w:rPr>
          <w:rFonts w:hint="eastAsia" w:ascii="仿宋_GB2312" w:hAnsi="仿宋_GB2312" w:eastAsia="仿宋_GB2312" w:cs="仿宋_GB2312"/>
          <w:color w:val="auto"/>
          <w:kern w:val="2"/>
          <w:sz w:val="32"/>
          <w:szCs w:val="32"/>
          <w:highlight w:val="none"/>
          <w:lang w:val="en-US" w:eastAsia="zh-CN" w:bidi="ar-SA"/>
        </w:rPr>
        <w:t>共同开展成果转化、企业孵化、人才引育、产业生态营造等工作，推动原创技术成果高效落地产业化。</w:t>
      </w:r>
    </w:p>
    <w:p w14:paraId="78422C96">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第四条</w:t>
      </w:r>
      <w:r>
        <w:rPr>
          <w:rFonts w:hint="eastAsia" w:ascii="楷体_GB2312" w:hAnsi="楷体_GB2312" w:eastAsia="楷体_GB2312" w:cs="楷体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支持全国重点实验室集聚区建设。支持知名高校联合地方政府共同建设全国重点实验室及国家级科研平台集聚区，并设立实体化运营管理和服务机构，统筹开展科研管理、企校协同创新、科技成果转化落地、重大项目培育、校友企业引入、公共服务平台建设、人才培养激励、产业基金构建等方面组织促进工作。按照运营管理和服务机构年度工作成效，经综合评价后给予</w:t>
      </w:r>
      <w:r>
        <w:rPr>
          <w:rFonts w:hint="eastAsia" w:ascii="仿宋_GB2312" w:hAnsi="仿宋_GB2312" w:eastAsia="仿宋_GB2312" w:cs="仿宋_GB2312"/>
          <w:color w:val="auto"/>
          <w:sz w:val="32"/>
          <w:szCs w:val="32"/>
          <w:highlight w:val="none"/>
          <w:lang w:eastAsia="zh-CN"/>
        </w:rPr>
        <w:t>一定</w:t>
      </w:r>
      <w:r>
        <w:rPr>
          <w:rFonts w:hint="eastAsia" w:ascii="仿宋_GB2312" w:hAnsi="仿宋_GB2312" w:eastAsia="仿宋_GB2312" w:cs="仿宋_GB2312"/>
          <w:color w:val="auto"/>
          <w:sz w:val="32"/>
          <w:szCs w:val="32"/>
          <w:highlight w:val="none"/>
        </w:rPr>
        <w:t>资金支持。</w:t>
      </w:r>
    </w:p>
    <w:p w14:paraId="537F22A6">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五</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支持重大技术成果落地产业化</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对具有重大经济、社会价值的科技成果产业化项目，经评定后，按项目三年内研发费用、房租费用、装修费用和固定资产投资（房产、土地购置费用除外）总额的30%给予专项资金支持。</w:t>
      </w:r>
    </w:p>
    <w:p w14:paraId="44109CA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支持颠覆性技术创新成果转化应用。支持青年科学家、专业技术人才开展颠覆性技术创新攻关，推进形成的创新成果加快转化应用，经评定后，给予研发团队成果转化企业专项资金支持。</w:t>
      </w:r>
    </w:p>
    <w:p w14:paraId="70DA9FB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六</w:t>
      </w:r>
      <w:r>
        <w:rPr>
          <w:rFonts w:hint="eastAsia" w:ascii="楷体_GB2312" w:hAnsi="楷体_GB2312" w:eastAsia="楷体_GB2312" w:cs="楷体_GB2312"/>
          <w:b/>
          <w:bCs/>
          <w:color w:val="auto"/>
          <w:sz w:val="32"/>
          <w:szCs w:val="32"/>
          <w:highlight w:val="none"/>
        </w:rPr>
        <w:t xml:space="preserve">条 </w:t>
      </w:r>
      <w:r>
        <w:rPr>
          <w:rFonts w:hint="eastAsia" w:ascii="仿宋_GB2312" w:hAnsi="仿宋_GB2312" w:eastAsia="仿宋_GB2312" w:cs="仿宋_GB2312"/>
          <w:bCs/>
          <w:color w:val="auto"/>
          <w:sz w:val="32"/>
          <w:szCs w:val="32"/>
          <w:highlight w:val="none"/>
        </w:rPr>
        <w:t>支持知名科学家创新创业。</w:t>
      </w:r>
      <w:r>
        <w:rPr>
          <w:rFonts w:hint="eastAsia" w:ascii="仿宋_GB2312" w:hAnsi="仿宋_GB2312" w:eastAsia="仿宋_GB2312" w:cs="仿宋_GB2312"/>
          <w:color w:val="auto"/>
          <w:sz w:val="32"/>
          <w:szCs w:val="32"/>
          <w:highlight w:val="none"/>
        </w:rPr>
        <w:t>支持知名科学家领衔开展原创性、引领性科技攻关，努力突破关键核心技术难题，推进创新成果加快产业化，经评定后，给予知名科学家团队创新创业专项资金支持。</w:t>
      </w:r>
    </w:p>
    <w:p w14:paraId="5E75D460">
      <w:pPr>
        <w:pStyle w:val="4"/>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楷体_GB2312" w:hAnsi="楷体_GB2312" w:eastAsia="楷体_GB2312" w:cs="楷体_GB2312"/>
          <w:b/>
          <w:bCs/>
          <w:color w:val="auto"/>
          <w:sz w:val="32"/>
          <w:szCs w:val="32"/>
          <w:highlight w:val="none"/>
        </w:rPr>
      </w:pPr>
      <w:r>
        <w:rPr>
          <w:rFonts w:hint="eastAsia" w:ascii="仿宋_GB2312" w:hAnsi="仿宋_GB2312" w:eastAsia="仿宋_GB2312" w:cs="仿宋_GB2312"/>
          <w:color w:val="auto"/>
          <w:sz w:val="32"/>
          <w:szCs w:val="32"/>
          <w:highlight w:val="none"/>
        </w:rPr>
        <w:t>支持科技人才创办企业</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由高校、科研机构、医疗卫生机构的科技人才、医疗专家团队作为主要股东创办的科技型企业，成立两年内获得实力机构股权投资的，经评定后，给予</w:t>
      </w:r>
      <w:r>
        <w:rPr>
          <w:rFonts w:hint="eastAsia" w:ascii="仿宋_GB2312" w:hAnsi="仿宋_GB2312" w:eastAsia="仿宋_GB2312" w:cs="仿宋_GB2312"/>
          <w:color w:val="auto"/>
          <w:sz w:val="32"/>
          <w:szCs w:val="32"/>
          <w:highlight w:val="none"/>
          <w:lang w:val="en-US" w:eastAsia="zh-CN"/>
        </w:rPr>
        <w:t>一定</w:t>
      </w:r>
      <w:r>
        <w:rPr>
          <w:rFonts w:hint="eastAsia" w:ascii="仿宋_GB2312" w:hAnsi="仿宋_GB2312" w:eastAsia="仿宋_GB2312" w:cs="仿宋_GB2312"/>
          <w:color w:val="auto"/>
          <w:sz w:val="32"/>
          <w:szCs w:val="32"/>
          <w:highlight w:val="none"/>
        </w:rPr>
        <w:t>资金奖励；成立三年内获得股权投资投后估值达到一亿元及以上，再给予</w:t>
      </w:r>
      <w:r>
        <w:rPr>
          <w:rFonts w:hint="eastAsia" w:ascii="仿宋_GB2312" w:hAnsi="仿宋_GB2312" w:eastAsia="仿宋_GB2312" w:cs="仿宋_GB2312"/>
          <w:color w:val="auto"/>
          <w:sz w:val="32"/>
          <w:szCs w:val="32"/>
          <w:highlight w:val="none"/>
          <w:lang w:val="en-US" w:eastAsia="zh-CN"/>
        </w:rPr>
        <w:t>一定</w:t>
      </w:r>
      <w:r>
        <w:rPr>
          <w:rFonts w:hint="eastAsia" w:ascii="仿宋_GB2312" w:hAnsi="仿宋_GB2312" w:eastAsia="仿宋_GB2312" w:cs="仿宋_GB2312"/>
          <w:color w:val="auto"/>
          <w:sz w:val="32"/>
          <w:szCs w:val="32"/>
          <w:highlight w:val="none"/>
        </w:rPr>
        <w:t>资金奖励。</w:t>
      </w:r>
    </w:p>
    <w:p w14:paraId="0E1FE98E">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七条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支持产学研联合创新</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支持科技创新企业牵头与高校、科研机构、医疗卫生机构等共建创新联合体或联合实验室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高校与科技创新企业联合设立产业学院、技术研究院。支持高校、科研机构、医疗卫生机构选派科技人才、医疗专家任职科技创新企业的“科技副总”。支持科技创新企业出资参与北京市自然科学基金-昌平创新联合基金。</w:t>
      </w:r>
    </w:p>
    <w:p w14:paraId="78DC2D6F">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i/>
          <w:iCs/>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八</w:t>
      </w:r>
      <w:r>
        <w:rPr>
          <w:rFonts w:hint="eastAsia" w:ascii="楷体_GB2312" w:hAnsi="楷体_GB2312" w:eastAsia="楷体_GB2312" w:cs="楷体_GB2312"/>
          <w:b/>
          <w:bCs/>
          <w:color w:val="auto"/>
          <w:sz w:val="32"/>
          <w:szCs w:val="32"/>
          <w:highlight w:val="none"/>
        </w:rPr>
        <w:t xml:space="preserve">条 </w:t>
      </w:r>
      <w:r>
        <w:rPr>
          <w:rFonts w:hint="eastAsia" w:ascii="仿宋_GB2312" w:hAnsi="仿宋_GB2312" w:eastAsia="仿宋_GB2312" w:cs="仿宋_GB2312"/>
          <w:i w:val="0"/>
          <w:iCs w:val="0"/>
          <w:color w:val="auto"/>
          <w:sz w:val="32"/>
          <w:szCs w:val="32"/>
          <w:highlight w:val="none"/>
        </w:rPr>
        <w:t>支持外资研发中心建设发展</w:t>
      </w:r>
      <w:r>
        <w:rPr>
          <w:rFonts w:hint="eastAsia" w:ascii="仿宋_GB2312" w:hAnsi="仿宋_GB2312" w:eastAsia="仿宋_GB2312" w:cs="仿宋_GB2312"/>
          <w:bCs/>
          <w:i w:val="0"/>
          <w:iCs w:val="0"/>
          <w:color w:val="auto"/>
          <w:sz w:val="32"/>
          <w:szCs w:val="32"/>
          <w:highlight w:val="none"/>
        </w:rPr>
        <w:t>。</w:t>
      </w:r>
      <w:r>
        <w:rPr>
          <w:rFonts w:hint="eastAsia" w:ascii="仿宋_GB2312" w:hAnsi="仿宋_GB2312" w:eastAsia="仿宋_GB2312" w:cs="仿宋_GB2312"/>
          <w:i w:val="0"/>
          <w:iCs w:val="0"/>
          <w:color w:val="auto"/>
          <w:sz w:val="32"/>
          <w:szCs w:val="32"/>
          <w:highlight w:val="none"/>
        </w:rPr>
        <w:t>支持知名跨国公司和国际顶级科研机构首次设立实体化研发创新中心或开放创新平台，支持外资研发中心由区域级提升为大区级或全球级研发中心。对获得国家级或北京市级专项资金支持的外资研发中心，按其获得支持金额的30%，给予资金支持。</w:t>
      </w:r>
    </w:p>
    <w:p w14:paraId="08806028">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strike w:val="0"/>
          <w:dstrike w:val="0"/>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九</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支持专业化技术转移机构建设。</w:t>
      </w:r>
      <w:r>
        <w:rPr>
          <w:rFonts w:hint="eastAsia" w:ascii="仿宋_GB2312" w:hAnsi="仿宋_GB2312" w:eastAsia="仿宋_GB2312" w:cs="仿宋_GB2312"/>
          <w:color w:val="auto"/>
          <w:sz w:val="32"/>
          <w:szCs w:val="32"/>
          <w:highlight w:val="none"/>
          <w:lang w:eastAsia="zh"/>
        </w:rPr>
        <w:t>设立</w:t>
      </w:r>
      <w:r>
        <w:rPr>
          <w:rFonts w:hint="eastAsia" w:ascii="仿宋_GB2312" w:hAnsi="仿宋_GB2312" w:eastAsia="仿宋_GB2312" w:cs="仿宋_GB2312"/>
          <w:color w:val="auto"/>
          <w:sz w:val="32"/>
          <w:szCs w:val="32"/>
          <w:highlight w:val="none"/>
        </w:rPr>
        <w:t>昌平区科技成果转化国有服务平台公司，支持高校、科研机构、医疗卫生机构建强专业化技术转移机构或部门，开展科技成果信息的搜集、筛选、分析、加工，科技成果的价值评估、交易服务，知识产权信息检索与分析、布局与运营，科技成果展示、推介及与产业技术需求对接，科技金融与投融资服务等工作。</w:t>
      </w:r>
    </w:p>
    <w:p w14:paraId="261DEF52">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十</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支持技术经理人队伍建设</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支持高校、科研机构、医疗卫生机构或其他技术转移机构市场化聘用技术经理人。对于聘用北京市“朱雀计划”人才</w:t>
      </w:r>
      <w:r>
        <w:rPr>
          <w:rFonts w:hint="eastAsia" w:ascii="仿宋_GB2312" w:hAnsi="仿宋_GB2312" w:eastAsia="仿宋_GB2312" w:cs="仿宋_GB2312"/>
          <w:color w:val="auto"/>
          <w:sz w:val="32"/>
          <w:szCs w:val="32"/>
          <w:highlight w:val="none"/>
          <w:lang w:eastAsia="zh-CN"/>
        </w:rPr>
        <w:t>以及高水平、</w:t>
      </w:r>
      <w:r>
        <w:rPr>
          <w:rFonts w:hint="eastAsia" w:ascii="仿宋_GB2312" w:hAnsi="仿宋_GB2312" w:eastAsia="仿宋_GB2312" w:cs="仿宋_GB2312"/>
          <w:color w:val="auto"/>
          <w:sz w:val="32"/>
          <w:szCs w:val="32"/>
          <w:highlight w:val="none"/>
        </w:rPr>
        <w:t>专业化技术经理人的机构，根据机构年度促进成果转化的工作成效，经评定后，按聘用费用的50%给予</w:t>
      </w:r>
      <w:r>
        <w:rPr>
          <w:rFonts w:hint="eastAsia" w:ascii="仿宋_GB2312" w:hAnsi="仿宋_GB2312" w:eastAsia="仿宋_GB2312" w:cs="仿宋_GB2312"/>
          <w:color w:val="auto"/>
          <w:sz w:val="32"/>
          <w:szCs w:val="32"/>
          <w:highlight w:val="none"/>
          <w:lang w:val="en-US" w:eastAsia="zh-CN"/>
        </w:rPr>
        <w:t>聘用机构一定</w:t>
      </w:r>
      <w:r>
        <w:rPr>
          <w:rFonts w:hint="eastAsia" w:ascii="仿宋_GB2312" w:hAnsi="仿宋_GB2312" w:eastAsia="仿宋_GB2312" w:cs="仿宋_GB2312"/>
          <w:color w:val="auto"/>
          <w:sz w:val="32"/>
          <w:szCs w:val="32"/>
          <w:highlight w:val="none"/>
        </w:rPr>
        <w:t>资金支持。支持高校举办科技商学院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w:t>
      </w:r>
      <w:r>
        <w:rPr>
          <w:rFonts w:hint="eastAsia" w:ascii="仿宋_GB2312" w:hAnsi="仿宋_GB2312" w:eastAsia="仿宋_GB2312" w:cs="仿宋_GB2312"/>
          <w:color w:val="auto"/>
          <w:sz w:val="32"/>
          <w:szCs w:val="32"/>
          <w:highlight w:val="none"/>
          <w:lang w:eastAsia="zh-CN"/>
        </w:rPr>
        <w:t>育职业技术经理人。</w:t>
      </w:r>
      <w:r>
        <w:rPr>
          <w:rFonts w:hint="eastAsia" w:ascii="仿宋_GB2312" w:hAnsi="仿宋_GB2312" w:eastAsia="仿宋_GB2312" w:cs="仿宋_GB2312"/>
          <w:color w:val="auto"/>
          <w:sz w:val="32"/>
          <w:szCs w:val="32"/>
          <w:highlight w:val="none"/>
        </w:rPr>
        <w:t>支持技术经理人开展需求挖掘、技术匹配、价值评估、市场对接、商业谈判、项目落地等全过程科技成果转化活动，按其年度工作成效，经评定后，择优授予“优秀技术经理人”荣誉称号。对符合条件的技术经理人，</w:t>
      </w:r>
      <w:r>
        <w:rPr>
          <w:rFonts w:hint="eastAsia" w:ascii="仿宋_GB2312" w:hAnsi="仿宋_GB2312" w:eastAsia="仿宋_GB2312" w:cs="仿宋_GB2312"/>
          <w:color w:val="auto"/>
          <w:sz w:val="32"/>
          <w:szCs w:val="32"/>
          <w:highlight w:val="none"/>
          <w:lang w:val="en-US" w:eastAsia="zh-CN"/>
        </w:rPr>
        <w:t>依法</w:t>
      </w:r>
      <w:r>
        <w:rPr>
          <w:rFonts w:hint="eastAsia" w:ascii="仿宋_GB2312" w:hAnsi="仿宋_GB2312" w:eastAsia="仿宋_GB2312" w:cs="仿宋_GB2312"/>
          <w:color w:val="auto"/>
          <w:sz w:val="32"/>
          <w:szCs w:val="32"/>
          <w:highlight w:val="none"/>
        </w:rPr>
        <w:t>提供人才落户、工作居住证等服务。</w:t>
      </w:r>
    </w:p>
    <w:p w14:paraId="2BE36892">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科技成果转化项目概念验证。建立早期项目概念验证服务体系，重点支持高校、科研机构、医疗卫生机构与产业协同创新，开展科技成果转化项目早期概念验证活动，加速产业化进程。每年定额安排概念验证专项资金，对转化的重点项目，经评定后，给予</w:t>
      </w:r>
      <w:r>
        <w:rPr>
          <w:rFonts w:hint="eastAsia" w:ascii="仿宋_GB2312" w:hAnsi="仿宋_GB2312" w:eastAsia="仿宋_GB2312" w:cs="仿宋_GB2312"/>
          <w:b w:val="0"/>
          <w:bCs w:val="0"/>
          <w:color w:val="auto"/>
          <w:sz w:val="32"/>
          <w:szCs w:val="32"/>
          <w:highlight w:val="none"/>
        </w:rPr>
        <w:t>概念验证资金支持。</w:t>
      </w:r>
    </w:p>
    <w:p w14:paraId="1F81DF37">
      <w:pPr>
        <w:pStyle w:val="4"/>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支持概念验证平台建设</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支持高校、科研机构、医疗卫生机构、科技创新企业建设概念验证平台，开展科技成果评估、技术可行性分析、小批量试制、商业评价等概念验证服务。按照平台年度服务成效，经评定后，给予资金支持。对获得北京市科技主管部门认定的概念验证平台，按照平台综合服务成效，经评定后，再给予一次性资金奖励。</w:t>
      </w:r>
    </w:p>
    <w:p w14:paraId="4F29702B">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支持市场化专有公共技术服务平台建设</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支持对高精尖产业发展具有特殊、专有作用的市场化运营重大公共技术服务平台建设。支持其与高校、科研机构、医疗卫生机构合作开展电子硬件工程工艺再设计、结构件工程工艺再设计、EMI/EMC设计、原理样机制作、工程样机制作、产品可靠性测试、产品中试量产、供应链服务等成果熟化服务，按照平台年度服务成效，经评定后，给予资金支持。对转化落地的平台服务项目，经评定后，</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服务合同金额</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50%</w:t>
      </w:r>
      <w:r>
        <w:rPr>
          <w:rFonts w:hint="eastAsia" w:ascii="仿宋_GB2312" w:hAnsi="仿宋_GB2312" w:eastAsia="仿宋_GB2312" w:cs="仿宋_GB2312"/>
          <w:color w:val="auto"/>
          <w:sz w:val="32"/>
          <w:szCs w:val="32"/>
          <w:highlight w:val="none"/>
          <w:lang w:val="en-US" w:eastAsia="zh-CN"/>
        </w:rPr>
        <w:t>给予一定</w:t>
      </w:r>
      <w:r>
        <w:rPr>
          <w:rFonts w:hint="eastAsia" w:ascii="仿宋_GB2312" w:hAnsi="仿宋_GB2312" w:eastAsia="仿宋_GB2312" w:cs="仿宋_GB2312"/>
          <w:color w:val="auto"/>
          <w:sz w:val="32"/>
          <w:szCs w:val="32"/>
          <w:highlight w:val="none"/>
        </w:rPr>
        <w:t>资金补贴支持。</w:t>
      </w:r>
    </w:p>
    <w:p w14:paraId="4C1E8AB8">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三</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支持仪器设备和实验设施开放共享</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建设昌平区科研仪器共享服务平台，对在平台上开放共享科研仪器和实验设施的高校、科研机构、医疗卫生机构、中央企业等，每年按照服务频次、服务收入、服务客户数量等指标综合评价，给予</w:t>
      </w:r>
      <w:r>
        <w:rPr>
          <w:rFonts w:hint="eastAsia" w:ascii="仿宋_GB2312" w:hAnsi="仿宋_GB2312" w:eastAsia="仿宋_GB2312" w:cs="仿宋_GB2312"/>
          <w:color w:val="auto"/>
          <w:sz w:val="32"/>
          <w:szCs w:val="32"/>
          <w:highlight w:val="none"/>
          <w:lang w:val="en-US" w:eastAsia="zh-CN"/>
        </w:rPr>
        <w:t>一定</w:t>
      </w:r>
      <w:r>
        <w:rPr>
          <w:rFonts w:hint="eastAsia" w:ascii="仿宋_GB2312" w:hAnsi="仿宋_GB2312" w:eastAsia="仿宋_GB2312" w:cs="仿宋_GB2312"/>
          <w:color w:val="auto"/>
          <w:sz w:val="32"/>
          <w:szCs w:val="32"/>
          <w:highlight w:val="none"/>
        </w:rPr>
        <w:t>资金支持；对仪器共享服务平台运营机构，每年按照服务成效进行综合评价，给予运营服务</w:t>
      </w:r>
      <w:r>
        <w:rPr>
          <w:rFonts w:hint="eastAsia" w:ascii="仿宋_GB2312" w:hAnsi="仿宋_GB2312" w:eastAsia="仿宋_GB2312" w:cs="仿宋_GB2312"/>
          <w:color w:val="auto"/>
          <w:sz w:val="32"/>
          <w:szCs w:val="32"/>
          <w:highlight w:val="none"/>
          <w:lang w:val="en-US" w:eastAsia="zh-CN"/>
        </w:rPr>
        <w:t>专项</w:t>
      </w:r>
      <w:r>
        <w:rPr>
          <w:rFonts w:hint="eastAsia" w:ascii="仿宋_GB2312" w:hAnsi="仿宋_GB2312" w:eastAsia="仿宋_GB2312" w:cs="仿宋_GB2312"/>
          <w:color w:val="auto"/>
          <w:sz w:val="32"/>
          <w:szCs w:val="32"/>
          <w:highlight w:val="none"/>
        </w:rPr>
        <w:t>资金支持；对科技中介机构，每年按照促成服务频次等指标进行综合评价，给予</w:t>
      </w:r>
      <w:r>
        <w:rPr>
          <w:rFonts w:hint="eastAsia" w:ascii="仿宋_GB2312" w:hAnsi="仿宋_GB2312" w:eastAsia="仿宋_GB2312" w:cs="仿宋_GB2312"/>
          <w:color w:val="auto"/>
          <w:sz w:val="32"/>
          <w:szCs w:val="32"/>
          <w:highlight w:val="none"/>
          <w:lang w:val="en-US" w:eastAsia="zh-CN"/>
        </w:rPr>
        <w:t>一定</w:t>
      </w:r>
      <w:r>
        <w:rPr>
          <w:rFonts w:hint="eastAsia" w:ascii="仿宋_GB2312" w:hAnsi="仿宋_GB2312" w:eastAsia="仿宋_GB2312" w:cs="仿宋_GB2312"/>
          <w:color w:val="auto"/>
          <w:sz w:val="32"/>
          <w:szCs w:val="32"/>
          <w:highlight w:val="none"/>
        </w:rPr>
        <w:t>资金支持。</w:t>
      </w:r>
    </w:p>
    <w:p w14:paraId="0975F6BB">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四</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孵化器、国家大学科技园和特色产业园专业化高端化发展。打造区级高质量孵化器、国家大学科技园和特色产业园，充分发挥其在高新技术企业培育、规上企业培育、重点企业成长、科技成果转化、引导基金设立、重大项目落地等方面的促进作用，按其年度工作成效，经评定后，给予</w:t>
      </w:r>
      <w:r>
        <w:rPr>
          <w:rFonts w:hint="eastAsia" w:ascii="仿宋_GB2312" w:hAnsi="仿宋_GB2312" w:eastAsia="仿宋_GB2312" w:cs="仿宋_GB2312"/>
          <w:color w:val="auto"/>
          <w:sz w:val="32"/>
          <w:szCs w:val="32"/>
          <w:highlight w:val="none"/>
          <w:lang w:eastAsia="zh-CN"/>
        </w:rPr>
        <w:t>一定</w:t>
      </w:r>
      <w:r>
        <w:rPr>
          <w:rFonts w:hint="eastAsia" w:ascii="仿宋_GB2312" w:hAnsi="仿宋_GB2312" w:eastAsia="仿宋_GB2312" w:cs="仿宋_GB2312"/>
          <w:b w:val="0"/>
          <w:bCs w:val="0"/>
          <w:color w:val="auto"/>
          <w:sz w:val="32"/>
          <w:szCs w:val="32"/>
          <w:highlight w:val="none"/>
        </w:rPr>
        <w:t>资金</w:t>
      </w:r>
      <w:r>
        <w:rPr>
          <w:rFonts w:hint="eastAsia" w:ascii="仿宋_GB2312" w:hAnsi="仿宋_GB2312" w:eastAsia="仿宋_GB2312" w:cs="仿宋_GB2312"/>
          <w:color w:val="auto"/>
          <w:sz w:val="32"/>
          <w:szCs w:val="32"/>
          <w:highlight w:val="none"/>
        </w:rPr>
        <w:t>支持。对孵化出专精特新“小巨人”企业、独角兽企业、上市企业的孵化器，每培育一家专精特新“小巨人”</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独角兽企业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上市企业</w:t>
      </w:r>
      <w:r>
        <w:rPr>
          <w:rFonts w:hint="eastAsia" w:ascii="仿宋_GB2312" w:hAnsi="仿宋_GB2312" w:eastAsia="仿宋_GB2312" w:cs="仿宋_GB2312"/>
          <w:color w:val="auto"/>
          <w:sz w:val="32"/>
          <w:szCs w:val="32"/>
          <w:highlight w:val="none"/>
          <w:lang w:val="en-US" w:eastAsia="zh-CN"/>
        </w:rPr>
        <w:t>分别</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val="en-US" w:eastAsia="zh-CN"/>
        </w:rPr>
        <w:t>一定的</w:t>
      </w:r>
      <w:r>
        <w:rPr>
          <w:rFonts w:hint="eastAsia" w:ascii="仿宋_GB2312" w:hAnsi="仿宋_GB2312" w:eastAsia="仿宋_GB2312" w:cs="仿宋_GB2312"/>
          <w:color w:val="auto"/>
          <w:sz w:val="32"/>
          <w:szCs w:val="32"/>
          <w:highlight w:val="none"/>
        </w:rPr>
        <w:t>资金奖励。对获评北京市标杆孵化器的，给予一次性资金奖励。</w:t>
      </w:r>
    </w:p>
    <w:p w14:paraId="3A642FE2">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五</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高校科研机构技术合同认定登记。支持高校、科研机构、医疗卫生机构通过“定向研发、定向转化、定向服务”方式取得的职务科技成果进行认定登记，对于转化的成果，经评定后，按照同一项目技术合同交易额的5%给予高校、科研机构</w:t>
      </w:r>
      <w:r>
        <w:rPr>
          <w:rFonts w:hint="eastAsia" w:ascii="仿宋_GB2312" w:hAnsi="仿宋_GB2312" w:eastAsia="仿宋_GB2312" w:cs="仿宋_GB2312"/>
          <w:color w:val="auto"/>
          <w:sz w:val="32"/>
          <w:szCs w:val="32"/>
          <w:highlight w:val="none"/>
          <w:lang w:val="en-US" w:eastAsia="zh-CN"/>
        </w:rPr>
        <w:t>一定</w:t>
      </w:r>
      <w:r>
        <w:rPr>
          <w:rFonts w:hint="eastAsia" w:ascii="仿宋_GB2312" w:hAnsi="仿宋_GB2312" w:eastAsia="仿宋_GB2312" w:cs="仿宋_GB2312"/>
          <w:color w:val="auto"/>
          <w:sz w:val="32"/>
          <w:szCs w:val="32"/>
          <w:highlight w:val="none"/>
        </w:rPr>
        <w:t>资金奖励。奖励资金可用于激励在交易服务中做出突出贡献的团队（人员）。</w:t>
      </w:r>
    </w:p>
    <w:p w14:paraId="6A63329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六</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强化科创金融促进作用。设立昌平区科技成果转化投资引导基金，在社会资本未充分参与的科技成果转化早期阶段，对成果转化项目进行资金支持。支持设立由政府、高校、科研机构、医疗卫生机构、企业等共同出资的概念验证基金和科技成果转化投资基金，支持社会资本投早、投小、投长期、投硬科技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支持银行、保险、融资担保、融资租赁等金融机构为科技成果转化产业活动提供创新金融产品服务。</w:t>
      </w:r>
    </w:p>
    <w:p w14:paraId="039B419B">
      <w:pPr>
        <w:pStyle w:val="4"/>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七</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支持应用场景建设</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支持企业联合高校、科研机构、医疗卫生机构、中小学等聚焦重点领域、重点区域和重大项目，建设和开放应用场景，推动AI大模型、信息通讯、智能制造等领域的底层技术、关键核心技术、颠覆性技术迭代创新和示范应用。</w:t>
      </w:r>
    </w:p>
    <w:p w14:paraId="1FE72DBE">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 w:val="32"/>
          <w:szCs w:val="32"/>
          <w:highlight w:val="none"/>
          <w:lang w:eastAsia="zh"/>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八</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
        </w:rPr>
        <w:t>支持围绕科技成果转化举办高水平的论坛、赛事和学术会议等活动。支持企业、高校、科研机构、医疗卫生机构、行业协会、基金会等创新主体举办科技成果转化以及创新人才论坛、创新创业大赛、国际学术会议等活动</w:t>
      </w:r>
      <w:r>
        <w:rPr>
          <w:rFonts w:hint="eastAsia" w:ascii="仿宋_GB2312" w:hAnsi="仿宋_GB2312" w:eastAsia="仿宋_GB2312" w:cs="仿宋_GB2312"/>
          <w:color w:val="auto"/>
          <w:sz w:val="32"/>
          <w:szCs w:val="32"/>
          <w:highlight w:val="none"/>
          <w:lang w:eastAsia="zh-CN"/>
        </w:rPr>
        <w:t>。</w:t>
      </w:r>
    </w:p>
    <w:p w14:paraId="298C669F">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第十</w:t>
      </w:r>
      <w:r>
        <w:rPr>
          <w:rFonts w:hint="eastAsia" w:ascii="楷体_GB2312" w:hAnsi="楷体_GB2312" w:eastAsia="楷体_GB2312" w:cs="楷体_GB2312"/>
          <w:b/>
          <w:bCs/>
          <w:color w:val="auto"/>
          <w:sz w:val="32"/>
          <w:szCs w:val="32"/>
          <w:highlight w:val="none"/>
          <w:lang w:val="en-US" w:eastAsia="zh-CN"/>
        </w:rPr>
        <w:t>九</w:t>
      </w:r>
      <w:r>
        <w:rPr>
          <w:rFonts w:hint="eastAsia" w:ascii="楷体_GB2312" w:hAnsi="楷体_GB2312" w:eastAsia="楷体_GB2312" w:cs="楷体_GB2312"/>
          <w:b/>
          <w:bCs/>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同一项目、同一事项同时符合本办法多个条款或昌平区其他扶持政策的，按照“从优不重复”原则办理。符合北京市级支持政策规定的，可同时申请享受市、区两级政策支持，另有规定的除外。</w:t>
      </w:r>
    </w:p>
    <w:p w14:paraId="59FC080D">
      <w:pPr>
        <w:keepNext w:val="0"/>
        <w:keepLines w:val="0"/>
        <w:pageBreakBefore w:val="0"/>
        <w:widowControl w:val="0"/>
        <w:tabs>
          <w:tab w:val="left" w:pos="7560"/>
        </w:tabs>
        <w:kinsoku/>
        <w:wordWrap/>
        <w:overflowPunct/>
        <w:topLinePunct w:val="0"/>
        <w:autoSpaceDE/>
        <w:autoSpaceDN/>
        <w:bidi w:val="0"/>
        <w:adjustRightInd/>
        <w:spacing w:line="54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color w:val="auto"/>
          <w:sz w:val="32"/>
          <w:szCs w:val="32"/>
          <w:highlight w:val="none"/>
        </w:rPr>
        <w:t>十条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本办法由北京市昌平区科学技术委员会负责解释，自印发之日起</w:t>
      </w:r>
      <w:r>
        <w:rPr>
          <w:rFonts w:hint="eastAsia" w:ascii="仿宋_GB2312" w:hAnsi="仿宋_GB2312" w:eastAsia="仿宋_GB2312" w:cs="仿宋_GB2312"/>
          <w:color w:val="auto"/>
          <w:sz w:val="32"/>
          <w:szCs w:val="32"/>
          <w:highlight w:val="none"/>
          <w:lang w:val="en-US" w:eastAsia="zh-CN"/>
        </w:rPr>
        <w:t>施行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施</w:t>
      </w:r>
      <w:r>
        <w:rPr>
          <w:rFonts w:hint="eastAsia" w:ascii="仿宋_GB2312" w:hAnsi="仿宋_GB2312" w:eastAsia="仿宋_GB2312" w:cs="仿宋_GB2312"/>
          <w:color w:val="auto"/>
          <w:sz w:val="32"/>
          <w:szCs w:val="32"/>
          <w:highlight w:val="none"/>
        </w:rPr>
        <w:t>行期3年。实行期间如遇国家及市级相关政策变动，将做出相应调整。《昌平区加快科技成果转化支持办法（试行）》（昌政办发〔20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〕11号）同时废止。</w:t>
      </w:r>
    </w:p>
    <w:p w14:paraId="4069B234">
      <w:pPr>
        <w:keepNext w:val="0"/>
        <w:keepLines w:val="0"/>
        <w:pageBreakBefore w:val="0"/>
        <w:widowControl w:val="0"/>
        <w:tabs>
          <w:tab w:val="left" w:pos="3883"/>
        </w:tabs>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ab/>
      </w:r>
    </w:p>
    <w:p w14:paraId="2E4E95BE">
      <w:pPr>
        <w:keepNext w:val="0"/>
        <w:keepLines w:val="0"/>
        <w:pageBreakBefore w:val="0"/>
        <w:widowControl w:val="0"/>
        <w:tabs>
          <w:tab w:val="left" w:pos="7560"/>
        </w:tabs>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6D0D7218">
      <w:pPr>
        <w:keepNext w:val="0"/>
        <w:keepLines w:val="0"/>
        <w:pageBreakBefore w:val="0"/>
        <w:widowControl w:val="0"/>
        <w:tabs>
          <w:tab w:val="left" w:pos="7560"/>
        </w:tabs>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44A998C6">
      <w:pPr>
        <w:keepNext w:val="0"/>
        <w:keepLines w:val="0"/>
        <w:pageBreakBefore w:val="0"/>
        <w:widowControl w:val="0"/>
        <w:tabs>
          <w:tab w:val="left" w:pos="7560"/>
        </w:tabs>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734385E9">
      <w:pPr>
        <w:keepNext w:val="0"/>
        <w:keepLines w:val="0"/>
        <w:pageBreakBefore w:val="0"/>
        <w:widowControl w:val="0"/>
        <w:tabs>
          <w:tab w:val="left" w:pos="7560"/>
        </w:tabs>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080FB94B">
      <w:pPr>
        <w:keepNext w:val="0"/>
        <w:keepLines w:val="0"/>
        <w:pageBreakBefore w:val="0"/>
        <w:widowControl w:val="0"/>
        <w:kinsoku/>
        <w:wordWrap/>
        <w:overflowPunct/>
        <w:topLinePunct w:val="0"/>
        <w:autoSpaceDE/>
        <w:autoSpaceDN/>
        <w:bidi w:val="0"/>
        <w:adjustRightInd/>
        <w:snapToGrid w:val="0"/>
        <w:spacing w:before="250" w:line="560" w:lineRule="exact"/>
        <w:ind w:left="0" w:leftChars="0" w:firstLine="0" w:firstLineChars="0"/>
        <w:textAlignment w:val="auto"/>
        <w:rPr>
          <w:rFonts w:hint="eastAsia" w:ascii="仿宋_GB2312" w:eastAsia="仿宋_GB2312"/>
          <w:bCs/>
          <w:color w:val="000000"/>
          <w:sz w:val="28"/>
          <w:szCs w:val="28"/>
        </w:rPr>
      </w:pPr>
      <w:r>
        <w:rPr>
          <w:rFonts w:hint="eastAsia" w:ascii="方正小标宋简体" w:eastAsia="方正小标宋简体"/>
          <w:bCs/>
          <w:strike w:val="0"/>
          <w:dstrike w:val="0"/>
          <w:color w:val="000000"/>
          <w:sz w:val="32"/>
          <w:szCs w:val="32"/>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220345</wp:posOffset>
                </wp:positionV>
                <wp:extent cx="565213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52135"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35pt;height:0pt;width:445.05pt;mso-position-horizontal-relative:margin;z-index:251662336;mso-width-relative:page;mso-height-relative:page;" filled="f" stroked="t" coordsize="21600,21600" o:gfxdata="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XjNLLRAAAABgEAAA8AAAAAAAAAAQAgAAAAIgAAAGRycy9kb3ducmV2LnhtbFBLAQIU&#10;ABQAAAAIAIdO4kDTH57p+gEAAPMDAAAOAAAAAAAAAAEAIAAAACABAABkcnMvZTJvRG9jLnhtbFBL&#10;BQYAAAAABgAGAFkBAACMBQAAAAA=&#10;">
                <v:fill on="f" focussize="0,0"/>
                <v:stroke weight="0.99pt" color="#000000" joinstyle="round"/>
                <v:imagedata o:title=""/>
                <o:lock v:ext="edit" aspectratio="f"/>
              </v:line>
            </w:pict>
          </mc:Fallback>
        </mc:AlternateContent>
      </w:r>
      <w:r>
        <w:rPr>
          <w:rFonts w:hint="eastAsia" w:ascii="仿宋_GB2312" w:eastAsia="仿宋_GB2312"/>
          <w:bCs/>
          <w:strike w:val="0"/>
          <w:dstrike w:val="0"/>
          <w:color w:val="000000"/>
          <w:sz w:val="32"/>
          <w:szCs w:val="32"/>
        </w:rPr>
        <w:t>　</w:t>
      </w:r>
      <w:r>
        <w:rPr>
          <w:rFonts w:hint="eastAsia" w:ascii="仿宋_GB2312" w:eastAsia="仿宋_GB2312"/>
          <w:bCs/>
          <w:strike w:val="0"/>
          <w:dstrike w:val="0"/>
          <w:color w:val="000000"/>
          <w:sz w:val="28"/>
          <w:szCs w:val="28"/>
        </w:rPr>
        <w:t>抄送：区委办，区人大办，区政协办，区监委，区法院，区检察院。</w:t>
      </w:r>
      <w:r>
        <w:rPr>
          <w:rFonts w:hint="eastAsia" w:ascii="仿宋_GB2312" w:eastAsia="仿宋_GB2312"/>
          <w:bCs/>
          <w:color w:val="000000"/>
          <w:sz w:val="28"/>
          <w:szCs w:val="28"/>
        </w:rPr>
        <w:t xml:space="preserve">   　　　</w:t>
      </w:r>
    </w:p>
    <w:p w14:paraId="57BE30AE">
      <w:pPr>
        <w:keepNext w:val="0"/>
        <w:keepLines w:val="0"/>
        <w:pageBreakBefore w:val="0"/>
        <w:widowControl w:val="0"/>
        <w:tabs>
          <w:tab w:val="left" w:pos="8540"/>
        </w:tabs>
        <w:kinsoku/>
        <w:wordWrap/>
        <w:overflowPunct/>
        <w:topLinePunct w:val="0"/>
        <w:autoSpaceDE/>
        <w:autoSpaceDN/>
        <w:bidi w:val="0"/>
        <w:adjustRightInd/>
        <w:snapToGrid/>
        <w:ind w:left="0" w:leftChars="0" w:firstLine="0" w:firstLineChars="0"/>
        <w:textAlignment w:val="auto"/>
      </w:pPr>
      <w:r>
        <w:rPr>
          <w:sz w:val="28"/>
        </w:rPr>
        <mc:AlternateContent>
          <mc:Choice Requires="wps">
            <w:drawing>
              <wp:anchor distT="0" distB="0" distL="114300" distR="114300" simplePos="0" relativeHeight="251665408" behindDoc="0" locked="0" layoutInCell="1" allowOverlap="1">
                <wp:simplePos x="0" y="0"/>
                <wp:positionH relativeFrom="column">
                  <wp:posOffset>-267970</wp:posOffset>
                </wp:positionH>
                <wp:positionV relativeFrom="paragraph">
                  <wp:posOffset>708025</wp:posOffset>
                </wp:positionV>
                <wp:extent cx="1238250" cy="609600"/>
                <wp:effectExtent l="0" t="0" r="11430" b="0"/>
                <wp:wrapNone/>
                <wp:docPr id="4" name="矩形 4"/>
                <wp:cNvGraphicFramePr/>
                <a:graphic xmlns:a="http://schemas.openxmlformats.org/drawingml/2006/main">
                  <a:graphicData uri="http://schemas.microsoft.com/office/word/2010/wordprocessingShape">
                    <wps:wsp>
                      <wps:cNvSpPr/>
                      <wps:spPr>
                        <a:xfrm>
                          <a:off x="0" y="0"/>
                          <a:ext cx="1238250" cy="609600"/>
                        </a:xfrm>
                        <a:prstGeom prst="rect">
                          <a:avLst/>
                        </a:prstGeom>
                        <a:gradFill rotWithShape="0">
                          <a:gsLst>
                            <a:gs pos="0">
                              <a:srgbClr val="FFFFFF"/>
                            </a:gs>
                            <a:gs pos="100000">
                              <a:srgbClr val="FFFFFF"/>
                            </a:gs>
                          </a:gsLst>
                          <a:lin ang="0"/>
                          <a:tileRect/>
                        </a:gradFill>
                        <a:ln w="15875">
                          <a:noFill/>
                        </a:ln>
                        <a:effectLst/>
                      </wps:spPr>
                      <wps:bodyPr upright="1"/>
                    </wps:wsp>
                  </a:graphicData>
                </a:graphic>
              </wp:anchor>
            </w:drawing>
          </mc:Choice>
          <mc:Fallback>
            <w:pict>
              <v:rect id="_x0000_s1026" o:spid="_x0000_s1026" o:spt="1" style="position:absolute;left:0pt;margin-left:-21.1pt;margin-top:55.75pt;height:48pt;width:97.5pt;z-index:251665408;mso-width-relative:page;mso-height-relative:page;" fillcolor="#FFFFFF" filled="t" stroked="f" coordsize="21600,21600" o:gfxdata="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5sDYdkAAAALAQAADwAAAAAAAAABACAAAAAiAAAAZHJzL2Rvd25yZXYueG1sUEsBAhQA&#10;FAAAAAgAh07iQI1U/nHxAQAA/gMAAA4AAAAAAAAAAQAgAAAAKAEAAGRycy9lMm9Eb2MueG1sUEsF&#10;BgAAAAAGAAYAWQEAAIsFAAAAAA==&#10;">
                <v:fill type="gradient" on="t" color2="#FFFFFF" angle="90" focus="100%" focussize="0,0">
                  <o:fill type="gradientUnscaled" v:ext="backwardCompatible"/>
                </v:fill>
                <v:stroke on="f" weight="1.25pt"/>
                <v:imagedata o:title=""/>
                <o:lock v:ext="edit" aspectratio="f"/>
              </v:rect>
            </w:pict>
          </mc:Fallback>
        </mc:AlternateContent>
      </w:r>
      <w:r>
        <w:rPr>
          <w:rFonts w:hint="eastAsia" w:ascii="仿宋_GB2312" w:eastAsia="仿宋_GB2312"/>
          <w:bCs/>
          <w:color w:val="000000"/>
          <w:sz w:val="28"/>
          <w:szCs w:val="2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57785</wp:posOffset>
                </wp:positionV>
                <wp:extent cx="565213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52135" cy="0"/>
                        </a:xfrm>
                        <a:prstGeom prst="line">
                          <a:avLst/>
                        </a:prstGeom>
                        <a:ln w="90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55pt;height:0pt;width:445.05pt;mso-position-horizontal-relative:margin;z-index:251663360;mso-width-relative:page;mso-height-relative:page;" filled="f" stroked="t" coordsize="21600,21600" o:gfxdata="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jrE40QAAAAQBAAAPAAAAAAAAAAEAIAAAACIAAABkcnMvZG93bnJldi54bWxQSwEC&#10;FAAUAAAACACHTuJA3Is5yPsBAAD0AwAADgAAAAAAAAABACAAAAAgAQAAZHJzL2Uyb0RvYy54bWxQ&#10;SwUGAAAAAAYABgBZAQAAjQUAAAAA&#10;">
                <v:fill on="f" focussize="0,0"/>
                <v:stroke weight="0.708661417322835pt" color="#000000" joinstyle="round"/>
                <v:imagedata o:title=""/>
                <o:lock v:ext="edit" aspectratio="f"/>
              </v:line>
            </w:pict>
          </mc:Fallback>
        </mc:AlternateContent>
      </w:r>
      <w:r>
        <w:rPr>
          <w:rFonts w:hint="eastAsia" w:ascii="仿宋_GB2312" w:eastAsia="仿宋_GB2312"/>
          <w:bCs/>
          <w:color w:val="000000"/>
          <w:sz w:val="28"/>
          <w:szCs w:val="2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393700</wp:posOffset>
                </wp:positionV>
                <wp:extent cx="5652135" cy="0"/>
                <wp:effectExtent l="0" t="6350" r="0" b="6350"/>
                <wp:wrapNone/>
                <wp:docPr id="13" name="直接连接符 13"/>
                <wp:cNvGraphicFramePr/>
                <a:graphic xmlns:a="http://schemas.openxmlformats.org/drawingml/2006/main">
                  <a:graphicData uri="http://schemas.microsoft.com/office/word/2010/wordprocessingShape">
                    <wps:wsp>
                      <wps:cNvCnPr/>
                      <wps:spPr>
                        <a:xfrm>
                          <a:off x="0" y="0"/>
                          <a:ext cx="5652135"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pt;height:0pt;width:445.05pt;mso-position-horizontal-relative:margin;z-index:251664384;mso-width-relative:page;mso-height-relative:page;" filled="f" stroked="t" coordsize="21600,21600" o:gfxdata="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L0DP0QAAAAYBAAAPAAAAAAAAAAEAIAAAACIAAABkcnMvZG93bnJldi54bWxQSwEC&#10;FAAUAAAACACHTuJA2xFgvfsBAAD1AwAADgAAAAAAAAABACAAAAAgAQAAZHJzL2Uyb0RvYy54bWxQ&#10;SwUGAAAAAAYABgBZAQAAjQUAAAAA&#10;">
                <v:fill on="f" focussize="0,0"/>
                <v:stroke weight="0.99pt" color="#000000" joinstyle="round"/>
                <v:imagedata o:title=""/>
                <o:lock v:ext="edit" aspectratio="f"/>
              </v:line>
            </w:pict>
          </mc:Fallback>
        </mc:AlternateContent>
      </w:r>
      <w:r>
        <w:rPr>
          <w:rFonts w:hint="eastAsia" w:ascii="仿宋_GB2312" w:eastAsia="仿宋_GB2312"/>
          <w:bCs/>
          <w:color w:val="000000"/>
          <w:sz w:val="28"/>
          <w:szCs w:val="28"/>
        </w:rPr>
        <w:t>　北京市昌平区人民政府办公室　          20</w:t>
      </w:r>
      <w:r>
        <w:rPr>
          <w:rFonts w:hint="eastAsia" w:ascii="仿宋_GB2312" w:eastAsia="仿宋_GB2312"/>
          <w:bCs/>
          <w:color w:val="000000"/>
          <w:sz w:val="28"/>
          <w:szCs w:val="28"/>
          <w:lang w:val="en-US" w:eastAsia="zh-CN"/>
        </w:rPr>
        <w:t>26</w:t>
      </w:r>
      <w:r>
        <w:rPr>
          <w:rFonts w:hint="eastAsia" w:ascii="仿宋_GB2312" w:eastAsia="仿宋_GB2312"/>
          <w:bCs/>
          <w:color w:val="000000"/>
          <w:sz w:val="28"/>
          <w:szCs w:val="28"/>
        </w:rPr>
        <w:t>年</w:t>
      </w:r>
      <w:r>
        <w:rPr>
          <w:rFonts w:hint="eastAsia" w:ascii="仿宋_GB2312"/>
          <w:bCs/>
          <w:color w:val="000000"/>
          <w:sz w:val="28"/>
          <w:szCs w:val="28"/>
          <w:lang w:val="en-US" w:eastAsia="zh-CN"/>
        </w:rPr>
        <w:t>4</w:t>
      </w:r>
      <w:r>
        <w:rPr>
          <w:rFonts w:hint="eastAsia" w:ascii="仿宋_GB2312" w:eastAsia="仿宋_GB2312"/>
          <w:bCs/>
          <w:color w:val="000000"/>
          <w:sz w:val="28"/>
          <w:szCs w:val="28"/>
        </w:rPr>
        <w:t>月</w:t>
      </w:r>
      <w:r>
        <w:rPr>
          <w:rFonts w:hint="eastAsia" w:ascii="仿宋_GB2312"/>
          <w:bCs/>
          <w:color w:val="000000" w:themeColor="text1"/>
          <w:sz w:val="28"/>
          <w:szCs w:val="28"/>
          <w:lang w:val="en-US" w:eastAsia="zh-CN"/>
          <w14:textFill>
            <w14:solidFill>
              <w14:schemeClr w14:val="tx1"/>
            </w14:solidFill>
          </w14:textFill>
        </w:rPr>
        <w:t>21</w:t>
      </w:r>
      <w:r>
        <w:rPr>
          <w:rFonts w:hint="eastAsia" w:ascii="仿宋_GB2312" w:eastAsia="仿宋_GB2312"/>
          <w:bCs/>
          <w:color w:val="000000"/>
          <w:sz w:val="28"/>
          <w:szCs w:val="28"/>
        </w:rPr>
        <w:t>日印发</w:t>
      </w:r>
      <w:r>
        <w:rPr>
          <w:rFonts w:hint="eastAsia" w:ascii="仿宋_GB2312" w:eastAsia="仿宋_GB2312"/>
          <w:bCs/>
          <w:color w:val="000000"/>
          <w:sz w:val="32"/>
          <w:szCs w:val="32"/>
        </w:rPr>
        <w:t xml:space="preserve"> </w:t>
      </w:r>
    </w:p>
    <w:sectPr>
      <w:footerReference r:id="rId4" w:type="default"/>
      <w:pgSz w:w="11906" w:h="16838"/>
      <w:pgMar w:top="1440" w:right="1746" w:bottom="1440" w:left="174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C32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3D772">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33D772">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08F9">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61869"/>
    <w:rsid w:val="054E09BE"/>
    <w:rsid w:val="11A45C86"/>
    <w:rsid w:val="215772C1"/>
    <w:rsid w:val="24135184"/>
    <w:rsid w:val="25127678"/>
    <w:rsid w:val="298A4D77"/>
    <w:rsid w:val="2D7626DC"/>
    <w:rsid w:val="32061869"/>
    <w:rsid w:val="3C1C08F2"/>
    <w:rsid w:val="49ED38CE"/>
    <w:rsid w:val="4FBC710F"/>
    <w:rsid w:val="5E6457CC"/>
    <w:rsid w:val="68993147"/>
    <w:rsid w:val="759309AA"/>
    <w:rsid w:val="76706018"/>
    <w:rsid w:val="789E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qFormat/>
    <w:uiPriority w:val="0"/>
    <w:pPr>
      <w:spacing w:after="120"/>
    </w:pPr>
  </w:style>
  <w:style w:type="paragraph" w:styleId="4">
    <w:name w:val="Plain Text"/>
    <w:basedOn w:val="1"/>
    <w:next w:val="1"/>
    <w:qFormat/>
    <w:uiPriority w:val="0"/>
    <w:rPr>
      <w:rFonts w:ascii="宋体" w:hAnsi="Courier New"/>
    </w:rPr>
  </w:style>
  <w:style w:type="paragraph" w:styleId="5">
    <w:name w:val="Body Text Indent 2"/>
    <w:basedOn w:val="1"/>
    <w:qFormat/>
    <w:uiPriority w:val="0"/>
    <w:pPr>
      <w:spacing w:line="560" w:lineRule="exact"/>
      <w:ind w:firstLine="643" w:firstLineChars="200"/>
    </w:pPr>
    <w:rPr>
      <w:rFonts w:eastAsia="仿宋_GB2312"/>
      <w:b/>
      <w:bCs/>
      <w:sz w:val="32"/>
    </w:rPr>
  </w:style>
  <w:style w:type="paragraph" w:styleId="6">
    <w:name w:val="footer"/>
    <w:basedOn w:val="1"/>
    <w:next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3594</Words>
  <Characters>3642</Characters>
  <Lines>0</Lines>
  <Paragraphs>0</Paragraphs>
  <TotalTime>2</TotalTime>
  <ScaleCrop>false</ScaleCrop>
  <LinksUpToDate>false</LinksUpToDate>
  <CharactersWithSpaces>3691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2026-04-16T01:33:00Z</dcterms:created>
  <dc:creator>flfym</dc:creator>
  <cp:lastModifiedBy>董欣洁莹</cp:lastModifiedBy>
  <dcterms:modified xsi:type="dcterms:W3CDTF">2026-04-20T05:04:23Z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F5D9D71E974C4A07BFDB37DD301BA7EC_11</vt:lpwstr>
  </property>
  <property fmtid="{D5CDD505-2E9C-101B-9397-08002B2CF9AE}" pid="4" name="KSOTemplateDocerSaveRecord">
    <vt:lpwstr>eyJoZGlkIjoiOGRjMWI4NjNhZjU0NTEyMDZiMjIxMjBjZDJhYWZiN2YiLCJ1c2VySWQiOiIyMTU4MDQwODIifQ==</vt:lpwstr>
  </property>
</Properties>
</file>