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A98A">
      <w:pPr>
        <w:widowControl w:val="0"/>
        <w:overflowPunct w:val="0"/>
        <w:ind w:firstLine="0" w:firstLineChars="0"/>
        <w:outlineLvl w:val="1"/>
        <w:rPr>
          <w:rFonts w:hint="eastAsia" w:ascii="黑体" w:hAnsi="黑体" w:eastAsia="黑体" w:cs="Times New Roman"/>
          <w:szCs w:val="32"/>
        </w:rPr>
      </w:pPr>
      <w:r>
        <w:rPr>
          <w:rFonts w:hint="eastAsia" w:ascii="黑体" w:hAnsi="黑体" w:eastAsia="黑体" w:cs="Times New Roman"/>
          <w:szCs w:val="32"/>
        </w:rPr>
        <w:t>附件1</w:t>
      </w:r>
    </w:p>
    <w:p w14:paraId="62BCE874">
      <w:pPr>
        <w:keepNext w:val="0"/>
        <w:keepLines w:val="0"/>
        <w:pageBreakBefore w:val="0"/>
        <w:widowControl w:val="0"/>
        <w:kinsoku/>
        <w:wordWrap/>
        <w:overflowPunct/>
        <w:topLinePunct w:val="0"/>
        <w:autoSpaceDE w:val="0"/>
        <w:autoSpaceDN/>
        <w:bidi w:val="0"/>
        <w:adjustRightInd/>
        <w:snapToGrid w:val="0"/>
        <w:spacing w:line="54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115DFEB8">
      <w:pPr>
        <w:keepNext w:val="0"/>
        <w:keepLines w:val="0"/>
        <w:pageBreakBefore w:val="0"/>
        <w:widowControl w:val="0"/>
        <w:kinsoku/>
        <w:wordWrap/>
        <w:overflowPunct/>
        <w:topLinePunct w:val="0"/>
        <w:autoSpaceDE w:val="0"/>
        <w:autoSpaceDN/>
        <w:bidi w:val="0"/>
        <w:adjustRightInd/>
        <w:snapToGrid w:val="0"/>
        <w:spacing w:line="540" w:lineRule="exact"/>
        <w:ind w:left="0" w:leftChars="0" w:firstLine="0" w:firstLineChars="0"/>
        <w:jc w:val="center"/>
        <w:textAlignment w:val="auto"/>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中关村科技园区延庆园管理委员会</w:t>
      </w:r>
    </w:p>
    <w:p w14:paraId="7BA691ED">
      <w:pPr>
        <w:keepNext w:val="0"/>
        <w:keepLines w:val="0"/>
        <w:pageBreakBefore w:val="0"/>
        <w:widowControl w:val="0"/>
        <w:kinsoku/>
        <w:wordWrap/>
        <w:overflowPunct/>
        <w:topLinePunct w:val="0"/>
        <w:autoSpaceDE w:val="0"/>
        <w:autoSpaceDN/>
        <w:bidi w:val="0"/>
        <w:adjustRightInd/>
        <w:snapToGrid w:val="0"/>
        <w:spacing w:line="540" w:lineRule="exact"/>
        <w:ind w:left="0" w:leftChars="0" w:firstLine="0" w:firstLineChars="0"/>
        <w:jc w:val="center"/>
        <w:textAlignment w:val="auto"/>
        <w:rPr>
          <w:rFonts w:hint="eastAsia" w:ascii="方正小标宋简体" w:hAnsi="等线" w:eastAsia="方正小标宋简体" w:cs="Times New Roman"/>
          <w:spacing w:val="-11"/>
          <w:sz w:val="44"/>
          <w:szCs w:val="44"/>
        </w:rPr>
      </w:pPr>
      <w:r>
        <w:rPr>
          <w:rFonts w:hint="eastAsia" w:ascii="方正公文小标宋" w:hAnsi="方正公文小标宋" w:eastAsia="方正公文小标宋" w:cs="方正公文小标宋"/>
          <w:spacing w:val="-11"/>
          <w:sz w:val="44"/>
          <w:szCs w:val="44"/>
          <w:lang w:val="en-US" w:eastAsia="zh-CN"/>
        </w:rPr>
        <w:t>关于促进中关村延庆园中小企业高质量发展的若干措施（试行）</w:t>
      </w:r>
    </w:p>
    <w:p w14:paraId="6791BC06">
      <w:pPr>
        <w:keepNext w:val="0"/>
        <w:keepLines w:val="0"/>
        <w:pageBreakBefore w:val="0"/>
        <w:widowControl w:val="0"/>
        <w:kinsoku/>
        <w:wordWrap/>
        <w:topLinePunct w:val="0"/>
        <w:autoSpaceDN/>
        <w:bidi w:val="0"/>
        <w:adjustRightInd/>
        <w:spacing w:line="540" w:lineRule="exact"/>
        <w:ind w:firstLine="0" w:firstLineChars="0"/>
        <w:jc w:val="center"/>
        <w:textAlignment w:val="auto"/>
        <w:rPr>
          <w:rFonts w:ascii="楷体_GB2312" w:hAnsi="等线" w:eastAsia="楷体_GB2312" w:cs="Times New Roman"/>
          <w:szCs w:val="32"/>
        </w:rPr>
      </w:pPr>
      <w:r>
        <w:rPr>
          <w:rFonts w:hint="eastAsia" w:ascii="楷体_GB2312" w:hAnsi="等线" w:eastAsia="楷体_GB2312" w:cs="Times New Roman"/>
          <w:szCs w:val="32"/>
        </w:rPr>
        <w:t>（征求意见稿）</w:t>
      </w:r>
    </w:p>
    <w:p w14:paraId="7EAE7E03">
      <w:pPr>
        <w:keepNext w:val="0"/>
        <w:keepLines w:val="0"/>
        <w:pageBreakBefore w:val="0"/>
        <w:widowControl w:val="0"/>
        <w:kinsoku/>
        <w:wordWrap/>
        <w:overflowPunct w:val="0"/>
        <w:topLinePunct w:val="0"/>
        <w:autoSpaceDN/>
        <w:bidi w:val="0"/>
        <w:adjustRightInd/>
        <w:spacing w:line="540" w:lineRule="exact"/>
        <w:ind w:firstLine="640"/>
        <w:textAlignment w:val="auto"/>
        <w:rPr>
          <w:rFonts w:hint="eastAsia" w:hAnsi="等线" w:cs="Times New Roman"/>
          <w:szCs w:val="32"/>
        </w:rPr>
      </w:pPr>
    </w:p>
    <w:p w14:paraId="2EC99B2C">
      <w:pPr>
        <w:keepNext w:val="0"/>
        <w:keepLines w:val="0"/>
        <w:pageBreakBefore w:val="0"/>
        <w:widowControl w:val="0"/>
        <w:numPr>
          <w:ilvl w:val="0"/>
          <w:numId w:val="0"/>
        </w:numPr>
        <w:kinsoku/>
        <w:wordWrap/>
        <w:overflowPunct/>
        <w:topLinePunct w:val="0"/>
        <w:autoSpaceDE w:val="0"/>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为充分发挥中关村延庆园区域经济高质量发展引擎作用，加快推进京西北科技创新融合发展示范区建设，精准赋能园区中小企业提质增效、转型升级，特制定本措施。</w:t>
      </w:r>
    </w:p>
    <w:p w14:paraId="049B625A">
      <w:pPr>
        <w:keepNext w:val="0"/>
        <w:keepLines w:val="0"/>
        <w:pageBreakBefore w:val="0"/>
        <w:widowControl w:val="0"/>
        <w:numPr>
          <w:ilvl w:val="0"/>
          <w:numId w:val="0"/>
        </w:numPr>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 政策适用范围。</w:t>
      </w:r>
      <w:r>
        <w:rPr>
          <w:rFonts w:hint="eastAsia" w:ascii="仿宋_GB2312" w:hAnsi="仿宋_GB2312" w:eastAsia="仿宋_GB2312" w:cs="仿宋_GB2312"/>
          <w:sz w:val="32"/>
          <w:szCs w:val="32"/>
          <w:lang w:val="en-US" w:eastAsia="zh-CN"/>
        </w:rPr>
        <w:t>本措施适用于在中关村延庆园范围内完成注册登记、税务登记，依法合规经营、诚信履约、信用状况良好，符合首都功能定位及园区产业发展方向的各类市场主体。</w:t>
      </w:r>
    </w:p>
    <w:p w14:paraId="5D42DD31">
      <w:pPr>
        <w:keepNext w:val="0"/>
        <w:keepLines w:val="0"/>
        <w:pageBreakBefore w:val="0"/>
        <w:widowControl w:val="0"/>
        <w:numPr>
          <w:ilvl w:val="0"/>
          <w:numId w:val="0"/>
        </w:numPr>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 探索多元化投融资机制。</w:t>
      </w:r>
      <w:r>
        <w:rPr>
          <w:rFonts w:hint="eastAsia" w:ascii="仿宋_GB2312" w:hAnsi="仿宋_GB2312" w:eastAsia="仿宋_GB2312" w:cs="仿宋_GB2312"/>
          <w:sz w:val="32"/>
          <w:szCs w:val="32"/>
          <w:lang w:val="en-US" w:eastAsia="zh-CN"/>
        </w:rPr>
        <w:t>支持园区平台公司市场化参股、合资投资园区重点招商及高成长性项目，放大国有资本引导撬动作用。用足市区两级产业基金，联合社会资本设立专业产业基金，以“拨投联动”推动产业集聚。深化政银企合作，创新金融产品、拓宽融资渠道，精准满足企业多元化融资需求。</w:t>
      </w:r>
    </w:p>
    <w:p w14:paraId="017152EE">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第三条 保障重点项目土地供应。</w:t>
      </w:r>
      <w:r>
        <w:rPr>
          <w:rFonts w:hint="eastAsia" w:ascii="仿宋_GB2312" w:hAnsi="仿宋_GB2312" w:eastAsia="仿宋_GB2312" w:cs="仿宋_GB2312"/>
          <w:b w:val="0"/>
          <w:bCs w:val="0"/>
          <w:sz w:val="32"/>
          <w:szCs w:val="32"/>
          <w:lang w:val="en-US" w:eastAsia="zh-CN"/>
        </w:rPr>
        <w:t>拓展产业空间，灵活采取先租后让、弹性年期等多元方式供应产业用地，保障企业合理用地需求。对符合中关村延庆园产业方向、具备核心引领与强带动效应的重大产业化项目，可弹性调整出让年限，并适当降低企业用地成本。</w:t>
      </w:r>
    </w:p>
    <w:p w14:paraId="19D402DD">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 支持企业实体入驻园区。</w:t>
      </w:r>
      <w:r>
        <w:rPr>
          <w:rFonts w:hint="eastAsia" w:ascii="仿宋_GB2312" w:hAnsi="仿宋_GB2312" w:eastAsia="仿宋_GB2312" w:cs="仿宋_GB2312"/>
          <w:sz w:val="32"/>
          <w:szCs w:val="32"/>
          <w:lang w:val="en-US" w:eastAsia="zh-CN"/>
        </w:rPr>
        <w:t>经认定的重点招引项目（企业或机构，含注册落地转为实体经营的项目）或存量贡献企业，在延庆园租赁厂房及办公场所开展研发、生产、办公等业务的，根据实际经营情况，按照实际租金最高50%给予支持，单个企业或机构每年最高不超过100万元。每家企业或机构累计享受支持不超过三年。</w:t>
      </w:r>
    </w:p>
    <w:p w14:paraId="4E14AAE8">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lang w:val="en-US" w:eastAsia="zh-CN"/>
        </w:rPr>
        <w:t>第五条 引导重点产业聚链成群。</w:t>
      </w:r>
      <w:r>
        <w:rPr>
          <w:rFonts w:hint="eastAsia" w:ascii="仿宋_GB2312" w:hAnsi="仿宋_GB2312" w:eastAsia="仿宋_GB2312" w:cs="仿宋_GB2312"/>
          <w:sz w:val="32"/>
          <w:szCs w:val="32"/>
          <w:lang w:val="en-US" w:eastAsia="zh-CN"/>
        </w:rPr>
        <w:t>经认定的链主企业、招商平台、孵化运营平台、专业服务机构等，引入企业入驻中关村延庆园经营并纳税的，可依据每家引进企业年度综合评价等级给予定额招引奖励，每家引进企业的奖励最高不</w:t>
      </w:r>
      <w:r>
        <w:rPr>
          <w:rFonts w:hint="eastAsia" w:ascii="仿宋_GB2312" w:hAnsi="仿宋_GB2312" w:eastAsia="仿宋_GB2312" w:cs="仿宋_GB2312"/>
          <w:spacing w:val="-6"/>
          <w:sz w:val="32"/>
          <w:szCs w:val="32"/>
          <w:lang w:val="en-US" w:eastAsia="zh-CN"/>
        </w:rPr>
        <w:t>超过300万元。引进企业次年综合评价等级提升的，补发奖励差额。</w:t>
      </w:r>
    </w:p>
    <w:p w14:paraId="2AB00A7A">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 助力园区企业提质增效。</w:t>
      </w:r>
      <w:r>
        <w:rPr>
          <w:rFonts w:hint="eastAsia" w:ascii="仿宋_GB2312" w:hAnsi="仿宋_GB2312" w:eastAsia="仿宋_GB2312" w:cs="仿宋_GB2312"/>
          <w:sz w:val="32"/>
          <w:szCs w:val="32"/>
          <w:lang w:val="en-US" w:eastAsia="zh-CN"/>
        </w:rPr>
        <w:t>对符合中关村延庆园重点产业发展方向且在延庆区纳统的规模以上企业，首次在延庆区纳统的，给予10万元专项奖励；对年度营业收入首次达到一定规模的，根据企业所属行业分档给予最高50万元定额奖励。</w:t>
      </w:r>
    </w:p>
    <w:p w14:paraId="0A06DCBE">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 附则。</w:t>
      </w:r>
      <w:r>
        <w:rPr>
          <w:rFonts w:hint="eastAsia" w:ascii="仿宋_GB2312" w:hAnsi="仿宋_GB2312" w:eastAsia="仿宋_GB2312" w:cs="仿宋_GB2312"/>
          <w:sz w:val="32"/>
          <w:szCs w:val="32"/>
          <w:lang w:val="en-US" w:eastAsia="zh-CN"/>
        </w:rPr>
        <w:t>对符合本政策</w:t>
      </w:r>
      <w:bookmarkStart w:id="0" w:name="_GoBack"/>
      <w:bookmarkEnd w:id="0"/>
      <w:r>
        <w:rPr>
          <w:rFonts w:hint="eastAsia" w:ascii="仿宋_GB2312" w:hAnsi="仿宋_GB2312" w:eastAsia="仿宋_GB2312" w:cs="仿宋_GB2312"/>
          <w:sz w:val="32"/>
          <w:szCs w:val="32"/>
          <w:lang w:val="en-US" w:eastAsia="zh-CN"/>
        </w:rPr>
        <w:t>支持范围的同一主体的同一项目，同时符合区级其他政策规定的，按照“从优不重复”原则予以支持，另有规定的除外。若遇国家、市级、区级相关政策调整，按最新政策规定执行。享受政策主体需无严重失信行为记录，未被列入严重违法失信主体名单。本措施由中关村科技园区延庆园管理委员会负责解释。</w:t>
      </w:r>
    </w:p>
    <w:p w14:paraId="704DFFD3">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pPr>
      <w:r>
        <w:rPr>
          <w:rFonts w:hint="eastAsia" w:ascii="仿宋_GB2312" w:hAnsi="仿宋_GB2312" w:eastAsia="仿宋_GB2312" w:cs="仿宋_GB2312"/>
          <w:b/>
          <w:bCs/>
          <w:sz w:val="32"/>
          <w:szCs w:val="32"/>
          <w:lang w:val="en-US" w:eastAsia="zh-CN"/>
        </w:rPr>
        <w:t>第八条 有效期。</w:t>
      </w:r>
      <w:r>
        <w:rPr>
          <w:rFonts w:hint="eastAsia" w:ascii="仿宋_GB2312" w:hAnsi="仿宋_GB2312" w:eastAsia="仿宋_GB2312" w:cs="仿宋_GB2312"/>
          <w:sz w:val="32"/>
          <w:szCs w:val="32"/>
          <w:lang w:val="en-US" w:eastAsia="zh-CN"/>
        </w:rPr>
        <w:t>本措施自发文之日起施行，有效期至2028年12月31日。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2E7FB4-1108-4477-A3D1-FBB6C2AE4C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B4A14A-BE50-4DFB-A6AF-2B01B3C67594}"/>
  </w:font>
  <w:font w:name="仿宋_GB2312">
    <w:panose1 w:val="02010609030101010101"/>
    <w:charset w:val="86"/>
    <w:family w:val="auto"/>
    <w:pitch w:val="default"/>
    <w:sig w:usb0="00000001" w:usb1="080E0000" w:usb2="00000000" w:usb3="00000000" w:csb0="00040000" w:csb1="00000000"/>
    <w:embedRegular r:id="rId3" w:fontKey="{A75CA04B-174A-4372-8200-5932ACDAF9C2}"/>
  </w:font>
  <w:font w:name="方正公文小标宋">
    <w:panose1 w:val="02000500000000000000"/>
    <w:charset w:val="86"/>
    <w:family w:val="auto"/>
    <w:pitch w:val="default"/>
    <w:sig w:usb0="A00002BF" w:usb1="38CF7CFA" w:usb2="00000016" w:usb3="00000000" w:csb0="00040001" w:csb1="00000000"/>
    <w:embedRegular r:id="rId4" w:fontKey="{4639F3FC-2DC0-450B-A735-B69D00CADEEE}"/>
  </w:font>
  <w:font w:name="方正小标宋简体">
    <w:panose1 w:val="03000509000000000000"/>
    <w:charset w:val="86"/>
    <w:family w:val="auto"/>
    <w:pitch w:val="default"/>
    <w:sig w:usb0="00000001" w:usb1="080E0000" w:usb2="00000000" w:usb3="00000000" w:csb0="00040000" w:csb1="00000000"/>
    <w:embedRegular r:id="rId5" w:fontKey="{39CCC0E8-E506-415E-BB51-6AA748759BD2}"/>
  </w:font>
  <w:font w:name="等线">
    <w:panose1 w:val="02010600030101010101"/>
    <w:charset w:val="86"/>
    <w:family w:val="auto"/>
    <w:pitch w:val="default"/>
    <w:sig w:usb0="A00002BF" w:usb1="38CF7CFA" w:usb2="00000016" w:usb3="00000000" w:csb0="0004000F" w:csb1="00000000"/>
    <w:embedRegular r:id="rId6" w:fontKey="{0AC4AD11-2A47-466A-ADFA-2B3F926D9D3E}"/>
  </w:font>
  <w:font w:name="楷体_GB2312">
    <w:panose1 w:val="02010609030101010101"/>
    <w:charset w:val="86"/>
    <w:family w:val="modern"/>
    <w:pitch w:val="default"/>
    <w:sig w:usb0="00000001" w:usb1="080E0000" w:usb2="00000000" w:usb3="00000000" w:csb0="00040000" w:csb1="00000000"/>
    <w:embedRegular r:id="rId7" w:fontKey="{087E69EA-EE71-42D7-84AC-053B7708F5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F9CE">
    <w:pPr>
      <w:pStyle w:val="2"/>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9F42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09F42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9318">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7F3E">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8F51">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2F59">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2EAC">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BEA2"/>
    <w:rsid w:val="1B712ABB"/>
    <w:rsid w:val="2BA769AB"/>
    <w:rsid w:val="3A50229F"/>
    <w:rsid w:val="7B3D0720"/>
    <w:rsid w:val="FFFFB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eastAsia="仿宋_GB2312" w:hAnsiTheme="minorHAnsi" w:cstheme="minorBidi"/>
      <w:kern w:val="2"/>
      <w:sz w:val="32"/>
      <w:szCs w:val="36"/>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d27c3-fd19-4d43-b9af-8f0b6971545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1005</Words>
  <Characters>1018</Characters>
  <Lines>0</Lines>
  <Paragraphs>0</Paragraphs>
  <TotalTime>1</TotalTime>
  <ScaleCrop>false</ScaleCrop>
  <LinksUpToDate>false</LinksUpToDate>
  <CharactersWithSpaces>1026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2026-04-23T18:12:00Z</dcterms:created>
  <dc:creator>uos</dc:creator>
  <cp:lastModifiedBy>剑啸九州</cp:lastModifiedBy>
  <dcterms:modified xsi:type="dcterms:W3CDTF">2026-04-24T06:55:05Z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eyJoZGlkIjoiNjVjNjA5Y2RmMGU3NmViM2Y4YTkzMjRmODNkN2Q1MGQiLCJ1c2VySWQiOiIzMTg0NzcxNDUifQ==</vt:lpwstr>
  </property>
  <property fmtid="{D5CDD505-2E9C-101B-9397-08002B2CF9AE}" pid="4" name="ICV">
    <vt:lpwstr>025D0ADABBC0441B9262F90272179F16_13</vt:lpwstr>
  </property>
</Properties>
</file>