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BC1CA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一图读懂-昌平区医药健康产业高质量发展行动计划（2026-2028年）</w:t>
      </w:r>
    </w:p>
    <w:bookmarkEnd w:id="0"/>
    <w:p w14:paraId="7A604AEE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来源：未来科学城管委会</w: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default"/>
          <w:lang w:val="en-US" w:eastAsia="zh-CN"/>
        </w:rPr>
        <w:t>时间：2026-04-01 16:01</w:t>
      </w:r>
    </w:p>
    <w:p w14:paraId="680D6E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19675" cy="7774940"/>
            <wp:effectExtent l="0" t="0" r="952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724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258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686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340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https://whlyj.beijing.gov.cn/zwgk/2024zcwj/202604/t20260421_4599944.html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8311F5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2026-04-22T07:03:26Z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E84FA9FC74BF4A04A28A88ECE73645EE_13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