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CF4B3">
      <w:pPr>
        <w:pStyle w:val="13"/>
        <w:bidi w:val="0"/>
        <w:rPr>
          <w:rFonts w:hint="default"/>
          <w:lang w:val="en-US" w:eastAsia="zh-CN"/>
        </w:rPr>
      </w:pPr>
      <w:bookmarkStart w:id="0" w:name="_GoBack"/>
      <w:r>
        <w:rPr>
          <w:rFonts w:hint="default"/>
          <w:lang w:val="en-US" w:eastAsia="zh-CN"/>
        </w:rPr>
        <w:t>北京市市场监督管理局2026年全面优化营商环境工作方案要点解读</w:t>
      </w:r>
    </w:p>
    <w:bookmarkEnd w:id="0"/>
    <w:p w14:paraId="081FB303">
      <w:pPr>
        <w:pStyle w:val="8"/>
        <w:bidi w:val="0"/>
        <w:rPr>
          <w:rFonts w:hint="default"/>
          <w:lang w:val="en-US" w:eastAsia="zh-CN"/>
        </w:rPr>
      </w:pPr>
      <w:r>
        <w:rPr>
          <w:rFonts w:hint="default"/>
          <w:lang w:val="en-US" w:eastAsia="zh-CN"/>
        </w:rPr>
        <w:t>时间:2026-04-17</w:t>
      </w:r>
      <w:r>
        <w:rPr>
          <w:rFonts w:hint="eastAsia"/>
          <w:lang w:val="en-US" w:eastAsia="zh-CN"/>
        </w:rPr>
        <w:t xml:space="preserve">                                </w:t>
      </w:r>
      <w:r>
        <w:rPr>
          <w:rFonts w:hint="default"/>
          <w:lang w:val="en-US" w:eastAsia="zh-CN"/>
        </w:rPr>
        <w:t>来源:北京市市场监督管理局</w:t>
      </w:r>
    </w:p>
    <w:p w14:paraId="00FAC33A">
      <w:pPr>
        <w:pStyle w:val="2"/>
        <w:bidi w:val="0"/>
        <w:rPr>
          <w:rFonts w:hint="default"/>
          <w:lang w:val="en-US" w:eastAsia="zh-CN"/>
        </w:rPr>
      </w:pPr>
      <w:r>
        <w:rPr>
          <w:rFonts w:hint="default"/>
          <w:lang w:val="en-US" w:eastAsia="zh-CN"/>
        </w:rPr>
        <w:t>一、《工作方案》在提升市场准入服务规范化水平方面有哪些具体举措？</w:t>
      </w:r>
    </w:p>
    <w:p w14:paraId="0E564283">
      <w:pPr>
        <w:ind w:firstLine="560" w:firstLineChars="200"/>
        <w:rPr>
          <w:rFonts w:hint="default"/>
          <w:lang w:val="en-US" w:eastAsia="zh-CN"/>
        </w:rPr>
      </w:pPr>
      <w:r>
        <w:rPr>
          <w:rFonts w:hint="default"/>
          <w:lang w:val="en-US" w:eastAsia="zh-CN"/>
        </w:rPr>
        <w:t>一是规范登记注册文书表格。系统梳理全类型经营主体、全流程登记业务的办理要求，全面更新近40项登记注册一次性告知单和文书表格，进一步细化填报规范、材料清单、办理时限等关键信息，切实减少企业跑动，提升办事获得感。研究制定公司登记注册服务规范，明确公司注册业务的办理条件、流程节点和服务标准，统一规范办理要求，构建开放透明、规范有序、权责清晰、便捷高效的市场准入制度。</w:t>
      </w:r>
    </w:p>
    <w:p w14:paraId="62B54FBA">
      <w:pPr>
        <w:ind w:firstLine="560" w:firstLineChars="200"/>
        <w:rPr>
          <w:rFonts w:hint="default"/>
          <w:lang w:val="en-US" w:eastAsia="zh-CN"/>
        </w:rPr>
      </w:pPr>
      <w:r>
        <w:rPr>
          <w:rFonts w:hint="default"/>
          <w:lang w:val="en-US" w:eastAsia="zh-CN"/>
        </w:rPr>
        <w:t>二是规范经营范围便利化登记模式。持续深化经营范围规范化改革，以经营范围规范条目为基础，向经营主体精准推送涉企政策，实现惠企政策“直达快享”。聚焦新兴产业和未来产业，推出量子科技、商业航天、人形机器人等场景化经营范围主题套餐，支持企业一键点选经营范围规范条目，提升企业办事效率。进一步拓展自主公示特色经营范围行业领域，支持更多经营主体自主展示特色经营活动，统筹实现经营范围登记服务的规范化和个性化平衡。</w:t>
      </w:r>
    </w:p>
    <w:p w14:paraId="60040B5E">
      <w:pPr>
        <w:ind w:firstLine="560" w:firstLineChars="200"/>
        <w:rPr>
          <w:rFonts w:hint="default"/>
          <w:lang w:val="en-US" w:eastAsia="zh-CN"/>
        </w:rPr>
      </w:pPr>
      <w:r>
        <w:rPr>
          <w:rFonts w:hint="default"/>
          <w:lang w:val="en-US" w:eastAsia="zh-CN"/>
        </w:rPr>
        <w:t>三是规范关键环节系统支撑。一方面，建立全市统一的经营场所（住所）标准化信息库，在全市范围内推广经营场所（住所）标准化登记模式，实现地址信息智能匹配、在线校验，支持申请人免于提交书面住所证明材料。另一方面，持续优化“e窗通”智能导办功能，优化智能问答服务，推动实现登记注册“边聊边办”，通过在线咨询、智能引导、全程帮办的模式，实现“线上办、便捷办”，切实提升企业办事体验。</w:t>
      </w:r>
    </w:p>
    <w:p w14:paraId="1FBC2AE9">
      <w:pPr>
        <w:pStyle w:val="2"/>
        <w:bidi w:val="0"/>
        <w:rPr>
          <w:rFonts w:hint="default"/>
          <w:lang w:val="en-US" w:eastAsia="zh-CN"/>
        </w:rPr>
      </w:pPr>
      <w:r>
        <w:rPr>
          <w:rFonts w:hint="default"/>
          <w:lang w:val="en-US" w:eastAsia="zh-CN"/>
        </w:rPr>
        <w:t>二、如何申请首都标准化战略补助资金？</w:t>
      </w:r>
    </w:p>
    <w:p w14:paraId="7CDF7323">
      <w:pPr>
        <w:ind w:firstLine="560" w:firstLineChars="200"/>
        <w:rPr>
          <w:rFonts w:hint="default"/>
          <w:lang w:val="en-US" w:eastAsia="zh-CN"/>
        </w:rPr>
      </w:pPr>
      <w:r>
        <w:rPr>
          <w:rFonts w:hint="default"/>
          <w:lang w:val="en-US" w:eastAsia="zh-CN"/>
        </w:rPr>
        <w:t>为贯彻落实《首都标准化发展纲要2035》，充分发挥标准化在促进首都科技创新、引领产业升级、支撑对外开放、规范社会治理等方面的积极作用，推动首都高质量发展，2024年6月12日，北京市市场监督管理局、北京市财政局联合印发《实施首都标准化战略补助资金管理办法》的通知。我局根据该办法，每年发布《北京市市场监督管理局关于征集实施首都标准化战略补助资金项目的通知》（以下简称《通知》），启动实施首都标准化战略补助资金申请受理工作。《通知》具体规定了申请流程、申报时间，所需材料、申报渠道等内容，申报单位可通过北京市人民政府门户网站“政策兑现”频道、北京市市场监督管理局官网-政策公开-政策文件或北京市市场监督管理局微信公众号-“北京市场监管”获取《通知》具体要求。</w:t>
      </w:r>
    </w:p>
    <w:p w14:paraId="5AC73B53">
      <w:pPr>
        <w:pStyle w:val="2"/>
        <w:bidi w:val="0"/>
        <w:rPr>
          <w:rFonts w:hint="default"/>
          <w:lang w:val="en-US" w:eastAsia="zh-CN"/>
        </w:rPr>
      </w:pPr>
      <w:r>
        <w:rPr>
          <w:rFonts w:hint="default"/>
          <w:lang w:val="en-US" w:eastAsia="zh-CN"/>
        </w:rPr>
        <w:t>三、市场监管部门推出的信用修复“免申即享”政策具体是什么？</w:t>
      </w:r>
    </w:p>
    <w:p w14:paraId="70ACE06D">
      <w:pPr>
        <w:ind w:firstLine="560" w:firstLineChars="200"/>
        <w:rPr>
          <w:rFonts w:hint="default"/>
          <w:lang w:val="en-US" w:eastAsia="zh-CN"/>
        </w:rPr>
      </w:pPr>
      <w:r>
        <w:rPr>
          <w:rFonts w:hint="default"/>
          <w:lang w:val="en-US" w:eastAsia="zh-CN"/>
        </w:rPr>
        <w:t>市场监管部门的信用修复是指对国家企业信用信息公示系统依法公示的市场监管领域行政处罚、抽查检查结果负面信息、列入经营异常名录、列入市场监管严重违法失信名单等信息，在当事人履行相关义务、纠正失信行为，改善自身信用状况后提出申请，或者在公示期届满时，由市场监管部门停止公示相关信息，将当事人移出经营异常名录、市场监管严重违法失信名单。</w:t>
      </w:r>
    </w:p>
    <w:p w14:paraId="7A725450">
      <w:pPr>
        <w:ind w:firstLine="560" w:firstLineChars="200"/>
        <w:rPr>
          <w:rFonts w:hint="default"/>
          <w:lang w:val="en-US" w:eastAsia="zh-CN"/>
        </w:rPr>
      </w:pPr>
      <w:r>
        <w:rPr>
          <w:rFonts w:hint="default"/>
          <w:lang w:val="en-US" w:eastAsia="zh-CN"/>
        </w:rPr>
        <w:t>为进一步便利当事人，市场监管部门推出信用修复“免申即享”政策，对于因未按时年报被列入经营异常名录的企业、个体工商户、农民专业合作社，补报年报后，市场监管部门自动将其移出经营异常名录，经营主体免于申请即可实现修复。</w:t>
      </w:r>
    </w:p>
    <w:p w14:paraId="0B158078">
      <w:pPr>
        <w:pStyle w:val="2"/>
        <w:bidi w:val="0"/>
        <w:rPr>
          <w:rFonts w:hint="default"/>
          <w:lang w:val="en-US" w:eastAsia="zh-CN"/>
        </w:rPr>
      </w:pPr>
      <w:r>
        <w:rPr>
          <w:rFonts w:hint="default"/>
          <w:lang w:val="en-US" w:eastAsia="zh-CN"/>
        </w:rPr>
        <w:t>四、《工作方案》对于强化公平竞争审查刚性约束有哪些做法？</w:t>
      </w:r>
    </w:p>
    <w:p w14:paraId="14E0B1CE">
      <w:pPr>
        <w:ind w:firstLine="560" w:firstLineChars="200"/>
        <w:rPr>
          <w:rFonts w:hint="default"/>
          <w:lang w:val="en-US" w:eastAsia="zh-CN"/>
        </w:rPr>
      </w:pPr>
      <w:r>
        <w:rPr>
          <w:rFonts w:hint="default"/>
          <w:lang w:val="en-US" w:eastAsia="zh-CN"/>
        </w:rPr>
        <w:t>贯彻《公平竞争审查条例》，推动各单位落实审查主体责任，对拟出台涉及经营者经济活动的政策措施做到应审尽审，加大产业发展、政府采购等领域审查力度，从源头防止出台妨碍统一市场和公平竞争的政策措施。制定公平竞争审查抽查方案，围绕破除地方保护、市场分割等突出问题，加大对重点领域、特定行业政策措施的抽查力度。</w:t>
      </w:r>
    </w:p>
    <w:p w14:paraId="100C2C55">
      <w:pPr>
        <w:pStyle w:val="2"/>
        <w:bidi w:val="0"/>
        <w:rPr>
          <w:rFonts w:hint="default"/>
          <w:lang w:val="en-US" w:eastAsia="zh-CN"/>
        </w:rPr>
      </w:pPr>
      <w:r>
        <w:rPr>
          <w:rFonts w:hint="default"/>
          <w:lang w:val="en-US" w:eastAsia="zh-CN"/>
        </w:rPr>
        <w:t>五、如何推动“人工智能生成内容+视听”领域商业秘密保护服务中心建设？</w:t>
      </w:r>
    </w:p>
    <w:p w14:paraId="099AAA83">
      <w:pPr>
        <w:ind w:firstLine="560" w:firstLineChars="200"/>
        <w:rPr>
          <w:rFonts w:hint="default"/>
          <w:lang w:val="en-US" w:eastAsia="zh-CN"/>
        </w:rPr>
      </w:pPr>
      <w:r>
        <w:rPr>
          <w:rFonts w:hint="default"/>
          <w:lang w:val="en-US" w:eastAsia="zh-CN"/>
        </w:rPr>
        <w:t>因地制宜根据区域产业发展实际，积极探索商业秘密保护模式制度创新。通过前期行业调研及筛选比较，选择本市具有代表性的AI+视听等重点细分行业领域，在政策落实上聚焦产业服务保障，探索打造行业商业秘密保护中心，从前端建立企业、行业协会、政府等多方协同保护模式，到后端同步完善打击与维权的双向发力机制。</w:t>
      </w:r>
    </w:p>
    <w:p w14:paraId="5679E17E">
      <w:pPr>
        <w:pStyle w:val="2"/>
        <w:bidi w:val="0"/>
        <w:rPr>
          <w:rFonts w:hint="default"/>
          <w:lang w:val="en-US" w:eastAsia="zh-CN"/>
        </w:rPr>
      </w:pPr>
      <w:r>
        <w:rPr>
          <w:rFonts w:hint="default"/>
          <w:lang w:val="en-US" w:eastAsia="zh-CN"/>
        </w:rPr>
        <w:t>六、《工作方案》中提出加强涉企行政检查管理、提升“扫码检查”规范化水平，具体如何落实？</w:t>
      </w:r>
    </w:p>
    <w:p w14:paraId="3B9784E4">
      <w:pPr>
        <w:ind w:firstLine="560" w:firstLineChars="200"/>
        <w:rPr>
          <w:rFonts w:hint="default"/>
          <w:lang w:val="en-US" w:eastAsia="zh-CN"/>
        </w:rPr>
      </w:pPr>
      <w:r>
        <w:rPr>
          <w:rFonts w:hint="default"/>
          <w:lang w:val="en-US" w:eastAsia="zh-CN"/>
        </w:rPr>
        <w:t>一是畅通问题反馈渠道。依托“京通”小程序，搭建专门的企业监督反馈通道，企业如在接受行政检查过程中发现的执法人员未扫码、检查标准不清晰等不规范行为，可积极进行线上反馈，以政企协同监督，推动改革工作提质增效。</w:t>
      </w:r>
    </w:p>
    <w:p w14:paraId="6AAC330B">
      <w:pPr>
        <w:ind w:firstLine="560" w:firstLineChars="200"/>
        <w:rPr>
          <w:rFonts w:hint="default"/>
          <w:lang w:val="en-US" w:eastAsia="zh-CN"/>
        </w:rPr>
      </w:pPr>
      <w:r>
        <w:rPr>
          <w:rFonts w:hint="default"/>
          <w:lang w:val="en-US" w:eastAsia="zh-CN"/>
        </w:rPr>
        <w:t>二是严格实施“扫码检查”。监管人员必须扫描经营主体营业执照上的“企业码”，才能实施行政检查和各类现场访企活动，实现检查全流程电子化、标准化、规范化管理。</w:t>
      </w:r>
    </w:p>
    <w:p w14:paraId="58B3D97A">
      <w:pPr>
        <w:ind w:firstLine="560" w:firstLineChars="200"/>
        <w:rPr>
          <w:rFonts w:hint="default"/>
          <w:lang w:val="en-US" w:eastAsia="zh-CN"/>
        </w:rPr>
      </w:pPr>
      <w:r>
        <w:rPr>
          <w:rFonts w:hint="default"/>
          <w:lang w:val="en-US" w:eastAsia="zh-CN"/>
        </w:rPr>
        <w:t>三是全面推行“亮码告知”。执法人员完成扫码报到后，主动向企业出示“检查码”。企业扫描“检查码”后可以查看检查依据、检查内容等关键信息。执法人员对照检查单开展检查，检查结束后及时通过“京通”小程序，将检查结果推送给企业，让企业知晓检查内容和检查标准。</w:t>
      </w:r>
    </w:p>
    <w:p w14:paraId="24C9865A">
      <w:pPr>
        <w:pStyle w:val="2"/>
        <w:bidi w:val="0"/>
        <w:rPr>
          <w:rFonts w:hint="default"/>
          <w:lang w:val="en-US" w:eastAsia="zh-CN"/>
        </w:rPr>
      </w:pPr>
      <w:r>
        <w:rPr>
          <w:rFonts w:hint="default"/>
          <w:lang w:val="en-US" w:eastAsia="zh-CN"/>
        </w:rPr>
        <w:t>七、如何开展服务型执法工作？</w:t>
      </w:r>
    </w:p>
    <w:p w14:paraId="2FC7A0CA">
      <w:pPr>
        <w:ind w:firstLine="560" w:firstLineChars="200"/>
        <w:rPr>
          <w:rFonts w:hint="default"/>
          <w:lang w:val="en-US" w:eastAsia="zh-CN"/>
        </w:rPr>
      </w:pPr>
      <w:r>
        <w:rPr>
          <w:rFonts w:hint="default"/>
          <w:lang w:val="en-US" w:eastAsia="zh-CN"/>
        </w:rPr>
        <w:t>市场监管部门将统筹执法“力度”与“温度”，坚持执法与服务相统一、守底线和促发展相结合，深入推进服务型执法。动态调整北京市市场监督管理局轻微违法行为容错纠错清单，完善行政处罚裁量权基准，更好运用提醒告诫、行政指导等方式，坚持惩教结合，引导经营主体自觉守法，落实主体责任。</w:t>
      </w:r>
    </w:p>
    <w:p w14:paraId="65DC19DD">
      <w:pPr>
        <w:rPr>
          <w:rFonts w:hint="default"/>
          <w:lang w:val="en-US" w:eastAsia="zh-CN"/>
        </w:rPr>
      </w:pPr>
      <w:r>
        <w:rPr>
          <w:rFonts w:hint="default"/>
          <w:lang w:val="en-US" w:eastAsia="zh-CN"/>
        </w:rPr>
        <w:t>https://scjgj.beijing.gov.cn/zwxx/2024zcjd/202604/t20260417_4586836.html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4A0E57"/>
    <w:rsid w:val="515B6E68"/>
    <w:rsid w:val="52025F45"/>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1332B0C"/>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2026-04-20T09:48:20Z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048F7A1565634FB68B7AD02694585537_13</vt:lpwstr>
  </property>
  <property fmtid="{D5CDD505-2E9C-101B-9397-08002B2CF9AE}" pid="4" name="KSOTemplateDocerSaveRecord">
    <vt:lpwstr>eyJoZGlkIjoiMjIxMjI5YjhlNTAxYzUyOTYyYWZlMGFjYmE4ZTczY2EiLCJ1c2VySWQiOiIxNDU2NzYxMDUwIn0=</vt:lpwstr>
  </property>
</Properties>
</file>