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9F410">
      <w:pPr>
        <w:pStyle w:val="13"/>
        <w:bidi w:val="0"/>
        <w:rPr>
          <w:rFonts w:hint="default"/>
          <w:lang w:val="en-US" w:eastAsia="zh-CN"/>
        </w:rPr>
      </w:pPr>
      <w:bookmarkStart w:id="0" w:name="_GoBack"/>
      <w:r>
        <w:rPr>
          <w:rFonts w:hint="default"/>
          <w:lang w:val="en-US" w:eastAsia="zh-CN"/>
        </w:rPr>
        <w:t>关于《昌平区支持脑科学与脑机接口产业发展的若干措施》的政策解读</w:t>
      </w:r>
    </w:p>
    <w:bookmarkEnd w:id="0"/>
    <w:p w14:paraId="00F1B5E0">
      <w:pPr>
        <w:pStyle w:val="8"/>
        <w:bidi w:val="0"/>
        <w:rPr>
          <w:rFonts w:hint="default"/>
          <w:lang w:val="en-US" w:eastAsia="zh-CN"/>
        </w:rPr>
      </w:pPr>
      <w:r>
        <w:rPr>
          <w:rFonts w:hint="default"/>
          <w:lang w:val="en-US" w:eastAsia="zh-CN"/>
        </w:rPr>
        <w:t>来源：未来城管委会,区科委,区经信局</w:t>
      </w:r>
      <w:r>
        <w:rPr>
          <w:rFonts w:hint="eastAsia"/>
          <w:lang w:val="en-US" w:eastAsia="zh-CN"/>
        </w:rPr>
        <w:t xml:space="preserve">                 </w:t>
      </w:r>
      <w:r>
        <w:rPr>
          <w:rFonts w:hint="default"/>
          <w:lang w:val="en-US" w:eastAsia="zh-CN"/>
        </w:rPr>
        <w:t>时间：2026-04-17 15:32</w:t>
      </w:r>
    </w:p>
    <w:p w14:paraId="6DDA0090">
      <w:pPr>
        <w:ind w:firstLine="560" w:firstLineChars="200"/>
        <w:rPr>
          <w:rFonts w:hint="default"/>
          <w:lang w:val="en-US" w:eastAsia="zh-CN"/>
        </w:rPr>
      </w:pPr>
      <w:r>
        <w:rPr>
          <w:rFonts w:hint="default"/>
          <w:lang w:val="en-US" w:eastAsia="zh-CN"/>
        </w:rPr>
        <w:t>近日，北京市昌平区发布了《昌平区支持脑科学与脑机接口产业发展的若干措施》（以下简称《若干措施》），现将有关政策解读如下：</w:t>
      </w:r>
    </w:p>
    <w:p w14:paraId="37F7E54C">
      <w:pPr>
        <w:pStyle w:val="2"/>
        <w:bidi w:val="0"/>
        <w:rPr>
          <w:rFonts w:hint="default"/>
          <w:lang w:val="en-US" w:eastAsia="zh-CN"/>
        </w:rPr>
      </w:pPr>
      <w:r>
        <w:rPr>
          <w:rFonts w:hint="default"/>
          <w:lang w:val="en-US" w:eastAsia="zh-CN"/>
        </w:rPr>
        <w:t>一、出台背景</w:t>
      </w:r>
    </w:p>
    <w:p w14:paraId="26F896D3">
      <w:pPr>
        <w:ind w:firstLine="560" w:firstLineChars="200"/>
        <w:rPr>
          <w:rFonts w:hint="default"/>
          <w:lang w:val="en-US" w:eastAsia="zh-CN"/>
        </w:rPr>
      </w:pPr>
      <w:r>
        <w:rPr>
          <w:rFonts w:hint="default"/>
          <w:lang w:val="en-US" w:eastAsia="zh-CN"/>
        </w:rPr>
        <w:t>2025年国家七部门联合印发《关于推动脑机接口产业创新发展的实施意见》，北京市科委、市经信局联合印发《加快北京市脑机接口创新发展行动方案（2025-2030年）》，对加快推动产业发展作出系列重要部署。昌平区是北京国际科创中心的核心承载区，凭借科研、人才、临床三大核心资源集聚，形成产学研医深度融合的全链条产业生态，实现从技术研发到临床应用的全布局，是国内发展脑机接口产业资源最优、转化效率最高的核心区域之一。围绕打造具有全球影响力的脑科学与脑机接口产业高地目标，落实国家和北京市产业部署，结合昌平区实际，制定本措施。</w:t>
      </w:r>
    </w:p>
    <w:p w14:paraId="0330E88D">
      <w:pPr>
        <w:pStyle w:val="2"/>
        <w:bidi w:val="0"/>
        <w:rPr>
          <w:rFonts w:hint="default"/>
          <w:lang w:val="en-US" w:eastAsia="zh-CN"/>
        </w:rPr>
      </w:pPr>
      <w:r>
        <w:rPr>
          <w:rFonts w:hint="default"/>
          <w:lang w:val="en-US" w:eastAsia="zh-CN"/>
        </w:rPr>
        <w:t>二、主要内容</w:t>
      </w:r>
    </w:p>
    <w:p w14:paraId="06B80DD3">
      <w:pPr>
        <w:ind w:firstLine="560" w:firstLineChars="200"/>
        <w:rPr>
          <w:rFonts w:hint="default"/>
          <w:lang w:val="en-US" w:eastAsia="zh-CN"/>
        </w:rPr>
      </w:pPr>
      <w:r>
        <w:rPr>
          <w:rFonts w:hint="default"/>
          <w:lang w:val="en-US" w:eastAsia="zh-CN"/>
        </w:rPr>
        <w:t>《若干措施》共八条，均为现有政策集成条款，归集了《昌平区加快高新技术企业培育发展支持办法》、《中国（北京）自贸试验区科技创新片区昌平组团促进医药健康产业发展支持办法》、《昌平区促进先进制造业发展暂行办法》、《昌平区加快独角兽、专精特新企业培育发展支持办法》、《昌平区高层次科技创新人才集聚发展工程实施细则（试行）》、《关于进一步加大市政府固定资产投资力度支持重点产业聚集区建设的意见》等现有政策。</w:t>
      </w:r>
    </w:p>
    <w:p w14:paraId="1F4236E9">
      <w:pPr>
        <w:ind w:firstLine="560" w:firstLineChars="200"/>
        <w:rPr>
          <w:rFonts w:hint="default"/>
          <w:lang w:val="en-US" w:eastAsia="zh-CN"/>
        </w:rPr>
      </w:pPr>
      <w:r>
        <w:rPr>
          <w:rFonts w:hint="default"/>
          <w:lang w:val="en-US" w:eastAsia="zh-CN"/>
        </w:rPr>
        <w:t>《若干措施》从三大方面加大对脑科学与脑机接口产业支持力度：</w:t>
      </w:r>
    </w:p>
    <w:p w14:paraId="714979D1">
      <w:pPr>
        <w:ind w:firstLine="560" w:firstLineChars="200"/>
        <w:rPr>
          <w:rFonts w:hint="default"/>
          <w:lang w:val="en-US" w:eastAsia="zh-CN"/>
        </w:rPr>
      </w:pPr>
      <w:r>
        <w:rPr>
          <w:rFonts w:hint="default"/>
          <w:lang w:val="en-US" w:eastAsia="zh-CN"/>
        </w:rPr>
        <w:t>一是支持技术创新突破。对承接国家和市级重大任务、获评国家和市级重要资质的前沿技术研发平台，依据相关规定在空间、资金、服务等方面予以配套支持。对在昌建设的各类共性技术服务平台，依据其服务内容和效果，经认定后可按照重大项目落地政策给予一次性资金支持。鼓励引导科研设施设备开放共享，对研发投入达到一定规模的初创型企业，经认定后给予相应补贴，降低企业早期研发成本。每年安排概念验证资金，支持临床科技成果加速验证转化。集中支持创新产品开发，对获得三类及重大二类医疗器械注册证的产品给予一次性资金奖励。</w:t>
      </w:r>
    </w:p>
    <w:p w14:paraId="0C32A08B">
      <w:pPr>
        <w:ind w:firstLine="560" w:firstLineChars="200"/>
        <w:rPr>
          <w:rFonts w:hint="default"/>
          <w:lang w:val="en-US" w:eastAsia="zh-CN"/>
        </w:rPr>
      </w:pPr>
      <w:r>
        <w:rPr>
          <w:rFonts w:hint="default"/>
          <w:lang w:val="en-US" w:eastAsia="zh-CN"/>
        </w:rPr>
        <w:t>二是支持企业集群发展。统筹空间与规划资源，通过弹性出让、先租后让、租买结合等方式降低用地成本、保障用地需求，引导企业和项目在集聚区集中布局。对具有全局性、战略性意义的重大项目，经认定后按照市、区有关政策给予一次性资金支持。对固定资产投资达到一定规模的项目，按照市、区有关政策给予一定比例的投资补贴。综合采取招投联动、拨投结合等方式，支持各类创新主体加快落地。整合空间、基金与平台等资源，构建“园区+投资+孵化+临床”四位一体服务体系，营造“拎包入住、全程陪跑”的企业服务环境。</w:t>
      </w:r>
    </w:p>
    <w:p w14:paraId="12BE4E58">
      <w:pPr>
        <w:ind w:firstLine="560" w:firstLineChars="200"/>
        <w:rPr>
          <w:rFonts w:hint="default"/>
          <w:lang w:val="en-US" w:eastAsia="zh-CN"/>
        </w:rPr>
      </w:pPr>
      <w:r>
        <w:rPr>
          <w:rFonts w:hint="default"/>
          <w:lang w:val="en-US" w:eastAsia="zh-CN"/>
        </w:rPr>
        <w:t>三是支持产业生态构建。加强对脑科学与脑机接口领域应用场景的前瞻谋划、项目发掘和引导扶持，协同有关部门推动具备条件的产品进医院、入医保、快应用，鼓励采取政府采购、购买服务等方式推动创新产品率先试点示范。健全产业链供需对接机制，促进上下游企业携手合作发展。用好“两区”政策，积极推进重点领域制度创新和改革探索，促进各类产业要素高效有序流动。按照市场化原则支持举办高水平论坛、展会和赛事活动，深化开放合作，增强产业黏性</w:t>
      </w:r>
    </w:p>
    <w:p w14:paraId="7139BCD1">
      <w:pPr>
        <w:pStyle w:val="2"/>
        <w:bidi w:val="0"/>
        <w:rPr>
          <w:rFonts w:hint="default"/>
          <w:lang w:val="en-US" w:eastAsia="zh-CN"/>
        </w:rPr>
      </w:pPr>
      <w:r>
        <w:rPr>
          <w:rFonts w:hint="default"/>
          <w:lang w:val="en-US" w:eastAsia="zh-CN"/>
        </w:rPr>
        <w:t>三、申报流程</w:t>
      </w:r>
    </w:p>
    <w:p w14:paraId="4F38E3BB">
      <w:pPr>
        <w:ind w:firstLine="560" w:firstLineChars="200"/>
        <w:rPr>
          <w:rFonts w:hint="default"/>
          <w:lang w:val="en-US" w:eastAsia="zh-CN"/>
        </w:rPr>
      </w:pPr>
      <w:r>
        <w:rPr>
          <w:rFonts w:hint="default"/>
          <w:lang w:val="en-US" w:eastAsia="zh-CN"/>
        </w:rPr>
        <w:t>符合条件的申报对象向北京未来科学城管理委员会（北京中关村生命科学园管理委员会）提出申请，管委会通过政策兑现相关审核程序完成兑现。同一项目、同一事项同时符合本措施多项条款或昌平区其他扶持政策的，按照“从优不重复”原则予以支持。符合北京市市级其他扶持政策规定的，可申请同时享受市、区两级政策支持，另有规定的除外。本措施由北京未来科学城管理委员会（北京中关村生命科学园管理委员会）负责解释，自发布之日起施行，有效期3年，施行期间，如遇国家、北京市相关政策调整，将做相应调整。</w:t>
      </w:r>
    </w:p>
    <w:p w14:paraId="717D3D35">
      <w:pPr>
        <w:ind w:firstLine="560" w:firstLineChars="200"/>
        <w:rPr>
          <w:rFonts w:hint="default"/>
          <w:lang w:val="en-US" w:eastAsia="zh-CN"/>
        </w:rPr>
      </w:pPr>
      <w:r>
        <w:rPr>
          <w:rFonts w:hint="default"/>
          <w:lang w:val="en-US" w:eastAsia="zh-CN"/>
        </w:rPr>
        <w:t>https://www.bjchp.gov.cn/cpqzf/xxgk2671/cpqzcjd/2026041715344749074/index.html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505020B9"/>
    <w:rsid w:val="514A0E57"/>
    <w:rsid w:val="515B6E68"/>
    <w:rsid w:val="52025F45"/>
    <w:rsid w:val="52511EB8"/>
    <w:rsid w:val="528945A2"/>
    <w:rsid w:val="542E4E18"/>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8"/>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9"/>
    <w:unhideWhenUsed/>
    <w:qFormat/>
    <w:uiPriority w:val="99"/>
    <w:pPr>
      <w:tabs>
        <w:tab w:val="center" w:pos="4153"/>
        <w:tab w:val="right" w:pos="8306"/>
      </w:tabs>
      <w:snapToGrid w:val="0"/>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1"/>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25"/>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字符"/>
    <w:basedOn w:val="16"/>
    <w:link w:val="13"/>
    <w:qFormat/>
    <w:uiPriority w:val="10"/>
    <w:rPr>
      <w:rFonts w:ascii="华文中宋" w:hAnsi="华文中宋" w:eastAsia="华文中宋" w:cs="Times New Roman"/>
      <w:b/>
      <w:bCs/>
      <w:sz w:val="32"/>
      <w:szCs w:val="32"/>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标题 4 Char1"/>
    <w:link w:val="5"/>
    <w:qFormat/>
    <w:uiPriority w:val="9"/>
    <w:rPr>
      <w:rFonts w:ascii="仿宋_GB2312" w:hAnsi="仿宋_GB2312" w:eastAsia="仿宋_GB2312"/>
    </w:rPr>
  </w:style>
  <w:style w:type="character" w:customStyle="1" w:styleId="29">
    <w:name w:val="页脚 字符"/>
    <w:basedOn w:val="16"/>
    <w:link w:val="9"/>
    <w:qFormat/>
    <w:uiPriority w:val="99"/>
    <w:rPr>
      <w:sz w:val="18"/>
      <w:szCs w:val="18"/>
    </w:rPr>
  </w:style>
  <w:style w:type="character" w:customStyle="1" w:styleId="30">
    <w:name w:val="页眉 字符"/>
    <w:basedOn w:val="16"/>
    <w:link w:val="10"/>
    <w:qFormat/>
    <w:uiPriority w:val="99"/>
    <w:rPr>
      <w:sz w:val="18"/>
      <w:szCs w:val="18"/>
    </w:rPr>
  </w:style>
  <w:style w:type="character" w:customStyle="1" w:styleId="31">
    <w:name w:val="副标题 字符"/>
    <w:basedOn w:val="16"/>
    <w:link w:val="11"/>
    <w:qFormat/>
    <w:uiPriority w:val="11"/>
    <w:rPr>
      <w:rFonts w:ascii="仿宋_GB2312" w:eastAsia="仿宋_GB2312"/>
      <w:b/>
      <w:bCs/>
      <w:kern w:val="28"/>
      <w:sz w:val="28"/>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2026-04-20T09:43:34Z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88B08E31653B442E8877D7A369AEE211_13</vt:lpwstr>
  </property>
  <property fmtid="{D5CDD505-2E9C-101B-9397-08002B2CF9AE}" pid="4" name="KSOTemplateDocerSaveRecord">
    <vt:lpwstr>eyJoZGlkIjoiMjIxMjI5YjhlNTAxYzUyOTYyYWZlMGFjYmE4ZTczY2EiLCJ1c2VySWQiOiIxNDU2NzYxMDUwIn0=</vt:lpwstr>
  </property>
</Properties>
</file>