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B1C1F">
      <w:pPr>
        <w:pStyle w:val="10"/>
        <w:bidi w:val="0"/>
        <w:rPr>
          <w:rFonts w:hint="default"/>
          <w:lang w:val="en-US" w:eastAsia="zh-CN"/>
        </w:rPr>
      </w:pPr>
      <w:bookmarkStart w:id="0" w:name="_GoBack"/>
      <w:r>
        <w:rPr>
          <w:rFonts w:hint="default"/>
          <w:lang w:val="en-US" w:eastAsia="zh-CN"/>
        </w:rPr>
        <w:t>《加力推进石化化工行业</w:t>
      </w:r>
      <w:r>
        <w:rPr>
          <w:rFonts w:hint="eastAsia"/>
          <w:lang w:val="en-US" w:eastAsia="zh-CN"/>
        </w:rPr>
        <w:t>2</w:t>
      </w:r>
      <w:r>
        <w:rPr>
          <w:rFonts w:hint="default"/>
          <w:lang w:val="en-US" w:eastAsia="zh-CN"/>
        </w:rPr>
        <w:t>老旧装置更新改造行动方案（2026－2029年）》解读</w:t>
      </w:r>
    </w:p>
    <w:bookmarkEnd w:id="0"/>
    <w:p w14:paraId="1FD59709">
      <w:pPr>
        <w:pStyle w:val="8"/>
        <w:bidi w:val="0"/>
        <w:rPr>
          <w:rFonts w:hint="default"/>
          <w:lang w:val="en-US" w:eastAsia="zh-CN"/>
        </w:rPr>
      </w:pPr>
      <w:r>
        <w:rPr>
          <w:rFonts w:hint="default"/>
          <w:lang w:val="en-US" w:eastAsia="zh-CN"/>
        </w:rPr>
        <w:t>发布时间：2026-04-03 09:59</w:t>
      </w:r>
      <w:r>
        <w:rPr>
          <w:rFonts w:hint="eastAsia"/>
          <w:lang w:val="en-US" w:eastAsia="zh-CN"/>
        </w:rPr>
        <w:t xml:space="preserve">                             </w:t>
      </w:r>
      <w:r>
        <w:rPr>
          <w:rFonts w:hint="default"/>
          <w:lang w:val="en-US" w:eastAsia="zh-CN"/>
        </w:rPr>
        <w:t>来源：原材料工业司</w:t>
      </w:r>
    </w:p>
    <w:p w14:paraId="78972A6B">
      <w:pPr>
        <w:ind w:firstLine="560" w:firstLineChars="200"/>
        <w:rPr>
          <w:rFonts w:hint="default"/>
          <w:lang w:val="en-US" w:eastAsia="zh-CN"/>
        </w:rPr>
      </w:pPr>
      <w:r>
        <w:rPr>
          <w:rFonts w:hint="default"/>
          <w:lang w:val="en-US" w:eastAsia="zh-CN"/>
        </w:rPr>
        <w:t>近日，工业和信息化部、国家发展改革委、生态环境部、应急管理部、中国人民银行、国务院国资委、市场监管总局等七部门联合印发《加力推进石化化工行业老旧装置更新改造行动方案（2026－2029年）》（以下简称《行动方案》）。为做好《行动方案》贯彻实施，现就有关内容解读如下。</w:t>
      </w:r>
    </w:p>
    <w:p w14:paraId="711D3AF6">
      <w:pPr>
        <w:pStyle w:val="2"/>
        <w:bidi w:val="0"/>
        <w:rPr>
          <w:rFonts w:hint="default"/>
          <w:lang w:val="en-US" w:eastAsia="zh-CN"/>
        </w:rPr>
      </w:pPr>
      <w:r>
        <w:rPr>
          <w:rFonts w:hint="default"/>
          <w:lang w:val="en-US" w:eastAsia="zh-CN"/>
        </w:rPr>
        <w:t>一、《行动方案》出台背景是什么</w:t>
      </w:r>
    </w:p>
    <w:p w14:paraId="2D7F9A1B">
      <w:pPr>
        <w:ind w:firstLine="560" w:firstLineChars="200"/>
        <w:rPr>
          <w:rFonts w:hint="default"/>
          <w:lang w:val="en-US" w:eastAsia="zh-CN"/>
        </w:rPr>
      </w:pPr>
      <w:r>
        <w:rPr>
          <w:rFonts w:hint="default"/>
          <w:lang w:val="en-US" w:eastAsia="zh-CN"/>
        </w:rPr>
        <w:t>石化化工行业是国民经济的重要基础产业、支柱产业，经济总量大、产业关联度高，对稳定经济增长、保障能源和产业链供应链安全具有重要作用。经过多年发展，我国已成为全球最大的石化化工产品生产国和消费国，2025年石化化工行业增加值占工业的13.7%，炼油、乙烯、合成树脂等20多类基础化学品产能居世界首位，有效发挥稳定工业经济压舱石作用。但部分早期建成的装置设计和建设标准低、工艺落后、自动化控制水平不高，存在安全环境风险大、布局不尽合理、装置运行效率低等问题，随着时间推移，老旧装置数量还将持续增加，风险也将不断积累放大，影响行业平稳运行和高质量发展。</w:t>
      </w:r>
    </w:p>
    <w:p w14:paraId="6C618C8D">
      <w:pPr>
        <w:ind w:firstLine="560" w:firstLineChars="200"/>
        <w:rPr>
          <w:rFonts w:hint="default"/>
          <w:lang w:val="en-US" w:eastAsia="zh-CN"/>
        </w:rPr>
      </w:pPr>
      <w:r>
        <w:rPr>
          <w:rFonts w:hint="default"/>
          <w:lang w:val="en-US" w:eastAsia="zh-CN"/>
        </w:rPr>
        <w:t>出台《行动方案》，旨在通过建立年度滚动摸底评估、持续改造提升的长效工作体系，健全支撑老旧装置科学评估和对标改造的标准体系，加大政策资金支持力度等措施，着力解决更新改造项目落地难、融资难等突出问题，更好激发企业内生动力，全面推进石化化工行业老旧装置改造升级，推动行业高质量发展。</w:t>
      </w:r>
    </w:p>
    <w:p w14:paraId="74EF73A9">
      <w:pPr>
        <w:pStyle w:val="2"/>
        <w:bidi w:val="0"/>
        <w:rPr>
          <w:rFonts w:hint="default"/>
          <w:lang w:val="en-US" w:eastAsia="zh-CN"/>
        </w:rPr>
      </w:pPr>
      <w:r>
        <w:rPr>
          <w:rFonts w:hint="default"/>
          <w:lang w:val="en-US" w:eastAsia="zh-CN"/>
        </w:rPr>
        <w:t>二、《行动方案》的总体考虑是什么</w:t>
      </w:r>
    </w:p>
    <w:p w14:paraId="1266ADA8">
      <w:pPr>
        <w:ind w:firstLine="560" w:firstLineChars="200"/>
        <w:rPr>
          <w:rFonts w:hint="default"/>
          <w:lang w:val="en-US" w:eastAsia="zh-CN"/>
        </w:rPr>
      </w:pPr>
      <w:r>
        <w:rPr>
          <w:rFonts w:hint="default"/>
          <w:lang w:val="en-US" w:eastAsia="zh-CN"/>
        </w:rPr>
        <w:t>《行动方案》坚持以习近平新时代中国特色社会主义思想为指导，统筹高质量发展和高水平安全，以本质安全筑底线、提质增效促发展为目标，以健全标准体系、打通政策堵点为抓手，激发企业内生动力，系统部署推进石化化工行业老旧装置更新改造工作。一是全面梳理，分类施策。全面摸排石化化工行业老旧装置底数，对照产业政策、标准规范要求，对老旧装置进行系统评估，对需要改造的装置，企业可结合自身实际，选择整体新建（原址重建或异地迁建）、改造提升、淘汰退出等处置方式。二是清单管理，压茬推进。滚动制定老旧装置清单和更新改造工作台账，对更新改造企业实施挂图作战，按照进度计划定期调度、逐一销号。三是政策联动，形成合力。用足用好现有产业、财政、金融等支持政策，优化老旧装置更新改造项目审查审批程序，营造有利于加快推进更新改造工作的良好政策环境。四是标准引领，系统提升。实施老旧石化化工装置标准提升专项行动，建立覆盖老旧装置更新改造各项要求和各个环节的标准体系。</w:t>
      </w:r>
    </w:p>
    <w:p w14:paraId="19651A75">
      <w:pPr>
        <w:pStyle w:val="2"/>
        <w:bidi w:val="0"/>
        <w:rPr>
          <w:rFonts w:hint="default"/>
          <w:lang w:val="en-US" w:eastAsia="zh-CN"/>
        </w:rPr>
      </w:pPr>
      <w:r>
        <w:rPr>
          <w:rFonts w:hint="default"/>
          <w:lang w:val="en-US" w:eastAsia="zh-CN"/>
        </w:rPr>
        <w:t>三、《行动方案》的主要目标是什么</w:t>
      </w:r>
    </w:p>
    <w:p w14:paraId="1ACF683F">
      <w:pPr>
        <w:ind w:firstLine="560" w:firstLineChars="200"/>
        <w:rPr>
          <w:rFonts w:hint="default"/>
          <w:lang w:val="en-US" w:eastAsia="zh-CN"/>
        </w:rPr>
      </w:pPr>
      <w:r>
        <w:rPr>
          <w:rFonts w:hint="default"/>
          <w:lang w:val="en-US" w:eastAsia="zh-CN"/>
        </w:rPr>
        <w:t>《行动方案》提出，到2029年，各地2025年已确定的石化化工老旧装置更新改造任务全面完成，2026年后新确定的更新改造任务按计划推进，老旧装置安全环境风险大幅降低，减污降碳协同取得积极成效，优于标杆水平的产能比例显著提升，智能化、绿色化水平大幅提高。年度滚动摸底评估、持续改造提升的长效工作体系不断健全，标准引领和政策协同效应进一步发挥。</w:t>
      </w:r>
    </w:p>
    <w:p w14:paraId="72DDABBE">
      <w:pPr>
        <w:pStyle w:val="2"/>
        <w:bidi w:val="0"/>
        <w:rPr>
          <w:rFonts w:hint="default"/>
          <w:lang w:val="en-US" w:eastAsia="zh-CN"/>
        </w:rPr>
      </w:pPr>
      <w:r>
        <w:rPr>
          <w:rFonts w:hint="default"/>
          <w:lang w:val="en-US" w:eastAsia="zh-CN"/>
        </w:rPr>
        <w:t>四、《行动方案》部署了哪些重点任务</w:t>
      </w:r>
    </w:p>
    <w:p w14:paraId="1E92A9F6">
      <w:pPr>
        <w:ind w:firstLine="560" w:firstLineChars="200"/>
        <w:rPr>
          <w:rFonts w:hint="default"/>
          <w:lang w:val="en-US" w:eastAsia="zh-CN"/>
        </w:rPr>
      </w:pPr>
      <w:r>
        <w:rPr>
          <w:rFonts w:hint="default"/>
          <w:lang w:val="en-US" w:eastAsia="zh-CN"/>
        </w:rPr>
        <w:t>《行动方案》围绕更新改造工作全过程管理，部署了6方面任务。</w:t>
      </w:r>
    </w:p>
    <w:p w14:paraId="40DB1F79">
      <w:pPr>
        <w:ind w:firstLine="560" w:firstLineChars="200"/>
        <w:rPr>
          <w:rFonts w:hint="default"/>
          <w:lang w:val="en-US" w:eastAsia="zh-CN"/>
        </w:rPr>
      </w:pPr>
      <w:r>
        <w:rPr>
          <w:rFonts w:hint="default"/>
          <w:lang w:val="en-US" w:eastAsia="zh-CN"/>
        </w:rPr>
        <w:t>一是开展摸底调查和评估。各地将实际投产运行超过20年的生产装置逐一登记造册，形成老旧装置清单；对照产业政策、标准规范等进行评估，分类提出处置意见，形成更新改造工作台账。对经评估不需要更新改造的老旧装置每3年开展一次复核，实施更新改造装置的首次复核时间可延长至改造完成后的第6年。</w:t>
      </w:r>
    </w:p>
    <w:p w14:paraId="7957545C">
      <w:pPr>
        <w:ind w:firstLine="560" w:firstLineChars="200"/>
        <w:rPr>
          <w:rFonts w:hint="default"/>
          <w:lang w:val="en-US" w:eastAsia="zh-CN"/>
        </w:rPr>
      </w:pPr>
      <w:r>
        <w:rPr>
          <w:rFonts w:hint="default"/>
          <w:lang w:val="en-US" w:eastAsia="zh-CN"/>
        </w:rPr>
        <w:t>二是制定更新改造方案。各地督促指导有关企业“一企一策”制定更新改造实施方案，明确更新改造措施、工作目标、进度安排等，更新改造工作完成时间原则上不超过5年。应急管理部、工业和信息化部、国务院国资委、市场监管总局联合印发的《化工老旧装置淘汰退出和更新改造工作方案》（应急〔2024〕49号）确定的相关事项，按照原计划和要求执行。</w:t>
      </w:r>
    </w:p>
    <w:p w14:paraId="2BC6809A">
      <w:pPr>
        <w:ind w:firstLine="560" w:firstLineChars="200"/>
        <w:rPr>
          <w:rFonts w:hint="default"/>
          <w:lang w:val="en-US" w:eastAsia="zh-CN"/>
        </w:rPr>
      </w:pPr>
      <w:r>
        <w:rPr>
          <w:rFonts w:hint="default"/>
          <w:lang w:val="en-US" w:eastAsia="zh-CN"/>
        </w:rPr>
        <w:t>三是推动提质升级。鼓励更新改造企业对标行业先进水平实施安全化、绿色化、智能化改造，加快先进技术推广应用以及工业软件、工业控制系统更新替代。整体新建项目应按要求达到能耗限额标准先进值或能效标杆水平、环保绩效A级水平，涉及高耗能、高碳排放项目应按要求实施能耗和碳排放等量或减量置换。加强老旧装置运行的日常管理，严格更新改造过程的安全环保管理。</w:t>
      </w:r>
    </w:p>
    <w:p w14:paraId="5AD2716F">
      <w:pPr>
        <w:ind w:firstLine="560" w:firstLineChars="200"/>
        <w:rPr>
          <w:rFonts w:hint="default"/>
          <w:lang w:val="en-US" w:eastAsia="zh-CN"/>
        </w:rPr>
      </w:pPr>
      <w:r>
        <w:rPr>
          <w:rFonts w:hint="default"/>
          <w:lang w:val="en-US" w:eastAsia="zh-CN"/>
        </w:rPr>
        <w:t>四是优化项目管理。在研究重大石化项目布局时，优先支持老旧装置改造提升。鼓励地方建立完善绿色通道，加强要素保障，优化项目备案（核准）、环评、用地、取水、节能审查和碳排放评价、安全许可等办理流程，提高审查审批效率，加快推进项目落地。</w:t>
      </w:r>
    </w:p>
    <w:p w14:paraId="0774C517">
      <w:pPr>
        <w:ind w:firstLine="560" w:firstLineChars="200"/>
        <w:rPr>
          <w:rFonts w:hint="default"/>
          <w:lang w:val="en-US" w:eastAsia="zh-CN"/>
        </w:rPr>
      </w:pPr>
      <w:r>
        <w:rPr>
          <w:rFonts w:hint="default"/>
          <w:lang w:val="en-US" w:eastAsia="zh-CN"/>
        </w:rPr>
        <w:t>五是做好验收管理。各地督促指导企业按照“一企一策”方案完成更新改造项目建设，企业应按照有关法律法规要求组织进行竣工验收，生态环境、应急管理等有关部门依法依规对验收情况进行监督检（核）查。</w:t>
      </w:r>
    </w:p>
    <w:p w14:paraId="71EC7E0B">
      <w:pPr>
        <w:ind w:firstLine="560" w:firstLineChars="200"/>
        <w:rPr>
          <w:rFonts w:hint="default"/>
          <w:lang w:val="en-US" w:eastAsia="zh-CN"/>
        </w:rPr>
      </w:pPr>
      <w:r>
        <w:rPr>
          <w:rFonts w:hint="default"/>
          <w:lang w:val="en-US" w:eastAsia="zh-CN"/>
        </w:rPr>
        <w:t>六是强化标准引领支撑。实施老旧石化化工装置标准提升专项行动，聚焦安全提升、绿色转型、数智改造、性能升级等方向，建立覆盖老旧装置更新改造各项要求和各个环节的标准体系，全面支撑和引领老旧石化化工装置更新改造工作。</w:t>
      </w:r>
    </w:p>
    <w:p w14:paraId="0BC90170">
      <w:pPr>
        <w:pStyle w:val="2"/>
        <w:bidi w:val="0"/>
        <w:rPr>
          <w:rFonts w:hint="default"/>
          <w:lang w:val="en-US" w:eastAsia="zh-CN"/>
        </w:rPr>
      </w:pPr>
      <w:r>
        <w:rPr>
          <w:rFonts w:hint="default"/>
          <w:lang w:val="en-US" w:eastAsia="zh-CN"/>
        </w:rPr>
        <w:t>五、推进落实《行动方案》有哪些工作要求</w:t>
      </w:r>
    </w:p>
    <w:p w14:paraId="156799F0">
      <w:pPr>
        <w:ind w:firstLine="560" w:firstLineChars="200"/>
        <w:rPr>
          <w:rFonts w:hint="default"/>
          <w:lang w:val="en-US" w:eastAsia="zh-CN"/>
        </w:rPr>
      </w:pPr>
      <w:r>
        <w:rPr>
          <w:rFonts w:hint="default"/>
          <w:lang w:val="en-US" w:eastAsia="zh-CN"/>
        </w:rPr>
        <w:t>为确保《行动方案》主要目标和工作任务顺利完成，提出3方面工作要求。一是加强组织领导。各省级有关部门依据职责做好老旧装置更新改造相关工作，国务院有关部门加大政策支持、加强工作指导。有关中央企业总部要积极履行央企责任，加强技术支持和资金保障，督促指导所属企业按照属地有关部门要求保质保量完成老旧装置更新改造工作任务。二是落实财政金融支持政策。利用现有资金渠道支持符合条件的老旧装置设备更新改造。发挥有关政府投资基金作用，为企业提供投资支持。鼓励金融机构按照产业布局和产能调控方向，落实好有扶有控的信贷政策，通过信贷市场服务平台、国家产融合作平台等推进银企对接，提升金融服务质效。鼓励地方利用现有资金渠道，对老旧装置更新改造予以支持。中央企业年度考核评价应适当考虑老旧装置更新改造对经营业绩的影响。三是强化督促落实。定期调度工作进展情况，做好跟踪分析和通报，及时总结推广典型经验做法，对工作扎实、成效显著的予以表扬激励，对工作不力、进度滞后的及时督促整改。</w:t>
      </w:r>
    </w:p>
    <w:p w14:paraId="6668E572">
      <w:pPr>
        <w:ind w:firstLine="560" w:firstLineChars="200"/>
        <w:rPr>
          <w:rFonts w:hint="default"/>
          <w:lang w:val="en-US" w:eastAsia="zh-CN"/>
        </w:rPr>
      </w:pPr>
      <w:r>
        <w:rPr>
          <w:rFonts w:hint="default"/>
          <w:lang w:val="en-US" w:eastAsia="zh-CN"/>
        </w:rPr>
        <w:t>https://www.miit.gov.cn/zwgk/zcjd/art/2026/art_eb7c10597eee467c9725db183e02546c.html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5F3F3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53912A5"/>
    <w:rsid w:val="15E60C37"/>
    <w:rsid w:val="16001761"/>
    <w:rsid w:val="16E465E6"/>
    <w:rsid w:val="171127B9"/>
    <w:rsid w:val="17B571BE"/>
    <w:rsid w:val="17C62F40"/>
    <w:rsid w:val="1832446A"/>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815987"/>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594C1F"/>
    <w:rsid w:val="35CC7FE4"/>
    <w:rsid w:val="35E70CC3"/>
    <w:rsid w:val="370B0758"/>
    <w:rsid w:val="37431207"/>
    <w:rsid w:val="38042C00"/>
    <w:rsid w:val="389545C1"/>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4707DD"/>
    <w:rsid w:val="45637541"/>
    <w:rsid w:val="45B9632A"/>
    <w:rsid w:val="46EA79BC"/>
    <w:rsid w:val="47407E1B"/>
    <w:rsid w:val="479917B8"/>
    <w:rsid w:val="480C084C"/>
    <w:rsid w:val="480F418D"/>
    <w:rsid w:val="484E76CC"/>
    <w:rsid w:val="485C7A85"/>
    <w:rsid w:val="48693B78"/>
    <w:rsid w:val="486F5D2C"/>
    <w:rsid w:val="48B37191"/>
    <w:rsid w:val="4B077B9F"/>
    <w:rsid w:val="4CA87F48"/>
    <w:rsid w:val="4CF97814"/>
    <w:rsid w:val="4D135041"/>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9B4900"/>
    <w:rsid w:val="58E45E5C"/>
    <w:rsid w:val="5966249A"/>
    <w:rsid w:val="5974442B"/>
    <w:rsid w:val="599D54F4"/>
    <w:rsid w:val="5ABE63C0"/>
    <w:rsid w:val="5AFF7B53"/>
    <w:rsid w:val="5B5F3C17"/>
    <w:rsid w:val="5C0F18E6"/>
    <w:rsid w:val="5D942074"/>
    <w:rsid w:val="5DC63008"/>
    <w:rsid w:val="5E365821"/>
    <w:rsid w:val="5E845CBB"/>
    <w:rsid w:val="5F42540D"/>
    <w:rsid w:val="5F9A3865"/>
    <w:rsid w:val="601B5D76"/>
    <w:rsid w:val="605308F0"/>
    <w:rsid w:val="60F01468"/>
    <w:rsid w:val="613B531F"/>
    <w:rsid w:val="61537BFA"/>
    <w:rsid w:val="617B675F"/>
    <w:rsid w:val="61941FCD"/>
    <w:rsid w:val="61A372B8"/>
    <w:rsid w:val="61AE74CA"/>
    <w:rsid w:val="61CC184F"/>
    <w:rsid w:val="61FB7F6E"/>
    <w:rsid w:val="626A293A"/>
    <w:rsid w:val="62D41677"/>
    <w:rsid w:val="62FA3689"/>
    <w:rsid w:val="632C62D6"/>
    <w:rsid w:val="633F1FAA"/>
    <w:rsid w:val="64E928BC"/>
    <w:rsid w:val="654318DC"/>
    <w:rsid w:val="65D44687"/>
    <w:rsid w:val="66801568"/>
    <w:rsid w:val="67550FD9"/>
    <w:rsid w:val="6764121C"/>
    <w:rsid w:val="67697562"/>
    <w:rsid w:val="68B41D2F"/>
    <w:rsid w:val="695B7490"/>
    <w:rsid w:val="69C218FE"/>
    <w:rsid w:val="69C77AA6"/>
    <w:rsid w:val="6A36022A"/>
    <w:rsid w:val="6A510174"/>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3573B6"/>
    <w:rsid w:val="734325A8"/>
    <w:rsid w:val="73F7433F"/>
    <w:rsid w:val="746B21E6"/>
    <w:rsid w:val="756F626F"/>
    <w:rsid w:val="75930F1E"/>
    <w:rsid w:val="775748F9"/>
    <w:rsid w:val="77BF12F7"/>
    <w:rsid w:val="78264085"/>
    <w:rsid w:val="78F91413"/>
    <w:rsid w:val="79060B26"/>
    <w:rsid w:val="79606526"/>
    <w:rsid w:val="796F1DC8"/>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9"/>
    <w:unhideWhenUsed/>
    <w:qFormat/>
    <w:uiPriority w:val="9"/>
    <w:pPr>
      <w:spacing w:before="0" w:beforeAutospacing="0" w:after="0" w:afterAutospacing="0"/>
      <w:jc w:val="left"/>
      <w:outlineLvl w:val="1"/>
    </w:pPr>
    <w:rPr>
      <w:rFonts w:hint="eastAsia" w:ascii="楷体_GB2312" w:hAnsi="楷体_GB2312" w:eastAsia="楷体_GB2312" w:cs="宋体"/>
      <w:b/>
      <w:bCs/>
      <w:kern w:val="0"/>
      <w:sz w:val="28"/>
      <w:szCs w:val="36"/>
      <w:lang w:bidi="ar"/>
    </w:rPr>
  </w:style>
  <w:style w:type="paragraph" w:styleId="4">
    <w:name w:val="heading 3"/>
    <w:basedOn w:val="1"/>
    <w:next w:val="1"/>
    <w:link w:val="30"/>
    <w:unhideWhenUsed/>
    <w:qFormat/>
    <w:uiPriority w:val="9"/>
    <w:pPr>
      <w:keepNext/>
      <w:keepLines/>
      <w:spacing w:line="440" w:lineRule="exact"/>
      <w:outlineLvl w:val="2"/>
    </w:pPr>
    <w:rPr>
      <w:b/>
      <w:bCs/>
      <w:szCs w:val="32"/>
    </w:rPr>
  </w:style>
  <w:style w:type="paragraph" w:styleId="5">
    <w:name w:val="heading 4"/>
    <w:basedOn w:val="1"/>
    <w:next w:val="1"/>
    <w:link w:val="31"/>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28"/>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2"/>
    <w:unhideWhenUsed/>
    <w:qFormat/>
    <w:uiPriority w:val="99"/>
    <w:pPr>
      <w:tabs>
        <w:tab w:val="center" w:pos="4153"/>
        <w:tab w:val="right" w:pos="8306"/>
      </w:tabs>
      <w:snapToGrid w:val="0"/>
    </w:pPr>
    <w:rPr>
      <w:sz w:val="18"/>
      <w:szCs w:val="18"/>
    </w:rPr>
  </w:style>
  <w:style w:type="paragraph" w:styleId="12">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4"/>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字符"/>
    <w:basedOn w:val="18"/>
    <w:link w:val="10"/>
    <w:qFormat/>
    <w:uiPriority w:val="10"/>
    <w:rPr>
      <w:rFonts w:ascii="华文中宋" w:hAnsi="华文中宋" w:eastAsia="华文中宋" w:cs="Times New Roman"/>
      <w:b/>
      <w:bCs/>
      <w:sz w:val="32"/>
      <w:szCs w:val="32"/>
    </w:rPr>
  </w:style>
  <w:style w:type="character" w:customStyle="1" w:styleId="29">
    <w:name w:val="标题 2 字符"/>
    <w:basedOn w:val="18"/>
    <w:link w:val="3"/>
    <w:qFormat/>
    <w:uiPriority w:val="9"/>
    <w:rPr>
      <w:rFonts w:ascii="楷体_GB2312" w:hAnsi="楷体_GB2312" w:eastAsia="楷体_GB2312" w:cs="Times New Roman"/>
      <w:b/>
      <w:bCs/>
      <w:sz w:val="28"/>
      <w:szCs w:val="32"/>
    </w:rPr>
  </w:style>
  <w:style w:type="character" w:customStyle="1" w:styleId="30">
    <w:name w:val="标题 3 字符"/>
    <w:basedOn w:val="18"/>
    <w:link w:val="4"/>
    <w:semiHidden/>
    <w:qFormat/>
    <w:uiPriority w:val="9"/>
    <w:rPr>
      <w:rFonts w:ascii="仿宋_GB2312" w:hAnsi="仿宋_GB2312" w:eastAsia="仿宋_GB2312"/>
      <w:b/>
      <w:bCs/>
      <w:kern w:val="2"/>
      <w:sz w:val="28"/>
      <w:szCs w:val="32"/>
    </w:rPr>
  </w:style>
  <w:style w:type="character" w:customStyle="1" w:styleId="31">
    <w:name w:val="标题 4 Char1"/>
    <w:link w:val="5"/>
    <w:qFormat/>
    <w:uiPriority w:val="9"/>
    <w:rPr>
      <w:rFonts w:ascii="仿宋_GB2312" w:hAnsi="仿宋_GB2312" w:eastAsia="仿宋_GB2312"/>
    </w:rPr>
  </w:style>
  <w:style w:type="character" w:customStyle="1" w:styleId="32">
    <w:name w:val="页脚 字符"/>
    <w:basedOn w:val="18"/>
    <w:link w:val="11"/>
    <w:qFormat/>
    <w:uiPriority w:val="99"/>
    <w:rPr>
      <w:sz w:val="18"/>
      <w:szCs w:val="18"/>
    </w:rPr>
  </w:style>
  <w:style w:type="character" w:customStyle="1" w:styleId="33">
    <w:name w:val="页眉 字符"/>
    <w:basedOn w:val="18"/>
    <w:link w:val="12"/>
    <w:qFormat/>
    <w:uiPriority w:val="99"/>
    <w:rPr>
      <w:sz w:val="18"/>
      <w:szCs w:val="18"/>
    </w:rPr>
  </w:style>
  <w:style w:type="character" w:customStyle="1" w:styleId="34">
    <w:name w:val="副标题 字符"/>
    <w:basedOn w:val="18"/>
    <w:link w:val="13"/>
    <w:qFormat/>
    <w:uiPriority w:val="11"/>
    <w:rPr>
      <w:rFonts w:ascii="仿宋_GB2312" w:eastAsia="仿宋_GB2312"/>
      <w:b/>
      <w:bCs/>
      <w:kern w:val="28"/>
      <w:sz w:val="28"/>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2026-04-03T09:42:53Z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FB7BE022D39941A3BB4A945C575046CE_13</vt:lpwstr>
  </property>
  <property fmtid="{D5CDD505-2E9C-101B-9397-08002B2CF9AE}" pid="4" name="KSOTemplateDocerSaveRecord">
    <vt:lpwstr>eyJoZGlkIjoiMjIxMjI5YjhlNTAxYzUyOTYyYWZlMGFjYmE4ZTczY2EiLCJ1c2VySWQiOiIxNDU2NzYxMDUwIn0=</vt:lpwstr>
  </property>
</Properties>
</file>