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77371">
      <w:pPr>
        <w:pStyle w:val="10"/>
        <w:bidi w:val="0"/>
        <w:rPr>
          <w:rFonts w:hint="default"/>
          <w:lang w:val="en-US" w:eastAsia="zh-CN"/>
        </w:rPr>
      </w:pPr>
      <w:bookmarkStart w:id="0" w:name="_GoBack"/>
      <w:r>
        <w:rPr>
          <w:rFonts w:hint="default"/>
          <w:lang w:val="en-US" w:eastAsia="zh-CN"/>
        </w:rPr>
        <w:t>政策解读：《关于进一步加强电动自行车锂离子电池回收利用体系建设的通知》</w:t>
      </w:r>
    </w:p>
    <w:bookmarkEnd w:id="0"/>
    <w:p w14:paraId="4795CE7A">
      <w:pPr>
        <w:pStyle w:val="8"/>
        <w:bidi w:val="0"/>
        <w:rPr>
          <w:rFonts w:hint="default"/>
          <w:lang w:val="en-US" w:eastAsia="zh-CN"/>
        </w:rPr>
      </w:pPr>
      <w:r>
        <w:rPr>
          <w:rFonts w:hint="default"/>
          <w:lang w:val="en-US" w:eastAsia="zh-CN"/>
        </w:rPr>
        <w:t>发布时间：2026-04-03 16:35</w:t>
      </w:r>
      <w:r>
        <w:rPr>
          <w:rFonts w:hint="eastAsia"/>
          <w:lang w:val="en-US" w:eastAsia="zh-CN"/>
        </w:rPr>
        <w:t xml:space="preserve">                     </w:t>
      </w:r>
      <w:r>
        <w:rPr>
          <w:rFonts w:hint="default"/>
          <w:lang w:val="en-US" w:eastAsia="zh-CN"/>
        </w:rPr>
        <w:t>来源：节能与综合利用司</w:t>
      </w:r>
    </w:p>
    <w:p w14:paraId="20A12D15">
      <w:pPr>
        <w:ind w:firstLine="560" w:firstLineChars="200"/>
        <w:rPr>
          <w:rFonts w:hint="default"/>
          <w:lang w:val="en-US" w:eastAsia="zh-CN"/>
        </w:rPr>
      </w:pPr>
      <w:r>
        <w:rPr>
          <w:rFonts w:hint="default"/>
          <w:lang w:val="en-US" w:eastAsia="zh-CN"/>
        </w:rPr>
        <w:t>近日，工业和信息化部办公厅、供销合作总社办公厅联合印发了《关于进一步加强电动自行车锂离子电池回收利用体系建设的通知》（以下简称《通知》）。为更好理解和落实《通知》，现就有关内容解读如下：</w:t>
      </w:r>
    </w:p>
    <w:p w14:paraId="07AE7179">
      <w:pPr>
        <w:pStyle w:val="2"/>
        <w:bidi w:val="0"/>
        <w:rPr>
          <w:rFonts w:hint="default"/>
          <w:lang w:val="en-US" w:eastAsia="zh-CN"/>
        </w:rPr>
      </w:pPr>
      <w:r>
        <w:rPr>
          <w:rFonts w:hint="default"/>
          <w:lang w:val="en-US" w:eastAsia="zh-CN"/>
        </w:rPr>
        <w:t>一、《通知》制定的背景是什么？</w:t>
      </w:r>
    </w:p>
    <w:p w14:paraId="6DFE8C42">
      <w:pPr>
        <w:ind w:firstLine="560" w:firstLineChars="200"/>
        <w:rPr>
          <w:rFonts w:hint="default"/>
          <w:lang w:val="en-US" w:eastAsia="zh-CN"/>
        </w:rPr>
      </w:pPr>
      <w:r>
        <w:rPr>
          <w:rFonts w:hint="default"/>
          <w:lang w:val="en-US" w:eastAsia="zh-CN"/>
        </w:rPr>
        <w:t>工业和信息化部认真贯彻落实《国务院办公厅关于印发〈电动自行车安全隐患全链条整治行动方案〉的通知》（国办发〔2024〕19号）要求，完善电动自行车锂离子电池（以下简称锂电池）回收利用体系。前期，指导各地按照《电动自行车锂离子电池回收利用体系建设指南》和《〈电动自行车锂离子电池回收利用体系建设指南〉实施细则》，因地制宜构建可及、便利、安全的电动自行车锂电池回收利用体系。截至目前，全国共建成电动自行车锂电池暂存点及回收服务网点五千余个，覆盖约60%县级行政区域，基本实现锂电池电动自行车重点销售省份全覆盖。为进一步完善电动自行车锂电池回收利用网络，降低网点建设运营成本，充分整合用好现有资源，发挥供销合作社已建设的4万余个再生资源回收站点、600余个区域分拣中心，以及中国再生资源开发集团有限公司（以下简称中再生）等再生资源回收利用行业龙头企业作用，工业和信息化部会同供销合作总社制定了《通知》。</w:t>
      </w:r>
    </w:p>
    <w:p w14:paraId="14EDB010">
      <w:pPr>
        <w:pStyle w:val="2"/>
        <w:bidi w:val="0"/>
        <w:rPr>
          <w:rFonts w:hint="default"/>
          <w:lang w:val="en-US" w:eastAsia="zh-CN"/>
        </w:rPr>
      </w:pPr>
      <w:r>
        <w:rPr>
          <w:rFonts w:hint="default"/>
          <w:lang w:val="en-US" w:eastAsia="zh-CN"/>
        </w:rPr>
        <w:t>二、《通知》制定过程中开展了哪些工作？</w:t>
      </w:r>
    </w:p>
    <w:p w14:paraId="38E44030">
      <w:pPr>
        <w:ind w:firstLine="560" w:firstLineChars="200"/>
        <w:rPr>
          <w:rFonts w:hint="default"/>
          <w:lang w:val="en-US" w:eastAsia="zh-CN"/>
        </w:rPr>
      </w:pPr>
      <w:r>
        <w:rPr>
          <w:rFonts w:hint="default"/>
          <w:lang w:val="en-US" w:eastAsia="zh-CN"/>
        </w:rPr>
        <w:t>在制定过程中，主要开展以下工作：一是系统调研梳理电动自行车锂电池回收利用体系建设情况，聚焦体系建设面临的突出问题，多次组织有关研究机构、重点企业座谈，充分听取有关各方意见，研究形成《通知》征求意见稿。二是书面征求全国电动自行车安全隐患全链条整治工作专班办公室、地方工业和信息化主管部门、有关企业及研究机构意见。三是研究吸纳相关意见，修改完善《通知》内容，2026年3月28日，工业和信息化部办公厅、供销合作总社办公厅联合印发《通知》。</w:t>
      </w:r>
    </w:p>
    <w:p w14:paraId="675C0258">
      <w:pPr>
        <w:pStyle w:val="2"/>
        <w:bidi w:val="0"/>
        <w:rPr>
          <w:rFonts w:hint="default"/>
          <w:lang w:val="en-US" w:eastAsia="zh-CN"/>
        </w:rPr>
      </w:pPr>
      <w:r>
        <w:rPr>
          <w:rFonts w:hint="default"/>
          <w:lang w:val="en-US" w:eastAsia="zh-CN"/>
        </w:rPr>
        <w:t>三、《通知》重点提出了哪些内容？</w:t>
      </w:r>
    </w:p>
    <w:p w14:paraId="7ACE9D50">
      <w:pPr>
        <w:ind w:firstLine="560" w:firstLineChars="200"/>
        <w:rPr>
          <w:rFonts w:hint="default"/>
          <w:lang w:val="en-US" w:eastAsia="zh-CN"/>
        </w:rPr>
      </w:pPr>
      <w:r>
        <w:rPr>
          <w:rFonts w:hint="default"/>
          <w:lang w:val="en-US" w:eastAsia="zh-CN"/>
        </w:rPr>
        <w:t>《通知》从发挥现有资源作用、强化龙头引领、支持数字监测、做好协同保障等方面作出工作部署。</w:t>
      </w:r>
    </w:p>
    <w:p w14:paraId="22F7ABC5">
      <w:pPr>
        <w:pStyle w:val="3"/>
        <w:bidi w:val="0"/>
        <w:rPr>
          <w:rFonts w:hint="default"/>
          <w:lang w:val="en-US" w:eastAsia="zh-CN"/>
        </w:rPr>
      </w:pPr>
      <w:r>
        <w:rPr>
          <w:rFonts w:hint="default"/>
          <w:lang w:val="en-US" w:eastAsia="zh-CN"/>
        </w:rPr>
        <w:t>（一）发挥供销合作社再生资源回收利用网络作用</w:t>
      </w:r>
    </w:p>
    <w:p w14:paraId="15833E91">
      <w:pPr>
        <w:ind w:firstLine="560" w:firstLineChars="200"/>
        <w:rPr>
          <w:rFonts w:hint="default"/>
          <w:lang w:val="en-US" w:eastAsia="zh-CN"/>
        </w:rPr>
      </w:pPr>
      <w:r>
        <w:rPr>
          <w:rFonts w:hint="default"/>
          <w:lang w:val="en-US" w:eastAsia="zh-CN"/>
        </w:rPr>
        <w:t>一是提出要引导电动自行车整车及锂电池生产企业与供销合作社再生资源回收利用企业合作，共建或委托建设电动自行车锂电池回收网点，做好电动自行车锂电池回收、贮存。</w:t>
      </w:r>
    </w:p>
    <w:p w14:paraId="06325DDC">
      <w:pPr>
        <w:ind w:firstLine="560" w:firstLineChars="200"/>
        <w:rPr>
          <w:rFonts w:hint="default"/>
          <w:lang w:val="en-US" w:eastAsia="zh-CN"/>
        </w:rPr>
      </w:pPr>
      <w:r>
        <w:rPr>
          <w:rFonts w:hint="default"/>
          <w:lang w:val="en-US" w:eastAsia="zh-CN"/>
        </w:rPr>
        <w:t>二是提出要引导供销合作社再生资源回收企业、回收站点与锂电池综合利用企业合作，做好电动自行车锂电池规范综合利用。</w:t>
      </w:r>
    </w:p>
    <w:p w14:paraId="7614449D">
      <w:pPr>
        <w:pStyle w:val="3"/>
        <w:bidi w:val="0"/>
        <w:rPr>
          <w:rFonts w:hint="default"/>
          <w:lang w:val="en-US" w:eastAsia="zh-CN"/>
        </w:rPr>
      </w:pPr>
      <w:r>
        <w:rPr>
          <w:rFonts w:hint="default"/>
          <w:lang w:val="en-US" w:eastAsia="zh-CN"/>
        </w:rPr>
        <w:t>（二）强化再生资源回收利用行业龙头企业作用</w:t>
      </w:r>
    </w:p>
    <w:p w14:paraId="469F3E4B">
      <w:pPr>
        <w:ind w:firstLine="560" w:firstLineChars="200"/>
        <w:rPr>
          <w:rFonts w:hint="default"/>
          <w:lang w:val="en-US" w:eastAsia="zh-CN"/>
        </w:rPr>
      </w:pPr>
      <w:r>
        <w:rPr>
          <w:rFonts w:hint="default"/>
          <w:lang w:val="en-US" w:eastAsia="zh-CN"/>
        </w:rPr>
        <w:t>一是鼓励中再生等龙头企业规划布局锂电池回收利用网络，升级现有分拣中心、拆解基地，提升电动自行车锂电池回收利用能力。</w:t>
      </w:r>
    </w:p>
    <w:p w14:paraId="48B17BCD">
      <w:pPr>
        <w:ind w:firstLine="560" w:firstLineChars="200"/>
        <w:rPr>
          <w:rFonts w:hint="default"/>
          <w:lang w:val="en-US" w:eastAsia="zh-CN"/>
        </w:rPr>
      </w:pPr>
      <w:r>
        <w:rPr>
          <w:rFonts w:hint="default"/>
          <w:lang w:val="en-US" w:eastAsia="zh-CN"/>
        </w:rPr>
        <w:t>二是鼓励供销合作社各类回收企业与电动自行车经销售后网点对接，开展“换新+回收”、预约上门回收、“互联网+回收”等推广灵活多样的回收模式。</w:t>
      </w:r>
    </w:p>
    <w:p w14:paraId="0E1AA0CF">
      <w:pPr>
        <w:pStyle w:val="3"/>
        <w:bidi w:val="0"/>
        <w:rPr>
          <w:rFonts w:hint="default"/>
          <w:lang w:val="en-US" w:eastAsia="zh-CN"/>
        </w:rPr>
      </w:pPr>
      <w:r>
        <w:rPr>
          <w:rFonts w:hint="default"/>
          <w:lang w:val="en-US" w:eastAsia="zh-CN"/>
        </w:rPr>
        <w:t>（三）支持运用数字化技术做好锂电池信息流向监测</w:t>
      </w:r>
    </w:p>
    <w:p w14:paraId="60D1F00D">
      <w:pPr>
        <w:ind w:firstLine="560" w:firstLineChars="200"/>
        <w:rPr>
          <w:rFonts w:hint="default"/>
          <w:lang w:val="en-US" w:eastAsia="zh-CN"/>
        </w:rPr>
      </w:pPr>
      <w:r>
        <w:rPr>
          <w:rFonts w:hint="default"/>
          <w:lang w:val="en-US" w:eastAsia="zh-CN"/>
        </w:rPr>
        <w:t>鼓励发挥中再生再生资源回收利用数字化综合服务平台作用，引导相关参与主体通过平台上传电动自行车锂电池回收利用信息，促进锂电池流向规范渠道。</w:t>
      </w:r>
    </w:p>
    <w:p w14:paraId="1A63BED7">
      <w:pPr>
        <w:pStyle w:val="3"/>
        <w:bidi w:val="0"/>
        <w:rPr>
          <w:rFonts w:hint="default"/>
          <w:lang w:val="en-US" w:eastAsia="zh-CN"/>
        </w:rPr>
      </w:pPr>
      <w:r>
        <w:rPr>
          <w:rFonts w:hint="default"/>
          <w:lang w:val="en-US" w:eastAsia="zh-CN"/>
        </w:rPr>
        <w:t>（四）有关要求及保障措施</w:t>
      </w:r>
    </w:p>
    <w:p w14:paraId="5D818644">
      <w:pPr>
        <w:ind w:firstLine="560" w:firstLineChars="200"/>
        <w:rPr>
          <w:rFonts w:hint="default"/>
          <w:lang w:val="en-US" w:eastAsia="zh-CN"/>
        </w:rPr>
      </w:pPr>
      <w:r>
        <w:rPr>
          <w:rFonts w:hint="default"/>
          <w:lang w:val="en-US" w:eastAsia="zh-CN"/>
        </w:rPr>
        <w:t>一是提出各地要依托供销合作社回收网络及企业优势，完善地方电动自行车锂电池回收利用体系、推广可行经验，强化宣传引导。</w:t>
      </w:r>
    </w:p>
    <w:p w14:paraId="287EC734">
      <w:pPr>
        <w:ind w:firstLine="560" w:firstLineChars="200"/>
        <w:rPr>
          <w:rFonts w:hint="default"/>
          <w:lang w:val="en-US" w:eastAsia="zh-CN"/>
        </w:rPr>
      </w:pPr>
      <w:r>
        <w:rPr>
          <w:rFonts w:hint="default"/>
          <w:lang w:val="en-US" w:eastAsia="zh-CN"/>
        </w:rPr>
        <w:t>二是强调要建立部门对接机制，畅通沟通渠道、健全信息共享，及时解决工作难题、交流经验。</w:t>
      </w:r>
    </w:p>
    <w:p w14:paraId="1EDE6B45">
      <w:pPr>
        <w:ind w:firstLine="560" w:firstLineChars="200"/>
        <w:rPr>
          <w:rFonts w:hint="default"/>
          <w:lang w:val="en-US" w:eastAsia="zh-CN"/>
        </w:rPr>
      </w:pPr>
      <w:r>
        <w:rPr>
          <w:rFonts w:hint="default"/>
          <w:lang w:val="en-US" w:eastAsia="zh-CN"/>
        </w:rPr>
        <w:t>三是工业和信息化部将联合供销合作总社，定期调度体系共建及工作落实情况。</w:t>
      </w:r>
    </w:p>
    <w:p w14:paraId="27765A05">
      <w:pPr>
        <w:ind w:firstLine="560" w:firstLineChars="200"/>
        <w:rPr>
          <w:rFonts w:hint="default"/>
          <w:lang w:val="en-US" w:eastAsia="zh-CN"/>
        </w:rPr>
      </w:pPr>
      <w:r>
        <w:rPr>
          <w:rFonts w:hint="default"/>
          <w:lang w:val="en-US" w:eastAsia="zh-CN"/>
        </w:rPr>
        <w:t>https://www.miit.gov.cn/zwgk/zcjd/art/2026/art_80545efa3a3b406f98c3e0c30add8ccd.html</w:t>
      </w: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script"/>
    <w:pitch w:val="default"/>
    <w:sig w:usb0="00000001" w:usb1="0800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2"/>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94BB8"/>
    <w:rsid w:val="04DE3790"/>
    <w:rsid w:val="04E5597F"/>
    <w:rsid w:val="05CC0449"/>
    <w:rsid w:val="05CC6BA7"/>
    <w:rsid w:val="05F56545"/>
    <w:rsid w:val="062F5783"/>
    <w:rsid w:val="065F3F33"/>
    <w:rsid w:val="067A50BC"/>
    <w:rsid w:val="06961A26"/>
    <w:rsid w:val="072E100E"/>
    <w:rsid w:val="07D41004"/>
    <w:rsid w:val="08232C96"/>
    <w:rsid w:val="093C70F8"/>
    <w:rsid w:val="094C1995"/>
    <w:rsid w:val="098A372D"/>
    <w:rsid w:val="09BA3767"/>
    <w:rsid w:val="0A3D2F70"/>
    <w:rsid w:val="0B9079F1"/>
    <w:rsid w:val="0D191DA8"/>
    <w:rsid w:val="0E075FBD"/>
    <w:rsid w:val="0E1238D7"/>
    <w:rsid w:val="0E592DD6"/>
    <w:rsid w:val="0EBE39E4"/>
    <w:rsid w:val="0F033741"/>
    <w:rsid w:val="0F9E1127"/>
    <w:rsid w:val="0FC26D8E"/>
    <w:rsid w:val="1011158B"/>
    <w:rsid w:val="122C71D3"/>
    <w:rsid w:val="12B6109D"/>
    <w:rsid w:val="135C6A68"/>
    <w:rsid w:val="14AC3169"/>
    <w:rsid w:val="14BA55A9"/>
    <w:rsid w:val="15E60C37"/>
    <w:rsid w:val="16001761"/>
    <w:rsid w:val="16E465E6"/>
    <w:rsid w:val="171127B9"/>
    <w:rsid w:val="17B571BE"/>
    <w:rsid w:val="17C62F40"/>
    <w:rsid w:val="1832446A"/>
    <w:rsid w:val="187A04AD"/>
    <w:rsid w:val="188602CE"/>
    <w:rsid w:val="191F6B75"/>
    <w:rsid w:val="19DB3E43"/>
    <w:rsid w:val="1A3F168A"/>
    <w:rsid w:val="1ACD4BC9"/>
    <w:rsid w:val="1AD00105"/>
    <w:rsid w:val="1B0C1D1B"/>
    <w:rsid w:val="1C1F5C60"/>
    <w:rsid w:val="1C26202E"/>
    <w:rsid w:val="1CC27937"/>
    <w:rsid w:val="1CFA082A"/>
    <w:rsid w:val="1D75769C"/>
    <w:rsid w:val="1E486D5E"/>
    <w:rsid w:val="2075289F"/>
    <w:rsid w:val="20E515DF"/>
    <w:rsid w:val="20EE4514"/>
    <w:rsid w:val="2107263D"/>
    <w:rsid w:val="222C18FA"/>
    <w:rsid w:val="22A660F0"/>
    <w:rsid w:val="22D016B3"/>
    <w:rsid w:val="23350630"/>
    <w:rsid w:val="23815987"/>
    <w:rsid w:val="239C0C8D"/>
    <w:rsid w:val="2458023C"/>
    <w:rsid w:val="24891F4C"/>
    <w:rsid w:val="24FB777E"/>
    <w:rsid w:val="26BE469D"/>
    <w:rsid w:val="26EC7115"/>
    <w:rsid w:val="26F100FD"/>
    <w:rsid w:val="271C076E"/>
    <w:rsid w:val="27424958"/>
    <w:rsid w:val="28096A1B"/>
    <w:rsid w:val="28341D78"/>
    <w:rsid w:val="284055FE"/>
    <w:rsid w:val="284C442A"/>
    <w:rsid w:val="2867493B"/>
    <w:rsid w:val="288233CE"/>
    <w:rsid w:val="28DC46FC"/>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ED14BFE"/>
    <w:rsid w:val="2F167534"/>
    <w:rsid w:val="30D427EB"/>
    <w:rsid w:val="31604062"/>
    <w:rsid w:val="31AC3498"/>
    <w:rsid w:val="31BA36E4"/>
    <w:rsid w:val="33E870FA"/>
    <w:rsid w:val="34163C6F"/>
    <w:rsid w:val="34FC0B26"/>
    <w:rsid w:val="35594C1F"/>
    <w:rsid w:val="35CC7FE4"/>
    <w:rsid w:val="35E70CC3"/>
    <w:rsid w:val="370B0758"/>
    <w:rsid w:val="37431207"/>
    <w:rsid w:val="38042C00"/>
    <w:rsid w:val="389545C1"/>
    <w:rsid w:val="38D5360F"/>
    <w:rsid w:val="39C13035"/>
    <w:rsid w:val="3B005163"/>
    <w:rsid w:val="3BC5648D"/>
    <w:rsid w:val="3C131F35"/>
    <w:rsid w:val="3C8B707E"/>
    <w:rsid w:val="3CC7041B"/>
    <w:rsid w:val="3D242F7A"/>
    <w:rsid w:val="3E9C40F3"/>
    <w:rsid w:val="40452982"/>
    <w:rsid w:val="40B15178"/>
    <w:rsid w:val="4139196E"/>
    <w:rsid w:val="417A5F93"/>
    <w:rsid w:val="4296377D"/>
    <w:rsid w:val="42F8070A"/>
    <w:rsid w:val="42F8472E"/>
    <w:rsid w:val="430E0353"/>
    <w:rsid w:val="43357F41"/>
    <w:rsid w:val="433C38D6"/>
    <w:rsid w:val="43530137"/>
    <w:rsid w:val="441C68B9"/>
    <w:rsid w:val="446948F1"/>
    <w:rsid w:val="454707DD"/>
    <w:rsid w:val="45637541"/>
    <w:rsid w:val="45B9632A"/>
    <w:rsid w:val="46EA79BC"/>
    <w:rsid w:val="47407E1B"/>
    <w:rsid w:val="479917B8"/>
    <w:rsid w:val="480C084C"/>
    <w:rsid w:val="480F418D"/>
    <w:rsid w:val="484E76CC"/>
    <w:rsid w:val="485C7A85"/>
    <w:rsid w:val="48693B78"/>
    <w:rsid w:val="486F5D2C"/>
    <w:rsid w:val="48B37191"/>
    <w:rsid w:val="4B077B9F"/>
    <w:rsid w:val="4CA87F48"/>
    <w:rsid w:val="4CF97814"/>
    <w:rsid w:val="4D135041"/>
    <w:rsid w:val="4D797ECA"/>
    <w:rsid w:val="4E7271B8"/>
    <w:rsid w:val="4EB31BF9"/>
    <w:rsid w:val="4EC61E40"/>
    <w:rsid w:val="4EF23FDF"/>
    <w:rsid w:val="4F1A1801"/>
    <w:rsid w:val="4F216E80"/>
    <w:rsid w:val="4F6B7653"/>
    <w:rsid w:val="4F816972"/>
    <w:rsid w:val="505020B9"/>
    <w:rsid w:val="514A0E57"/>
    <w:rsid w:val="515B6E68"/>
    <w:rsid w:val="52511EB8"/>
    <w:rsid w:val="52570C55"/>
    <w:rsid w:val="528945A2"/>
    <w:rsid w:val="5444213F"/>
    <w:rsid w:val="54581D88"/>
    <w:rsid w:val="56A05C5E"/>
    <w:rsid w:val="56AF3A33"/>
    <w:rsid w:val="574C2E7F"/>
    <w:rsid w:val="57691CAA"/>
    <w:rsid w:val="579B39F0"/>
    <w:rsid w:val="57A37E38"/>
    <w:rsid w:val="587662C1"/>
    <w:rsid w:val="589B4900"/>
    <w:rsid w:val="58E45E5C"/>
    <w:rsid w:val="5966249A"/>
    <w:rsid w:val="5974442B"/>
    <w:rsid w:val="599D54F4"/>
    <w:rsid w:val="5ABE63C0"/>
    <w:rsid w:val="5AFF7B53"/>
    <w:rsid w:val="5B5F3C17"/>
    <w:rsid w:val="5C0F18E6"/>
    <w:rsid w:val="5D942074"/>
    <w:rsid w:val="5DC63008"/>
    <w:rsid w:val="5E365821"/>
    <w:rsid w:val="5E845CBB"/>
    <w:rsid w:val="5F42540D"/>
    <w:rsid w:val="5F9A3865"/>
    <w:rsid w:val="601B5D76"/>
    <w:rsid w:val="605308F0"/>
    <w:rsid w:val="60F01468"/>
    <w:rsid w:val="613B531F"/>
    <w:rsid w:val="61537BFA"/>
    <w:rsid w:val="617B675F"/>
    <w:rsid w:val="61941FCD"/>
    <w:rsid w:val="61A372B8"/>
    <w:rsid w:val="61AE74CA"/>
    <w:rsid w:val="61CC184F"/>
    <w:rsid w:val="61FB7F6E"/>
    <w:rsid w:val="626A293A"/>
    <w:rsid w:val="62D41677"/>
    <w:rsid w:val="62FA3689"/>
    <w:rsid w:val="632C62D6"/>
    <w:rsid w:val="633F1FAA"/>
    <w:rsid w:val="64E928BC"/>
    <w:rsid w:val="654318DC"/>
    <w:rsid w:val="65D44687"/>
    <w:rsid w:val="66801568"/>
    <w:rsid w:val="67550FD9"/>
    <w:rsid w:val="6764121C"/>
    <w:rsid w:val="67697562"/>
    <w:rsid w:val="68B41D2F"/>
    <w:rsid w:val="695B7490"/>
    <w:rsid w:val="69C218FE"/>
    <w:rsid w:val="69C77AA6"/>
    <w:rsid w:val="6A36022A"/>
    <w:rsid w:val="6A510174"/>
    <w:rsid w:val="6B6155A0"/>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1645595"/>
    <w:rsid w:val="733573B6"/>
    <w:rsid w:val="734325A8"/>
    <w:rsid w:val="73F7433F"/>
    <w:rsid w:val="746B21E6"/>
    <w:rsid w:val="756F626F"/>
    <w:rsid w:val="75930F1E"/>
    <w:rsid w:val="775748F9"/>
    <w:rsid w:val="77BF12F7"/>
    <w:rsid w:val="78264085"/>
    <w:rsid w:val="78F91413"/>
    <w:rsid w:val="79060B26"/>
    <w:rsid w:val="79606526"/>
    <w:rsid w:val="796F1DC8"/>
    <w:rsid w:val="798E17BF"/>
    <w:rsid w:val="79D16624"/>
    <w:rsid w:val="79E44119"/>
    <w:rsid w:val="7A5A1A94"/>
    <w:rsid w:val="7AA0221D"/>
    <w:rsid w:val="7B705706"/>
    <w:rsid w:val="7C813A8B"/>
    <w:rsid w:val="7D470D1C"/>
    <w:rsid w:val="7DCC36B1"/>
    <w:rsid w:val="7DDA3010"/>
    <w:rsid w:val="7E0E1F5B"/>
    <w:rsid w:val="7F414D8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6"/>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9"/>
    <w:unhideWhenUsed/>
    <w:qFormat/>
    <w:uiPriority w:val="9"/>
    <w:pPr>
      <w:spacing w:before="0" w:beforeAutospacing="0" w:after="0" w:afterAutospacing="0"/>
      <w:jc w:val="left"/>
      <w:outlineLvl w:val="1"/>
    </w:pPr>
    <w:rPr>
      <w:rFonts w:hint="eastAsia" w:ascii="楷体_GB2312" w:hAnsi="楷体_GB2312" w:eastAsia="楷体_GB2312" w:cs="宋体"/>
      <w:b/>
      <w:bCs/>
      <w:kern w:val="0"/>
      <w:sz w:val="28"/>
      <w:szCs w:val="36"/>
      <w:lang w:bidi="ar"/>
    </w:rPr>
  </w:style>
  <w:style w:type="paragraph" w:styleId="4">
    <w:name w:val="heading 3"/>
    <w:basedOn w:val="1"/>
    <w:next w:val="1"/>
    <w:link w:val="30"/>
    <w:unhideWhenUsed/>
    <w:qFormat/>
    <w:uiPriority w:val="9"/>
    <w:pPr>
      <w:keepNext/>
      <w:keepLines/>
      <w:spacing w:line="440" w:lineRule="exact"/>
      <w:outlineLvl w:val="2"/>
    </w:pPr>
    <w:rPr>
      <w:b/>
      <w:bCs/>
      <w:szCs w:val="32"/>
    </w:rPr>
  </w:style>
  <w:style w:type="paragraph" w:styleId="5">
    <w:name w:val="heading 4"/>
    <w:basedOn w:val="1"/>
    <w:next w:val="1"/>
    <w:link w:val="31"/>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9">
    <w:name w:val="Body Text"/>
    <w:basedOn w:val="1"/>
    <w:next w:val="10"/>
    <w:semiHidden/>
    <w:qFormat/>
    <w:uiPriority w:val="0"/>
    <w:rPr>
      <w:rFonts w:ascii="FangSong_GB2312" w:hAnsi="FangSong_GB2312" w:eastAsia="FangSong_GB2312" w:cs="FangSong_GB2312"/>
      <w:sz w:val="31"/>
      <w:szCs w:val="31"/>
      <w:lang w:val="en-US" w:eastAsia="en-US" w:bidi="ar-SA"/>
    </w:rPr>
  </w:style>
  <w:style w:type="paragraph" w:styleId="10">
    <w:name w:val="Title"/>
    <w:basedOn w:val="1"/>
    <w:next w:val="1"/>
    <w:link w:val="28"/>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paragraph" w:styleId="11">
    <w:name w:val="footer"/>
    <w:basedOn w:val="1"/>
    <w:link w:val="32"/>
    <w:unhideWhenUsed/>
    <w:qFormat/>
    <w:uiPriority w:val="99"/>
    <w:pPr>
      <w:tabs>
        <w:tab w:val="center" w:pos="4153"/>
        <w:tab w:val="right" w:pos="8306"/>
      </w:tabs>
      <w:snapToGrid w:val="0"/>
    </w:pPr>
    <w:rPr>
      <w:sz w:val="18"/>
      <w:szCs w:val="18"/>
    </w:rPr>
  </w:style>
  <w:style w:type="paragraph" w:styleId="12">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4"/>
    <w:qFormat/>
    <w:uiPriority w:val="11"/>
    <w:pPr>
      <w:outlineLvl w:val="1"/>
    </w:pPr>
    <w:rPr>
      <w:b/>
      <w:bCs/>
      <w:kern w:val="28"/>
      <w:szCs w:val="32"/>
    </w:rPr>
  </w:style>
  <w:style w:type="paragraph" w:styleId="14">
    <w:name w:val="footnote text"/>
    <w:basedOn w:val="1"/>
    <w:qFormat/>
    <w:uiPriority w:val="0"/>
    <w:pPr>
      <w:snapToGrid w:val="0"/>
      <w:jc w:val="left"/>
    </w:pPr>
    <w:rPr>
      <w:sz w:val="18"/>
      <w:szCs w:val="20"/>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styleId="25">
    <w:name w:val="footnote reference"/>
    <w:qFormat/>
    <w:uiPriority w:val="0"/>
    <w:rPr>
      <w:rFonts w:hint="default" w:ascii="Verdana" w:hAnsi="Verdana" w:eastAsia="宋体" w:cs="Verdana"/>
      <w:kern w:val="0"/>
      <w:sz w:val="20"/>
      <w:szCs w:val="20"/>
      <w:vertAlign w:val="superscript"/>
      <w:lang w:eastAsia="en-US"/>
    </w:rPr>
  </w:style>
  <w:style w:type="character" w:customStyle="1" w:styleId="26">
    <w:name w:val="标题 1 字符"/>
    <w:basedOn w:val="18"/>
    <w:link w:val="2"/>
    <w:qFormat/>
    <w:uiPriority w:val="9"/>
    <w:rPr>
      <w:rFonts w:ascii="黑体" w:hAnsi="黑体" w:eastAsia="黑体"/>
      <w:bCs/>
      <w:kern w:val="44"/>
      <w:sz w:val="28"/>
      <w:szCs w:val="44"/>
    </w:rPr>
  </w:style>
  <w:style w:type="character" w:customStyle="1" w:styleId="27">
    <w:name w:val="标题 3 Char1"/>
    <w:link w:val="4"/>
    <w:qFormat/>
    <w:uiPriority w:val="9"/>
    <w:rPr>
      <w:rFonts w:ascii="仿宋_GB2312" w:hAnsi="仿宋_GB2312" w:eastAsia="仿宋_GB2312"/>
      <w:b/>
    </w:rPr>
  </w:style>
  <w:style w:type="character" w:customStyle="1" w:styleId="28">
    <w:name w:val="标题 字符"/>
    <w:basedOn w:val="18"/>
    <w:link w:val="10"/>
    <w:qFormat/>
    <w:uiPriority w:val="10"/>
    <w:rPr>
      <w:rFonts w:ascii="华文中宋" w:hAnsi="华文中宋" w:eastAsia="华文中宋" w:cs="Times New Roman"/>
      <w:b/>
      <w:bCs/>
      <w:sz w:val="32"/>
      <w:szCs w:val="32"/>
    </w:rPr>
  </w:style>
  <w:style w:type="character" w:customStyle="1" w:styleId="29">
    <w:name w:val="标题 2 字符"/>
    <w:basedOn w:val="18"/>
    <w:link w:val="3"/>
    <w:qFormat/>
    <w:uiPriority w:val="9"/>
    <w:rPr>
      <w:rFonts w:ascii="楷体_GB2312" w:hAnsi="楷体_GB2312" w:eastAsia="楷体_GB2312" w:cs="Times New Roman"/>
      <w:b/>
      <w:bCs/>
      <w:sz w:val="28"/>
      <w:szCs w:val="32"/>
    </w:rPr>
  </w:style>
  <w:style w:type="character" w:customStyle="1" w:styleId="30">
    <w:name w:val="标题 3 字符"/>
    <w:basedOn w:val="18"/>
    <w:link w:val="4"/>
    <w:semiHidden/>
    <w:qFormat/>
    <w:uiPriority w:val="9"/>
    <w:rPr>
      <w:rFonts w:ascii="仿宋_GB2312" w:hAnsi="仿宋_GB2312" w:eastAsia="仿宋_GB2312"/>
      <w:b/>
      <w:bCs/>
      <w:kern w:val="2"/>
      <w:sz w:val="28"/>
      <w:szCs w:val="32"/>
    </w:rPr>
  </w:style>
  <w:style w:type="character" w:customStyle="1" w:styleId="31">
    <w:name w:val="标题 4 Char1"/>
    <w:link w:val="5"/>
    <w:qFormat/>
    <w:uiPriority w:val="9"/>
    <w:rPr>
      <w:rFonts w:ascii="仿宋_GB2312" w:hAnsi="仿宋_GB2312" w:eastAsia="仿宋_GB2312"/>
    </w:rPr>
  </w:style>
  <w:style w:type="character" w:customStyle="1" w:styleId="32">
    <w:name w:val="页脚 字符"/>
    <w:basedOn w:val="18"/>
    <w:link w:val="11"/>
    <w:qFormat/>
    <w:uiPriority w:val="99"/>
    <w:rPr>
      <w:sz w:val="18"/>
      <w:szCs w:val="18"/>
    </w:rPr>
  </w:style>
  <w:style w:type="character" w:customStyle="1" w:styleId="33">
    <w:name w:val="页眉 字符"/>
    <w:basedOn w:val="18"/>
    <w:link w:val="12"/>
    <w:qFormat/>
    <w:uiPriority w:val="99"/>
    <w:rPr>
      <w:sz w:val="18"/>
      <w:szCs w:val="18"/>
    </w:rPr>
  </w:style>
  <w:style w:type="character" w:customStyle="1" w:styleId="34">
    <w:name w:val="副标题 字符"/>
    <w:basedOn w:val="18"/>
    <w:link w:val="13"/>
    <w:qFormat/>
    <w:uiPriority w:val="11"/>
    <w:rPr>
      <w:rFonts w:ascii="仿宋_GB2312" w:eastAsia="仿宋_GB2312"/>
      <w:b/>
      <w:bCs/>
      <w:kern w:val="28"/>
      <w:sz w:val="28"/>
      <w:szCs w:val="32"/>
    </w:rPr>
  </w:style>
  <w:style w:type="paragraph" w:styleId="35">
    <w:name w:val="Quote"/>
    <w:basedOn w:val="1"/>
    <w:next w:val="1"/>
    <w:link w:val="36"/>
    <w:qFormat/>
    <w:uiPriority w:val="29"/>
    <w:pPr>
      <w:ind w:firstLine="486"/>
    </w:pPr>
    <w:rPr>
      <w:rFonts w:eastAsia="华文楷体"/>
      <w:iCs/>
      <w:spacing w:val="-16"/>
      <w:w w:val="98"/>
    </w:rPr>
  </w:style>
  <w:style w:type="character" w:customStyle="1" w:styleId="36">
    <w:name w:val="引用 字符"/>
    <w:basedOn w:val="18"/>
    <w:link w:val="35"/>
    <w:qFormat/>
    <w:uiPriority w:val="29"/>
    <w:rPr>
      <w:rFonts w:ascii="仿宋_GB2312" w:eastAsia="华文楷体"/>
      <w:iCs/>
      <w:spacing w:val="-16"/>
      <w:w w:val="98"/>
      <w:sz w:val="28"/>
    </w:rPr>
  </w:style>
  <w:style w:type="paragraph" w:styleId="37">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8">
    <w:name w:val="不明显强调1"/>
    <w:basedOn w:val="18"/>
    <w:qFormat/>
    <w:uiPriority w:val="19"/>
    <w:rPr>
      <w:i/>
      <w:iCs/>
      <w:color w:val="3F3F3F"/>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itle_m"/>
    <w:basedOn w:val="1"/>
    <w:qFormat/>
    <w:uiPriority w:val="0"/>
    <w:pPr>
      <w:jc w:val="center"/>
    </w:pPr>
    <w:rPr>
      <w:rFonts w:ascii="宋体" w:hAnsi="宋体" w:eastAsia="宋体" w:cs="宋体"/>
      <w:b/>
      <w:bCs/>
      <w:sz w:val="32"/>
      <w:szCs w:val="32"/>
    </w:rPr>
  </w:style>
  <w:style w:type="paragraph" w:customStyle="1" w:styleId="41">
    <w:name w:val="fulltext_text"/>
    <w:basedOn w:val="1"/>
    <w:qFormat/>
    <w:uiPriority w:val="0"/>
    <w:pPr>
      <w:spacing w:line="525" w:lineRule="atLeast"/>
    </w:pPr>
    <w:rPr>
      <w:rFonts w:ascii="宋体" w:hAnsi="宋体" w:eastAsia="宋体" w:cs="宋体"/>
      <w:sz w:val="24"/>
      <w:szCs w:val="24"/>
    </w:rPr>
  </w:style>
  <w:style w:type="character" w:customStyle="1" w:styleId="42">
    <w:name w:val="c_tiao"/>
    <w:basedOn w:val="18"/>
    <w:qFormat/>
    <w:uiPriority w:val="0"/>
    <w:rPr>
      <w:rFonts w:ascii="宋体" w:hAnsi="宋体" w:eastAsia="宋体" w:cs="宋体"/>
      <w:b/>
      <w:bCs/>
      <w:sz w:val="24"/>
      <w:szCs w:val="24"/>
    </w:rPr>
  </w:style>
  <w:style w:type="paragraph" w:customStyle="1" w:styleId="43">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6">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7">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8">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9">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1">
    <w:name w:val="Body text|3"/>
    <w:basedOn w:val="1"/>
    <w:qFormat/>
    <w:uiPriority w:val="0"/>
    <w:pPr>
      <w:widowControl w:val="0"/>
      <w:shd w:val="clear" w:color="auto" w:fill="auto"/>
      <w:spacing w:line="363" w:lineRule="exact"/>
      <w:ind w:firstLine="140"/>
    </w:pPr>
    <w:rPr>
      <w:u w:val="none"/>
      <w:shd w:val="clear" w:color="auto" w:fill="auto"/>
    </w:rPr>
  </w:style>
  <w:style w:type="paragraph" w:customStyle="1" w:styleId="52">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0</Words>
  <Characters>0</Characters>
  <Lines>1</Lines>
  <Paragraphs>1</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2026-04-03T09:58:50Z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9D40FE0839064AC6A5DC3D291911279F_13</vt:lpwstr>
  </property>
  <property fmtid="{D5CDD505-2E9C-101B-9397-08002B2CF9AE}" pid="4" name="KSOTemplateDocerSaveRecord">
    <vt:lpwstr>eyJoZGlkIjoiMjIxMjI5YjhlNTAxYzUyOTYyYWZlMGFjYmE4ZTczY2EiLCJ1c2VySWQiOiIxNDU2NzYxMDUwIn0=</vt:lpwstr>
  </property>
</Properties>
</file>