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B934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w:t>
      </w:r>
    </w:p>
    <w:p w14:paraId="436DF3E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2026年“6G平台支持”专项奖励</w:t>
      </w:r>
    </w:p>
    <w:p w14:paraId="1BD2E95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cs="仿宋_GB2312"/>
          <w:kern w:val="0"/>
          <w:sz w:val="44"/>
          <w:szCs w:val="44"/>
          <w:lang w:bidi="ar"/>
        </w:rPr>
      </w:pPr>
      <w:r>
        <w:rPr>
          <w:rFonts w:hint="eastAsia" w:ascii="方正小标宋简体" w:hAnsi="方正小标宋简体" w:eastAsia="方正小标宋简体" w:cs="方正小标宋简体"/>
          <w:kern w:val="0"/>
          <w:sz w:val="44"/>
          <w:szCs w:val="44"/>
          <w:lang w:bidi="ar"/>
        </w:rPr>
        <w:t>办事指南</w:t>
      </w:r>
    </w:p>
    <w:p w14:paraId="03802650">
      <w:pPr>
        <w:keepNext w:val="0"/>
        <w:keepLines w:val="0"/>
        <w:pageBreakBefore w:val="0"/>
        <w:kinsoku/>
        <w:wordWrap/>
        <w:overflowPunct/>
        <w:topLinePunct w:val="0"/>
        <w:autoSpaceDE/>
        <w:autoSpaceDN/>
        <w:bidi w:val="0"/>
        <w:adjustRightInd/>
        <w:snapToGrid/>
        <w:spacing w:line="560" w:lineRule="exact"/>
        <w:ind w:firstLine="640"/>
        <w:textAlignment w:val="auto"/>
        <w:outlineLvl w:val="0"/>
        <w:rPr>
          <w:rFonts w:hint="eastAsia" w:ascii="仿宋_GB2312" w:hAnsi="仿宋_GB2312" w:eastAsia="仿宋_GB2312" w:cs="仿宋_GB2312"/>
        </w:rPr>
      </w:pPr>
    </w:p>
    <w:p w14:paraId="29B50035">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cs="黑体"/>
        </w:rPr>
      </w:pPr>
      <w:r>
        <w:rPr>
          <w:rFonts w:hint="eastAsia" w:ascii="黑体" w:hAnsi="黑体" w:eastAsia="黑体" w:cs="黑体"/>
        </w:rPr>
        <w:t>一、政策依据</w:t>
      </w:r>
    </w:p>
    <w:p w14:paraId="5F3B8C7A">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cs="仿宋_GB2312"/>
          <w:kern w:val="0"/>
          <w:lang w:bidi="ar"/>
        </w:rPr>
      </w:pPr>
      <w:r>
        <w:rPr>
          <w:rFonts w:hint="eastAsia" w:ascii="仿宋_GB2312" w:hAnsi="仿宋_GB2312" w:cs="仿宋_GB2312"/>
          <w:kern w:val="0"/>
          <w:lang w:bidi="ar"/>
        </w:rPr>
        <w:t>根据《北京经济技术开发区关于加快推动6G技术和产业创新发展的若干措施》（京技管发〔202</w:t>
      </w:r>
      <w:r>
        <w:rPr>
          <w:rFonts w:hint="eastAsia" w:ascii="仿宋_GB2312" w:hAnsi="仿宋_GB2312" w:cs="仿宋_GB2312"/>
          <w:kern w:val="0"/>
          <w:lang w:val="en-US" w:eastAsia="zh-CN" w:bidi="ar"/>
        </w:rPr>
        <w:t>5</w:t>
      </w:r>
      <w:r>
        <w:rPr>
          <w:rFonts w:hint="eastAsia" w:ascii="仿宋_GB2312" w:hAnsi="仿宋_GB2312" w:cs="仿宋_GB2312"/>
          <w:kern w:val="0"/>
          <w:lang w:bidi="ar"/>
        </w:rPr>
        <w:t>〕</w:t>
      </w:r>
      <w:r>
        <w:rPr>
          <w:rFonts w:hint="eastAsia" w:ascii="仿宋_GB2312" w:hAnsi="仿宋_GB2312" w:cs="仿宋_GB2312"/>
          <w:kern w:val="0"/>
          <w:lang w:val="en-US" w:eastAsia="zh-CN" w:bidi="ar"/>
        </w:rPr>
        <w:t>14</w:t>
      </w:r>
      <w:r>
        <w:rPr>
          <w:rFonts w:hint="eastAsia" w:ascii="仿宋_GB2312" w:hAnsi="仿宋_GB2312" w:cs="仿宋_GB2312"/>
          <w:kern w:val="0"/>
          <w:lang w:bidi="ar"/>
        </w:rPr>
        <w:t>号，以下简称《若干措施》）</w:t>
      </w:r>
      <w:r>
        <w:rPr>
          <w:rFonts w:hint="eastAsia" w:ascii="仿宋_GB2312" w:hAnsi="仿宋_GB2312" w:cs="仿宋_GB2312"/>
          <w:kern w:val="0"/>
          <w:lang w:val="en-US" w:eastAsia="zh-CN" w:bidi="ar"/>
        </w:rPr>
        <w:t>第五条</w:t>
      </w:r>
      <w:r>
        <w:rPr>
          <w:rFonts w:hint="eastAsia" w:ascii="仿宋_GB2312" w:hAnsi="仿宋_GB2312" w:cs="仿宋_GB2312"/>
          <w:kern w:val="0"/>
          <w:lang w:bidi="ar"/>
        </w:rPr>
        <w:t>“对实体化运行的相关平台，经评审认定，给予连续不超过三年，每年最高3000万元支持”</w:t>
      </w:r>
      <w:r>
        <w:rPr>
          <w:rFonts w:hint="eastAsia" w:ascii="仿宋_GB2312" w:hAnsi="仿宋_GB2312" w:cs="仿宋_GB2312"/>
          <w:kern w:val="0"/>
          <w:lang w:eastAsia="zh-CN" w:bidi="ar"/>
        </w:rPr>
        <w:t>。</w:t>
      </w:r>
    </w:p>
    <w:p w14:paraId="169F1D74">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cs="黑体"/>
        </w:rPr>
      </w:pPr>
      <w:r>
        <w:rPr>
          <w:rFonts w:hint="eastAsia" w:ascii="黑体" w:hAnsi="黑体" w:eastAsia="黑体" w:cs="黑体"/>
        </w:rPr>
        <w:t>二、申报事项</w:t>
      </w:r>
    </w:p>
    <w:p w14:paraId="1C6BFEC7">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cs="仿宋_GB2312"/>
          <w:kern w:val="0"/>
          <w:lang w:bidi="ar"/>
        </w:rPr>
      </w:pPr>
      <w:r>
        <w:rPr>
          <w:rFonts w:hint="eastAsia" w:ascii="仿宋_GB2312" w:hAnsi="仿宋_GB2312" w:cs="仿宋_GB2312"/>
          <w:kern w:val="0"/>
          <w:lang w:bidi="ar"/>
        </w:rPr>
        <w:t>2026年“6G平台支持”专项奖励</w:t>
      </w:r>
    </w:p>
    <w:p w14:paraId="451B7FB5">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cs="黑体"/>
          <w:kern w:val="0"/>
          <w:lang w:bidi="ar"/>
        </w:rPr>
      </w:pPr>
      <w:r>
        <w:rPr>
          <w:rFonts w:hint="eastAsia" w:ascii="黑体" w:hAnsi="黑体" w:eastAsia="黑体" w:cs="黑体"/>
          <w:kern w:val="0"/>
          <w:lang w:bidi="ar"/>
        </w:rPr>
        <w:t>三、申报条件</w:t>
      </w:r>
    </w:p>
    <w:p w14:paraId="2B752B3F">
      <w:pPr>
        <w:keepNext w:val="0"/>
        <w:keepLines w:val="0"/>
        <w:pageBreakBefore w:val="0"/>
        <w:widowControl w:val="0"/>
        <w:kinsoku/>
        <w:wordWrap/>
        <w:overflowPunct/>
        <w:topLinePunct w:val="0"/>
        <w:autoSpaceDE/>
        <w:autoSpaceDN/>
        <w:bidi w:val="0"/>
        <w:adjustRightInd/>
        <w:snapToGrid/>
        <w:spacing w:beforeLines="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单位应符合下列条件之一：</w:t>
      </w:r>
    </w:p>
    <w:p w14:paraId="7C8AEC08">
      <w:pPr>
        <w:keepNext w:val="0"/>
        <w:keepLines w:val="0"/>
        <w:pageBreakBefore w:val="0"/>
        <w:widowControl w:val="0"/>
        <w:kinsoku/>
        <w:wordWrap/>
        <w:overflowPunct/>
        <w:topLinePunct w:val="0"/>
        <w:autoSpaceDE/>
        <w:autoSpaceDN/>
        <w:bidi w:val="0"/>
        <w:adjustRightInd/>
        <w:snapToGrid/>
        <w:spacing w:beforeLines="0" w:line="560" w:lineRule="exact"/>
        <w:ind w:left="0" w:right="0"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highlight w:val="none"/>
          <w:lang w:bidi="ar"/>
        </w:rPr>
        <w:t>申报主体为在亦庄新城225平方公里范围内实际经营，近3年无重大行政处罚记录和刑事犯罪记录，未列入严重违法失信主体名单的</w:t>
      </w:r>
      <w:r>
        <w:rPr>
          <w:rFonts w:hint="eastAsia" w:ascii="仿宋_GB2312" w:hAnsi="仿宋_GB2312" w:eastAsia="仿宋_GB2312" w:cs="仿宋_GB2312"/>
          <w:kern w:val="0"/>
          <w:sz w:val="32"/>
          <w:szCs w:val="32"/>
          <w:highlight w:val="none"/>
          <w:lang w:val="en-US" w:eastAsia="zh-CN" w:bidi="ar"/>
        </w:rPr>
        <w:t>企业，并对外开放6G测试环境。</w:t>
      </w:r>
    </w:p>
    <w:p w14:paraId="53D3DBAC">
      <w:pPr>
        <w:keepNext w:val="0"/>
        <w:keepLines w:val="0"/>
        <w:pageBreakBefore w:val="0"/>
        <w:widowControl w:val="0"/>
        <w:kinsoku/>
        <w:wordWrap/>
        <w:overflowPunct/>
        <w:topLinePunct w:val="0"/>
        <w:autoSpaceDE/>
        <w:autoSpaceDN/>
        <w:bidi w:val="0"/>
        <w:adjustRightInd/>
        <w:snapToGrid/>
        <w:spacing w:beforeLines="0" w:line="560" w:lineRule="exact"/>
        <w:ind w:left="0" w:right="0"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在经开区建设</w:t>
      </w:r>
      <w:r>
        <w:rPr>
          <w:rFonts w:hint="eastAsia" w:ascii="仿宋_GB2312" w:hAnsi="仿宋_GB2312" w:eastAsia="仿宋_GB2312" w:cs="仿宋_GB2312"/>
          <w:sz w:val="32"/>
          <w:szCs w:val="32"/>
          <w:highlight w:val="none"/>
          <w:lang w:val="en-US" w:eastAsia="zh-CN"/>
        </w:rPr>
        <w:t>并运营</w:t>
      </w:r>
      <w:r>
        <w:rPr>
          <w:rFonts w:hint="eastAsia" w:ascii="仿宋_GB2312" w:hAnsi="仿宋_GB2312" w:eastAsia="仿宋_GB2312" w:cs="仿宋_GB2312"/>
          <w:sz w:val="32"/>
          <w:szCs w:val="32"/>
          <w:highlight w:val="none"/>
        </w:rPr>
        <w:t>6G试验验证及中试平台</w:t>
      </w:r>
      <w:r>
        <w:rPr>
          <w:rFonts w:hint="eastAsia" w:ascii="仿宋_GB2312" w:hAnsi="仿宋_GB2312" w:eastAsia="仿宋_GB2312" w:cs="仿宋_GB2312"/>
          <w:sz w:val="32"/>
          <w:szCs w:val="32"/>
          <w:highlight w:val="none"/>
          <w:lang w:val="en-US" w:eastAsia="zh-CN"/>
        </w:rPr>
        <w:t>的机构。</w:t>
      </w:r>
    </w:p>
    <w:p w14:paraId="75116B23">
      <w:pPr>
        <w:keepNext w:val="0"/>
        <w:keepLines w:val="0"/>
        <w:pageBreakBefore w:val="0"/>
        <w:widowControl w:val="0"/>
        <w:kinsoku/>
        <w:wordWrap/>
        <w:overflowPunct/>
        <w:topLinePunct w:val="0"/>
        <w:autoSpaceDE/>
        <w:autoSpaceDN/>
        <w:bidi w:val="0"/>
        <w:adjustRightInd/>
        <w:snapToGrid/>
        <w:spacing w:beforeLines="0" w:line="560" w:lineRule="exact"/>
        <w:ind w:left="0"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申报主体需</w:t>
      </w:r>
      <w:r>
        <w:rPr>
          <w:rFonts w:hint="eastAsia" w:ascii="仿宋_GB2312" w:hAnsi="仿宋_GB2312" w:eastAsia="仿宋_GB2312" w:cs="仿宋_GB2312"/>
          <w:sz w:val="32"/>
          <w:szCs w:val="32"/>
          <w:highlight w:val="none"/>
          <w:lang w:val="en-US" w:eastAsia="zh-CN"/>
        </w:rPr>
        <w:t>撰写</w:t>
      </w:r>
      <w:r>
        <w:rPr>
          <w:rFonts w:hint="eastAsia" w:ascii="仿宋_GB2312" w:hAnsi="仿宋_GB2312" w:eastAsia="仿宋_GB2312" w:cs="仿宋_GB2312"/>
          <w:b w:val="0"/>
          <w:bCs w:val="0"/>
          <w:sz w:val="32"/>
          <w:szCs w:val="40"/>
          <w:lang w:val="en-US" w:eastAsia="zh-CN"/>
        </w:rPr>
        <w:t>《6G试验验证及中试平台项目申报书》</w:t>
      </w:r>
      <w:r>
        <w:rPr>
          <w:rFonts w:hint="eastAsia" w:ascii="仿宋_GB2312" w:hAnsi="仿宋_GB2312" w:eastAsia="仿宋_GB2312" w:cs="仿宋_GB2312"/>
          <w:sz w:val="32"/>
          <w:szCs w:val="32"/>
          <w:highlight w:val="none"/>
        </w:rPr>
        <w:t>，并提供能够证明本</w:t>
      </w:r>
      <w:r>
        <w:rPr>
          <w:rFonts w:hint="eastAsia" w:ascii="仿宋_GB2312" w:hAnsi="仿宋_GB2312" w:eastAsia="仿宋_GB2312" w:cs="仿宋_GB2312"/>
          <w:sz w:val="32"/>
          <w:szCs w:val="32"/>
          <w:highlight w:val="none"/>
          <w:lang w:val="en-US" w:eastAsia="zh-CN"/>
        </w:rPr>
        <w:t>申请主体</w:t>
      </w:r>
      <w:r>
        <w:rPr>
          <w:rFonts w:hint="eastAsia" w:ascii="仿宋_GB2312" w:hAnsi="仿宋_GB2312" w:eastAsia="仿宋_GB2312" w:cs="仿宋_GB2312"/>
          <w:sz w:val="32"/>
          <w:szCs w:val="32"/>
          <w:highlight w:val="none"/>
        </w:rPr>
        <w:t>具备平台建设基础能力的相关证明材料。</w:t>
      </w:r>
    </w:p>
    <w:p w14:paraId="4E912B76">
      <w:pPr>
        <w:keepNext w:val="0"/>
        <w:keepLines w:val="0"/>
        <w:pageBreakBefore w:val="0"/>
        <w:widowControl w:val="0"/>
        <w:kinsoku/>
        <w:wordWrap/>
        <w:overflowPunct/>
        <w:topLinePunct w:val="0"/>
        <w:autoSpaceDE/>
        <w:autoSpaceDN/>
        <w:bidi w:val="0"/>
        <w:adjustRightInd/>
        <w:snapToGrid/>
        <w:spacing w:beforeLines="0" w:line="560" w:lineRule="exact"/>
        <w:ind w:left="0" w:right="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申报主体应为6G领域细分赛道企事业单位，团队需具备6G产业背景。拟建设平台能够提供6G太赫兹通信、智能超表面、通感一体化</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算力网络等关键技术研发测试环境，以及中试产线、检测认证</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标准验证等服务资源，推动6G核心器件、终端设备、网络系统</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技术攻关与产业化进程，且相关建设成效可通过量化成果进行考核。</w:t>
      </w:r>
      <w:r>
        <w:rPr>
          <w:rFonts w:hint="eastAsia" w:ascii="仿宋_GB2312" w:hAnsi="仿宋_GB2312" w:eastAsia="仿宋_GB2312" w:cs="仿宋_GB2312"/>
          <w:sz w:val="32"/>
          <w:szCs w:val="32"/>
          <w:highlight w:val="none"/>
          <w:lang w:val="en-US" w:eastAsia="zh-CN"/>
        </w:rPr>
        <w:t>鼓励拟建设平台联合区内相关企业，在智能终端、智能网联汽车、具身智能等领域构建全场景服务资源，助力推动经开区6G新型业务场景建设。</w:t>
      </w:r>
    </w:p>
    <w:p w14:paraId="501A49CA">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cs="黑体"/>
        </w:rPr>
      </w:pPr>
      <w:r>
        <w:rPr>
          <w:rFonts w:hint="eastAsia" w:ascii="黑体" w:hAnsi="黑体" w:eastAsia="黑体" w:cs="黑体"/>
        </w:rPr>
        <w:t>四、支持内容和标准</w:t>
      </w:r>
    </w:p>
    <w:p w14:paraId="6909E7A1">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仿宋_GB2312"/>
          <w:kern w:val="0"/>
          <w:highlight w:val="none"/>
          <w:lang w:bidi="ar"/>
        </w:rPr>
      </w:pPr>
      <w:r>
        <w:rPr>
          <w:rFonts w:hint="default" w:ascii="仿宋_GB2312" w:hAnsi="仿宋_GB2312" w:cs="仿宋_GB2312"/>
        </w:rPr>
        <w:t>6G试验验证及中试平台建设应</w:t>
      </w:r>
      <w:r>
        <w:rPr>
          <w:rFonts w:hint="eastAsia" w:ascii="仿宋_GB2312" w:hAnsi="仿宋_GB2312" w:cs="仿宋_GB2312"/>
          <w:lang w:val="en-US" w:eastAsia="zh-CN"/>
        </w:rPr>
        <w:t>不晚</w:t>
      </w:r>
      <w:r>
        <w:rPr>
          <w:rFonts w:hint="default" w:ascii="仿宋_GB2312" w:hAnsi="仿宋_GB2312" w:cs="仿宋_GB2312"/>
        </w:rPr>
        <w:t>于</w:t>
      </w:r>
      <w:r>
        <w:rPr>
          <w:rFonts w:hint="eastAsia" w:ascii="仿宋_GB2312" w:hAnsi="仿宋_GB2312" w:cs="仿宋_GB2312"/>
          <w:lang w:val="en-US" w:eastAsia="zh-CN"/>
        </w:rPr>
        <w:t>项目申报该专项奖励</w:t>
      </w:r>
      <w:r>
        <w:rPr>
          <w:rFonts w:hint="default" w:ascii="仿宋_GB2312" w:hAnsi="仿宋_GB2312" w:cs="仿宋_GB2312"/>
        </w:rPr>
        <w:t>当年启动，原则上建设与运营周期不少于</w:t>
      </w:r>
      <w:r>
        <w:rPr>
          <w:rFonts w:hint="eastAsia" w:ascii="仿宋_GB2312" w:hAnsi="仿宋_GB2312" w:cs="仿宋_GB2312"/>
          <w:highlight w:val="none"/>
          <w:lang w:val="en-US" w:eastAsia="zh-CN"/>
        </w:rPr>
        <w:t>3</w:t>
      </w:r>
      <w:r>
        <w:rPr>
          <w:rFonts w:hint="default" w:ascii="仿宋_GB2312" w:hAnsi="仿宋_GB2312" w:cs="仿宋_GB2312"/>
        </w:rPr>
        <w:t>年。由申报单位填写项目</w:t>
      </w:r>
      <w:r>
        <w:rPr>
          <w:rFonts w:hint="eastAsia" w:ascii="仿宋_GB2312" w:hAnsi="仿宋_GB2312" w:cs="仿宋_GB2312"/>
          <w:lang w:eastAsia="zh-CN"/>
        </w:rPr>
        <w:t>《</w:t>
      </w:r>
      <w:r>
        <w:rPr>
          <w:rFonts w:hint="default" w:ascii="仿宋_GB2312" w:hAnsi="仿宋_GB2312" w:cs="仿宋_GB2312"/>
        </w:rPr>
        <w:t>申报书</w:t>
      </w:r>
      <w:r>
        <w:rPr>
          <w:rFonts w:hint="eastAsia" w:ascii="仿宋_GB2312" w:hAnsi="仿宋_GB2312" w:cs="仿宋_GB2312"/>
          <w:lang w:eastAsia="zh-CN"/>
        </w:rPr>
        <w:t>》</w:t>
      </w:r>
      <w:r>
        <w:rPr>
          <w:rFonts w:hint="default" w:ascii="仿宋_GB2312" w:hAnsi="仿宋_GB2312" w:cs="仿宋_GB2312"/>
        </w:rPr>
        <w:t>，明确拟申请支持金额和平台拟建设情况。经开区根据申报单位工作基础、拟建设平台服务能力和预期成效等内容，经评审后择优与申报单位签订《6G试验验证及中试平台项目任务书》（以下简称《任务书》），确定</w:t>
      </w:r>
      <w:r>
        <w:rPr>
          <w:rFonts w:hint="default" w:ascii="仿宋_GB2312" w:hAnsi="仿宋_GB2312" w:cs="仿宋_GB2312"/>
          <w:highlight w:val="none"/>
        </w:rPr>
        <w:t>最终支持年限和各年度最高支持金额。</w:t>
      </w:r>
      <w:r>
        <w:rPr>
          <w:rFonts w:hint="eastAsia" w:ascii="仿宋_GB2312" w:hAnsi="仿宋_GB2312" w:cs="仿宋_GB2312"/>
          <w:highlight w:val="none"/>
          <w:lang w:val="en-US" w:eastAsia="zh-CN"/>
        </w:rPr>
        <w:t>连续</w:t>
      </w:r>
      <w:r>
        <w:rPr>
          <w:rFonts w:hint="default" w:ascii="仿宋_GB2312" w:hAnsi="仿宋_GB2312" w:cs="仿宋_GB2312"/>
          <w:highlight w:val="none"/>
        </w:rPr>
        <w:t>支持不超过</w:t>
      </w:r>
      <w:r>
        <w:rPr>
          <w:rFonts w:hint="eastAsia" w:ascii="仿宋_GB2312" w:hAnsi="仿宋_GB2312" w:cs="仿宋_GB2312"/>
          <w:highlight w:val="none"/>
          <w:lang w:eastAsia="zh-CN"/>
        </w:rPr>
        <w:t>3</w:t>
      </w:r>
      <w:r>
        <w:rPr>
          <w:rFonts w:hint="default" w:ascii="仿宋_GB2312" w:hAnsi="仿宋_GB2312" w:cs="仿宋_GB2312"/>
          <w:highlight w:val="none"/>
        </w:rPr>
        <w:t>年，每年给予资金支持</w:t>
      </w:r>
      <w:r>
        <w:rPr>
          <w:rFonts w:hint="eastAsia" w:ascii="仿宋_GB2312" w:hAnsi="仿宋_GB2312" w:cs="仿宋_GB2312"/>
          <w:highlight w:val="none"/>
          <w:lang w:val="en-US" w:eastAsia="zh-CN"/>
        </w:rPr>
        <w:t>最高3</w:t>
      </w:r>
      <w:r>
        <w:rPr>
          <w:rFonts w:hint="default" w:ascii="仿宋_GB2312" w:hAnsi="仿宋_GB2312" w:cs="仿宋_GB2312"/>
          <w:highlight w:val="none"/>
        </w:rPr>
        <w:t>000万元。</w:t>
      </w:r>
    </w:p>
    <w:p w14:paraId="18FE8011">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仿宋_GB2312"/>
          <w:kern w:val="0"/>
          <w:lang w:bidi="ar"/>
        </w:rPr>
      </w:pPr>
      <w:r>
        <w:rPr>
          <w:rFonts w:hint="eastAsia" w:ascii="黑体" w:hAnsi="黑体" w:eastAsia="黑体" w:cs="仿宋_GB2312"/>
          <w:kern w:val="0"/>
          <w:lang w:bidi="ar"/>
        </w:rPr>
        <w:t>五、申报材料及要求</w:t>
      </w:r>
    </w:p>
    <w:p w14:paraId="70ED4ADF">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cs="仿宋_GB2312"/>
          <w:kern w:val="0"/>
          <w:lang w:bidi="ar"/>
        </w:rPr>
      </w:pPr>
      <w:r>
        <w:rPr>
          <w:rFonts w:hint="eastAsia" w:ascii="仿宋_GB2312" w:hAnsi="仿宋_GB2312" w:cs="仿宋_GB2312"/>
          <w:kern w:val="0"/>
          <w:lang w:bidi="ar"/>
        </w:rPr>
        <w:t>1.</w:t>
      </w:r>
      <w:r>
        <w:rPr>
          <w:rFonts w:hint="eastAsia" w:ascii="仿宋_GB2312" w:hAnsi="仿宋_GB2312" w:cs="仿宋_GB2312"/>
          <w:kern w:val="0"/>
          <w:lang w:val="en-US" w:eastAsia="zh-CN" w:bidi="ar"/>
        </w:rPr>
        <w:t>2026年</w:t>
      </w:r>
      <w:r>
        <w:rPr>
          <w:rFonts w:hint="eastAsia" w:ascii="仿宋_GB2312" w:hAnsi="仿宋_GB2312" w:cs="仿宋_GB2312"/>
          <w:kern w:val="0"/>
          <w:lang w:bidi="ar"/>
        </w:rPr>
        <w:t>“6G平台支持”专项奖励申报表，在线填写；</w:t>
      </w:r>
    </w:p>
    <w:p w14:paraId="0B82EF99">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cs="仿宋_GB2312"/>
          <w:kern w:val="0"/>
          <w:lang w:bidi="ar"/>
        </w:rPr>
      </w:pPr>
      <w:r>
        <w:rPr>
          <w:rFonts w:hint="eastAsia" w:ascii="仿宋_GB2312" w:hAnsi="仿宋_GB2312" w:cs="仿宋_GB2312"/>
          <w:kern w:val="0"/>
          <w:lang w:bidi="ar"/>
        </w:rPr>
        <w:t>2.企业营业执照，选取电子证照；</w:t>
      </w:r>
    </w:p>
    <w:p w14:paraId="106147EA">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cs="仿宋_GB2312"/>
          <w:kern w:val="0"/>
          <w:lang w:bidi="ar"/>
        </w:rPr>
      </w:pPr>
      <w:r>
        <w:rPr>
          <w:rFonts w:hint="eastAsia" w:ascii="仿宋_GB2312" w:hAnsi="仿宋_GB2312" w:cs="仿宋_GB2312"/>
          <w:kern w:val="0"/>
          <w:lang w:bidi="ar"/>
        </w:rPr>
        <w:t>3.承诺书，下载模板填写，签字、加盖公章，彩色扫描上传；</w:t>
      </w:r>
    </w:p>
    <w:p w14:paraId="071BEE0E">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cs="仿宋_GB2312"/>
          <w:kern w:val="0"/>
          <w:lang w:bidi="ar"/>
        </w:rPr>
      </w:pPr>
      <w:r>
        <w:rPr>
          <w:rFonts w:hint="eastAsia" w:ascii="仿宋_GB2312" w:hAnsi="仿宋_GB2312" w:cs="仿宋_GB2312"/>
          <w:kern w:val="0"/>
          <w:lang w:bidi="ar"/>
        </w:rPr>
        <w:t>4.银行账户信息，下载模板填写，加盖公章，彩色扫描上传；</w:t>
      </w:r>
    </w:p>
    <w:p w14:paraId="3482BA68">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cs="仿宋_GB2312"/>
          <w:kern w:val="0"/>
          <w:lang w:bidi="ar"/>
        </w:rPr>
      </w:pPr>
      <w:r>
        <w:rPr>
          <w:rFonts w:hint="eastAsia" w:ascii="仿宋_GB2312" w:hAnsi="仿宋_GB2312" w:cs="仿宋_GB2312"/>
          <w:kern w:val="0"/>
          <w:lang w:bidi="ar"/>
        </w:rPr>
        <w:t>5.6G试验验证及中试平台项目申报书，下载模板填写，加盖公章，彩色扫描上传；</w:t>
      </w:r>
    </w:p>
    <w:p w14:paraId="3CFC7EA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cs="仿宋_GB2312"/>
          <w:kern w:val="0"/>
          <w:lang w:val="en-US" w:eastAsia="zh-CN" w:bidi="ar"/>
        </w:rPr>
      </w:pPr>
      <w:r>
        <w:rPr>
          <w:rFonts w:hint="eastAsia" w:ascii="仿宋_GB2312" w:hAnsi="仿宋_GB2312" w:cs="仿宋_GB2312"/>
          <w:kern w:val="0"/>
          <w:lang w:val="en-US" w:eastAsia="zh-CN" w:bidi="ar"/>
        </w:rPr>
        <w:t>6.平台建设资金预算表，下载模板填写，加盖公章，彩色扫描上传；</w:t>
      </w:r>
    </w:p>
    <w:p w14:paraId="27C940D9">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lang w:val="en-US" w:eastAsia="zh-CN"/>
        </w:rPr>
      </w:pPr>
      <w:r>
        <w:rPr>
          <w:rFonts w:hint="eastAsia" w:ascii="仿宋_GB2312" w:hAnsi="仿宋_GB2312"/>
          <w:lang w:val="en-US" w:eastAsia="zh-CN"/>
        </w:rPr>
        <w:t>7.平台建设运营绩效目标表，下载模板填写，加盖公章，彩色扫描上传；</w:t>
      </w:r>
    </w:p>
    <w:p w14:paraId="09424AD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rPr>
      </w:pPr>
      <w:r>
        <w:rPr>
          <w:rFonts w:hint="eastAsia" w:ascii="仿宋_GB2312" w:hAnsi="仿宋_GB2312"/>
          <w:lang w:eastAsia="zh-CN"/>
        </w:rPr>
        <w:t>8</w:t>
      </w:r>
      <w:r>
        <w:rPr>
          <w:rFonts w:hint="eastAsia" w:ascii="仿宋_GB2312" w:hAnsi="仿宋_GB2312"/>
        </w:rPr>
        <w:t>.平台建设能力证明材料，</w:t>
      </w:r>
      <w:r>
        <w:rPr>
          <w:rFonts w:hint="eastAsia" w:ascii="仿宋_GB2312" w:hAnsi="仿宋_GB2312"/>
          <w:lang w:val="en-US" w:eastAsia="zh-CN"/>
        </w:rPr>
        <w:t>包括但不限于附件5申报书中需企业提供的各项资质材料，企业能力证明材料，企业过往同类项目证明材料等，</w:t>
      </w:r>
      <w:r>
        <w:rPr>
          <w:rFonts w:hint="eastAsia" w:ascii="仿宋_GB2312" w:hAnsi="仿宋_GB2312"/>
        </w:rPr>
        <w:t>原件彩色扫描上传。</w:t>
      </w:r>
    </w:p>
    <w:p w14:paraId="6824E69C">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cs="黑体"/>
          <w:kern w:val="0"/>
          <w:lang w:bidi="ar"/>
        </w:rPr>
      </w:pPr>
      <w:r>
        <w:rPr>
          <w:rFonts w:hint="eastAsia" w:ascii="黑体" w:hAnsi="黑体" w:eastAsia="黑体" w:cs="黑体"/>
          <w:kern w:val="0"/>
          <w:lang w:bidi="ar"/>
        </w:rPr>
        <w:t>六、办理程序</w:t>
      </w:r>
    </w:p>
    <w:p w14:paraId="7646F658">
      <w:pPr>
        <w:pStyle w:val="7"/>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ind w:firstLine="640"/>
        <w:jc w:val="left"/>
        <w:textAlignment w:val="auto"/>
        <w:rPr>
          <w:rFonts w:ascii="仿宋_GB2312" w:hAnsi="Segoe UI" w:cs="Segoe UI"/>
          <w:color w:val="000000"/>
          <w:sz w:val="32"/>
        </w:rPr>
      </w:pPr>
      <w:r>
        <w:rPr>
          <w:rFonts w:hint="eastAsia" w:ascii="仿宋_GB2312" w:hAnsi="仿宋_GB2312" w:cs="仿宋_GB2312"/>
          <w:b w:val="0"/>
          <w:bCs w:val="0"/>
          <w:color w:val="000000"/>
          <w:kern w:val="2"/>
          <w:sz w:val="32"/>
        </w:rPr>
        <w:t>（一）</w:t>
      </w:r>
      <w:r>
        <w:rPr>
          <w:rFonts w:hint="eastAsia" w:ascii="仿宋_GB2312" w:hAnsi="仿宋_GB2312" w:cs="仿宋_GB2312"/>
          <w:b/>
          <w:bCs/>
          <w:color w:val="000000"/>
          <w:kern w:val="2"/>
          <w:sz w:val="32"/>
        </w:rPr>
        <w:t>网上申报：</w:t>
      </w:r>
      <w:r>
        <w:rPr>
          <w:rFonts w:hint="eastAsia" w:ascii="仿宋_GB2312" w:hAnsi="仿宋_GB2312" w:cs="仿宋_GB2312"/>
          <w:sz w:val="32"/>
          <w:lang w:bidi="ar"/>
        </w:rPr>
        <w:t>申报主体通过北京市人民政府门户网站“政策兑现</w:t>
      </w:r>
      <w:r>
        <w:rPr>
          <w:rFonts w:hint="eastAsia" w:ascii="仿宋_GB2312" w:hAnsi="仿宋_GB2312" w:cs="仿宋_GB2312"/>
          <w:sz w:val="32"/>
          <w:lang w:val="en-US" w:eastAsia="zh-CN" w:bidi="ar"/>
        </w:rPr>
        <w:t>专区</w:t>
      </w:r>
      <w:r>
        <w:rPr>
          <w:rFonts w:hint="eastAsia" w:ascii="仿宋_GB2312" w:hAnsi="仿宋_GB2312" w:cs="仿宋_GB2312"/>
          <w:sz w:val="32"/>
          <w:lang w:bidi="ar"/>
        </w:rPr>
        <w:t>”(https://zhengce.beijing.gov.cn)或经开区官网“政策兑现”栏目(zcdx.kfqgw.beijing.gov.cn)进入政策兑现综合服务平台，注册登录后进行自主申报。如未在规定时间内提交申请的，视为自动放弃。</w:t>
      </w:r>
    </w:p>
    <w:p w14:paraId="28FB8E83">
      <w:pPr>
        <w:pStyle w:val="7"/>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Autospacing="0" w:afterAutospacing="0" w:line="560" w:lineRule="exact"/>
        <w:ind w:firstLine="640" w:firstLineChars="0"/>
        <w:jc w:val="left"/>
        <w:textAlignment w:val="auto"/>
        <w:rPr>
          <w:rFonts w:hint="default" w:ascii="仿宋_GB2312" w:hAnsi="仿宋_GB2312" w:eastAsia="仿宋_GB2312" w:cs="仿宋_GB2312"/>
          <w:color w:val="000000"/>
          <w:kern w:val="2"/>
          <w:sz w:val="32"/>
          <w:lang w:val="en-US" w:eastAsia="zh-CN"/>
        </w:rPr>
      </w:pPr>
      <w:r>
        <w:rPr>
          <w:rFonts w:hint="eastAsia" w:ascii="仿宋_GB2312" w:hAnsi="仿宋_GB2312" w:cs="仿宋_GB2312"/>
          <w:b w:val="0"/>
          <w:bCs w:val="0"/>
          <w:color w:val="000000"/>
          <w:kern w:val="2"/>
          <w:sz w:val="32"/>
        </w:rPr>
        <w:t>（二）</w:t>
      </w:r>
      <w:r>
        <w:rPr>
          <w:rFonts w:hint="eastAsia" w:ascii="仿宋_GB2312" w:hAnsi="仿宋_GB2312" w:cs="仿宋_GB2312"/>
          <w:b/>
          <w:bCs/>
          <w:color w:val="000000"/>
          <w:kern w:val="2"/>
          <w:sz w:val="32"/>
          <w:lang w:val="en-US" w:eastAsia="zh-CN"/>
        </w:rPr>
        <w:t>初审：</w:t>
      </w:r>
      <w:r>
        <w:rPr>
          <w:rFonts w:hint="eastAsia" w:ascii="仿宋_GB2312" w:hAnsi="仿宋_GB2312" w:cs="仿宋_GB2312"/>
          <w:b w:val="0"/>
          <w:bCs w:val="0"/>
          <w:color w:val="000000"/>
          <w:kern w:val="2"/>
          <w:sz w:val="32"/>
          <w:lang w:val="en-US" w:eastAsia="zh-CN"/>
        </w:rPr>
        <w:t>经开区营商环境建设局对申报主体提交的材料进行完整性审查，材料不齐全或不符合要求的，告知申报主体补齐补正。</w:t>
      </w:r>
    </w:p>
    <w:p w14:paraId="71C02574">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cs="仿宋_GB2312"/>
          <w:color w:val="000000"/>
          <w:kern w:val="2"/>
          <w:sz w:val="32"/>
        </w:rPr>
      </w:pPr>
      <w:r>
        <w:rPr>
          <w:rFonts w:hint="eastAsia" w:ascii="仿宋_GB2312" w:hAnsi="仿宋_GB2312" w:cs="仿宋_GB2312"/>
          <w:b w:val="0"/>
          <w:bCs w:val="0"/>
          <w:color w:val="000000"/>
          <w:kern w:val="2"/>
          <w:sz w:val="32"/>
          <w:shd w:val="clear"/>
        </w:rPr>
        <w:t>（三）</w:t>
      </w:r>
      <w:r>
        <w:rPr>
          <w:rFonts w:hint="eastAsia" w:ascii="仿宋_GB2312" w:hAnsi="仿宋_GB2312" w:eastAsia="仿宋_GB2312" w:cs="仿宋_GB2312"/>
          <w:b/>
          <w:bCs/>
          <w:sz w:val="32"/>
          <w:szCs w:val="32"/>
          <w:shd w:val="clear"/>
          <w:lang w:val="en-US" w:eastAsia="zh-CN"/>
        </w:rPr>
        <w:t>审核</w:t>
      </w:r>
      <w:r>
        <w:rPr>
          <w:rFonts w:hint="eastAsia" w:ascii="仿宋_GB2312" w:hAnsi="仿宋_GB2312" w:eastAsia="仿宋_GB2312" w:cs="仿宋_GB2312"/>
          <w:sz w:val="32"/>
          <w:szCs w:val="32"/>
          <w:shd w:val="clear"/>
          <w:lang w:val="en-US" w:eastAsia="zh-CN"/>
        </w:rPr>
        <w:t>：经开区信息技术产业局对申请材料进行实质审核。</w:t>
      </w:r>
    </w:p>
    <w:p w14:paraId="2FF327E9">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cs="仿宋_GB2312"/>
          <w:kern w:val="0"/>
          <w:lang w:bidi="ar"/>
        </w:rPr>
      </w:pPr>
      <w:r>
        <w:rPr>
          <w:rFonts w:hint="eastAsia" w:ascii="仿宋_GB2312" w:hAnsi="仿宋_GB2312" w:cs="仿宋_GB2312"/>
          <w:b w:val="0"/>
          <w:bCs w:val="0"/>
          <w:color w:val="000000"/>
        </w:rPr>
        <w:t>（四）</w:t>
      </w:r>
      <w:r>
        <w:rPr>
          <w:rFonts w:hint="eastAsia" w:ascii="仿宋_GB2312" w:hAnsi="仿宋_GB2312" w:cs="仿宋_GB2312"/>
          <w:b/>
          <w:bCs/>
          <w:color w:val="000000"/>
        </w:rPr>
        <w:t>专家评审：</w:t>
      </w:r>
      <w:r>
        <w:rPr>
          <w:rFonts w:hint="eastAsia" w:ascii="仿宋_GB2312" w:hAnsi="仿宋_GB2312" w:cs="仿宋_GB2312"/>
          <w:color w:val="000000"/>
        </w:rPr>
        <w:t>经开区</w:t>
      </w:r>
      <w:r>
        <w:rPr>
          <w:rFonts w:hint="eastAsia" w:ascii="仿宋_GB2312" w:hAnsi="仿宋_GB2312" w:cs="仿宋_GB2312"/>
          <w:kern w:val="0"/>
          <w:lang w:bidi="ar"/>
        </w:rPr>
        <w:t>信息技术产业局组织专家对申请材料进行评审，评审后将结果上传到系统。</w:t>
      </w:r>
    </w:p>
    <w:p w14:paraId="5DF0C057">
      <w:pPr>
        <w:pStyle w:val="7"/>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textAlignment w:val="auto"/>
        <w:rPr>
          <w:rFonts w:hint="eastAsia" w:ascii="仿宋_GB2312" w:hAnsi="仿宋_GB2312" w:cs="仿宋_GB2312"/>
          <w:color w:val="000000"/>
          <w:kern w:val="2"/>
          <w:sz w:val="32"/>
        </w:rPr>
      </w:pPr>
      <w:r>
        <w:rPr>
          <w:rFonts w:hint="eastAsia" w:ascii="仿宋_GB2312" w:hAnsi="仿宋_GB2312" w:cs="仿宋_GB2312"/>
          <w:b w:val="0"/>
          <w:bCs w:val="0"/>
          <w:color w:val="000000"/>
          <w:kern w:val="2"/>
          <w:sz w:val="32"/>
        </w:rPr>
        <w:t>（五）</w:t>
      </w:r>
      <w:r>
        <w:rPr>
          <w:rFonts w:hint="eastAsia" w:ascii="仿宋_GB2312" w:hAnsi="仿宋_GB2312" w:cs="仿宋_GB2312"/>
          <w:b/>
          <w:bCs/>
          <w:color w:val="000000"/>
          <w:kern w:val="2"/>
          <w:sz w:val="32"/>
        </w:rPr>
        <w:t>确定支持结果：</w:t>
      </w:r>
      <w:r>
        <w:rPr>
          <w:rFonts w:hint="eastAsia" w:ascii="仿宋_GB2312" w:hAnsi="仿宋_GB2312" w:cs="仿宋_GB2312"/>
          <w:color w:val="000000"/>
          <w:kern w:val="2"/>
          <w:sz w:val="32"/>
        </w:rPr>
        <w:t>经开区信息技术产业局对审核通过的申报主体拟定兑现支持奖励</w:t>
      </w:r>
      <w:r>
        <w:rPr>
          <w:rFonts w:hint="eastAsia" w:ascii="仿宋_GB2312" w:hAnsi="仿宋_GB2312" w:cs="仿宋_GB2312"/>
          <w:color w:val="000000"/>
          <w:kern w:val="2"/>
          <w:sz w:val="32"/>
          <w:lang w:val="en-US" w:eastAsia="zh-CN"/>
        </w:rPr>
        <w:t>年限及</w:t>
      </w:r>
      <w:r>
        <w:rPr>
          <w:rFonts w:hint="eastAsia" w:ascii="仿宋_GB2312" w:hAnsi="仿宋_GB2312" w:cs="仿宋_GB2312"/>
          <w:color w:val="000000"/>
          <w:kern w:val="2"/>
          <w:sz w:val="32"/>
        </w:rPr>
        <w:t>金额。</w:t>
      </w:r>
    </w:p>
    <w:p w14:paraId="38D610E3">
      <w:pPr>
        <w:pStyle w:val="7"/>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textAlignment w:val="auto"/>
        <w:rPr>
          <w:rFonts w:hint="eastAsia" w:ascii="仿宋_GB2312" w:hAnsi="仿宋_GB2312" w:cs="仿宋_GB2312"/>
          <w:color w:val="000000"/>
          <w:kern w:val="2"/>
          <w:sz w:val="32"/>
        </w:rPr>
      </w:pPr>
      <w:r>
        <w:rPr>
          <w:rFonts w:hint="eastAsia" w:ascii="仿宋_GB2312" w:hAnsi="仿宋_GB2312" w:cs="仿宋_GB2312"/>
          <w:b w:val="0"/>
          <w:bCs w:val="0"/>
          <w:color w:val="000000"/>
          <w:kern w:val="2"/>
          <w:sz w:val="32"/>
        </w:rPr>
        <w:t>（六）</w:t>
      </w:r>
      <w:r>
        <w:rPr>
          <w:rFonts w:hint="eastAsia" w:ascii="仿宋_GB2312" w:hAnsi="仿宋_GB2312" w:cs="仿宋_GB2312"/>
          <w:b/>
          <w:bCs/>
          <w:color w:val="000000"/>
          <w:kern w:val="2"/>
          <w:sz w:val="32"/>
        </w:rPr>
        <w:t>公示：</w:t>
      </w:r>
      <w:r>
        <w:rPr>
          <w:rFonts w:hint="eastAsia" w:ascii="仿宋_GB2312" w:hAnsi="仿宋_GB2312" w:cs="仿宋_GB2312"/>
          <w:color w:val="000000"/>
          <w:sz w:val="32"/>
          <w:lang w:val="en-US" w:eastAsia="zh-CN"/>
        </w:rPr>
        <w:t>经开区信息技术产业局通过政策兑现综合服务平台对拟支持主体进行公示。</w:t>
      </w:r>
    </w:p>
    <w:p w14:paraId="4F7FE23D">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Segoe UI" w:cs="Segoe UI"/>
          <w:color w:val="000000"/>
        </w:rPr>
      </w:pPr>
      <w:r>
        <w:rPr>
          <w:rFonts w:hint="eastAsia" w:ascii="仿宋_GB2312" w:hAnsi="仿宋_GB2312" w:cs="仿宋_GB2312"/>
          <w:b w:val="0"/>
          <w:bCs w:val="0"/>
          <w:color w:val="000000"/>
        </w:rPr>
        <w:t>（七）</w:t>
      </w:r>
      <w:r>
        <w:rPr>
          <w:rFonts w:hint="eastAsia" w:ascii="仿宋_GB2312" w:hAnsi="仿宋_GB2312" w:cs="仿宋_GB2312"/>
          <w:b/>
          <w:bCs/>
          <w:color w:val="000000"/>
        </w:rPr>
        <w:t>资金拨付：</w:t>
      </w:r>
      <w:r>
        <w:rPr>
          <w:rFonts w:hint="eastAsia" w:ascii="仿宋_GB2312" w:hAnsi="微软雅黑" w:cs="Segoe UI"/>
          <w:color w:val="000000"/>
        </w:rPr>
        <w:t>经公示无异议的，</w:t>
      </w:r>
      <w:r>
        <w:rPr>
          <w:rFonts w:hint="eastAsia" w:ascii="仿宋_GB2312" w:hAnsi="微软雅黑" w:cs="Segoe UI"/>
          <w:color w:val="000000"/>
          <w:lang w:val="en-US" w:eastAsia="zh-CN"/>
        </w:rPr>
        <w:t>拟与</w:t>
      </w:r>
      <w:r>
        <w:rPr>
          <w:rFonts w:hint="eastAsia" w:ascii="仿宋_GB2312" w:hAnsi="仿宋_GB2312" w:cs="仿宋_GB2312"/>
          <w:kern w:val="0"/>
          <w:lang w:bidi="ar"/>
        </w:rPr>
        <w:t>平台运营主体签订</w:t>
      </w:r>
      <w:r>
        <w:rPr>
          <w:rFonts w:hint="eastAsia" w:ascii="仿宋_GB2312" w:hAnsi="仿宋_GB2312" w:cs="仿宋_GB2312"/>
          <w:kern w:val="0"/>
          <w:lang w:eastAsia="zh-CN" w:bidi="ar"/>
        </w:rPr>
        <w:t>《</w:t>
      </w:r>
      <w:r>
        <w:rPr>
          <w:rFonts w:hint="eastAsia" w:ascii="仿宋_GB2312" w:hAnsi="仿宋_GB2312" w:cs="仿宋_GB2312"/>
          <w:kern w:val="0"/>
          <w:lang w:bidi="ar"/>
        </w:rPr>
        <w:t>任务书</w:t>
      </w:r>
      <w:r>
        <w:rPr>
          <w:rFonts w:hint="eastAsia" w:ascii="仿宋_GB2312" w:hAnsi="仿宋_GB2312" w:cs="仿宋_GB2312"/>
          <w:kern w:val="0"/>
          <w:lang w:eastAsia="zh-CN" w:bidi="ar"/>
        </w:rPr>
        <w:t>》</w:t>
      </w:r>
      <w:r>
        <w:rPr>
          <w:rFonts w:hint="eastAsia" w:ascii="仿宋_GB2312" w:hAnsi="仿宋_GB2312" w:cs="仿宋_GB2312"/>
          <w:kern w:val="0"/>
          <w:lang w:bidi="ar"/>
        </w:rPr>
        <w:t>，</w:t>
      </w:r>
      <w:r>
        <w:rPr>
          <w:rFonts w:hint="eastAsia" w:ascii="仿宋_GB2312" w:hAnsi="仿宋_GB2312" w:cs="仿宋_GB2312"/>
          <w:color w:val="000000"/>
          <w:sz w:val="32"/>
          <w:lang w:val="en-US" w:eastAsia="zh-CN"/>
        </w:rPr>
        <w:t>并</w:t>
      </w:r>
      <w:r>
        <w:rPr>
          <w:rFonts w:hint="eastAsia" w:ascii="仿宋_GB2312" w:hAnsi="微软雅黑" w:cs="Segoe UI"/>
          <w:color w:val="000000"/>
        </w:rPr>
        <w:t>完成</w:t>
      </w:r>
      <w:r>
        <w:rPr>
          <w:rFonts w:hint="eastAsia" w:ascii="仿宋_GB2312" w:hAnsi="微软雅黑" w:cs="Segoe UI"/>
          <w:color w:val="000000"/>
          <w:highlight w:val="none"/>
        </w:rPr>
        <w:t>首年度资</w:t>
      </w:r>
      <w:r>
        <w:rPr>
          <w:rFonts w:hint="eastAsia" w:ascii="仿宋_GB2312" w:hAnsi="微软雅黑" w:cs="Segoe UI"/>
          <w:color w:val="000000"/>
        </w:rPr>
        <w:t>金拨付工作。</w:t>
      </w:r>
    </w:p>
    <w:p w14:paraId="155842A1">
      <w:pPr>
        <w:keepNext w:val="0"/>
        <w:keepLines w:val="0"/>
        <w:pageBreakBefore w:val="0"/>
        <w:kinsoku/>
        <w:wordWrap/>
        <w:overflowPunct/>
        <w:topLinePunct w:val="0"/>
        <w:autoSpaceDE/>
        <w:autoSpaceDN/>
        <w:bidi w:val="0"/>
        <w:adjustRightInd/>
        <w:snapToGrid/>
        <w:spacing w:line="560" w:lineRule="exact"/>
        <w:ind w:firstLine="643"/>
        <w:jc w:val="left"/>
        <w:textAlignment w:val="auto"/>
        <w:outlineLvl w:val="0"/>
        <w:rPr>
          <w:rFonts w:hint="eastAsia" w:ascii="黑体" w:hAnsi="黑体" w:eastAsia="黑体" w:cs="黑体"/>
        </w:rPr>
      </w:pPr>
      <w:r>
        <w:rPr>
          <w:rFonts w:hint="eastAsia" w:ascii="仿宋_GB2312" w:hAnsi="仿宋_GB2312" w:cs="仿宋_GB2312"/>
          <w:b/>
          <w:bCs/>
          <w:kern w:val="0"/>
          <w:lang w:bidi="ar"/>
        </w:rPr>
        <w:t>七</w:t>
      </w:r>
      <w:r>
        <w:rPr>
          <w:rFonts w:hint="eastAsia" w:ascii="黑体" w:hAnsi="黑体" w:eastAsia="黑体" w:cs="黑体"/>
        </w:rPr>
        <w:t>、主责部门</w:t>
      </w:r>
    </w:p>
    <w:p w14:paraId="6B43FBE9">
      <w:pPr>
        <w:pStyle w:val="7"/>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ind w:firstLine="640"/>
        <w:textAlignment w:val="auto"/>
        <w:rPr>
          <w:rFonts w:ascii="仿宋_GB2312" w:hAnsi="Segoe UI" w:cs="Segoe UI"/>
          <w:color w:val="000000"/>
          <w:sz w:val="32"/>
        </w:rPr>
      </w:pPr>
      <w:r>
        <w:rPr>
          <w:rFonts w:hint="eastAsia" w:ascii="仿宋_GB2312" w:hAnsi="微软雅黑" w:cs="Segoe UI"/>
          <w:color w:val="000000"/>
          <w:sz w:val="32"/>
        </w:rPr>
        <w:t>经开区</w:t>
      </w:r>
      <w:r>
        <w:rPr>
          <w:rFonts w:hint="eastAsia" w:ascii="仿宋_GB2312" w:hAnsi="仿宋_GB2312" w:cs="仿宋_GB2312"/>
          <w:color w:val="000000"/>
          <w:kern w:val="2"/>
          <w:sz w:val="32"/>
        </w:rPr>
        <w:t>信息技术产业局</w:t>
      </w:r>
    </w:p>
    <w:p w14:paraId="0F71F53F">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cs="黑体"/>
        </w:rPr>
      </w:pPr>
      <w:r>
        <w:rPr>
          <w:rFonts w:hint="eastAsia" w:ascii="黑体" w:hAnsi="黑体" w:eastAsia="黑体" w:cs="黑体"/>
        </w:rPr>
        <w:t>八、受理窗口</w:t>
      </w:r>
    </w:p>
    <w:p w14:paraId="0575210A">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0"/>
        <w:rPr>
          <w:rFonts w:hint="eastAsia" w:ascii="仿宋_GB2312" w:hAnsi="仿宋_GB2312" w:cs="仿宋_GB2312"/>
        </w:rPr>
      </w:pPr>
      <w:r>
        <w:rPr>
          <w:rFonts w:hint="eastAsia" w:ascii="仿宋_GB2312" w:hAnsi="仿宋_GB2312" w:cs="仿宋_GB2312"/>
        </w:rPr>
        <w:t>北京经济技术开发区万源街4号政务服务大厅“政策申报”窗口</w:t>
      </w:r>
    </w:p>
    <w:p w14:paraId="54043504">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cs="黑体"/>
        </w:rPr>
      </w:pPr>
      <w:r>
        <w:rPr>
          <w:rFonts w:hint="eastAsia" w:ascii="黑体" w:hAnsi="黑体" w:eastAsia="黑体" w:cs="黑体"/>
        </w:rPr>
        <w:t>九、申报时间</w:t>
      </w:r>
    </w:p>
    <w:p w14:paraId="7F6C73E6">
      <w:pPr>
        <w:pStyle w:val="7"/>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_GB2312" w:cs="仿宋_GB2312"/>
          <w:sz w:val="32"/>
          <w:highlight w:val="none"/>
          <w:lang w:bidi="ar"/>
        </w:rPr>
      </w:pPr>
      <w:r>
        <w:rPr>
          <w:rFonts w:hint="eastAsia" w:ascii="仿宋_GB2312" w:hAnsi="仿宋_GB2312" w:cs="仿宋_GB2312"/>
          <w:sz w:val="32"/>
          <w:highlight w:val="none"/>
          <w:lang w:bidi="ar"/>
        </w:rPr>
        <w:t>202</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年</w:t>
      </w:r>
      <w:r>
        <w:rPr>
          <w:rFonts w:hint="eastAsia" w:ascii="仿宋_GB2312" w:hAnsi="仿宋_GB2312" w:cs="仿宋_GB2312"/>
          <w:sz w:val="32"/>
          <w:highlight w:val="none"/>
          <w:lang w:val="en-US" w:eastAsia="zh-CN" w:bidi="ar"/>
        </w:rPr>
        <w:t>3</w:t>
      </w:r>
      <w:r>
        <w:rPr>
          <w:rFonts w:hint="eastAsia" w:ascii="仿宋_GB2312" w:hAnsi="仿宋_GB2312" w:cs="仿宋_GB2312"/>
          <w:sz w:val="32"/>
          <w:highlight w:val="none"/>
          <w:lang w:bidi="ar"/>
        </w:rPr>
        <w:t>月</w:t>
      </w:r>
      <w:r>
        <w:rPr>
          <w:rFonts w:hint="eastAsia" w:ascii="仿宋_GB2312" w:hAnsi="仿宋_GB2312" w:cs="仿宋_GB2312"/>
          <w:sz w:val="32"/>
          <w:highlight w:val="none"/>
          <w:lang w:val="en-US" w:eastAsia="zh-CN" w:bidi="ar"/>
        </w:rPr>
        <w:t>31</w:t>
      </w:r>
      <w:r>
        <w:rPr>
          <w:rFonts w:hint="eastAsia" w:ascii="仿宋_GB2312" w:hAnsi="仿宋_GB2312" w:cs="仿宋_GB2312"/>
          <w:sz w:val="32"/>
          <w:highlight w:val="none"/>
          <w:lang w:bidi="ar"/>
        </w:rPr>
        <w:t>日至202</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年</w:t>
      </w:r>
      <w:r>
        <w:rPr>
          <w:rFonts w:hint="eastAsia" w:ascii="仿宋_GB2312" w:hAnsi="仿宋_GB2312" w:cs="仿宋_GB2312"/>
          <w:sz w:val="32"/>
          <w:highlight w:val="none"/>
          <w:lang w:val="en-US" w:eastAsia="zh-CN" w:bidi="ar"/>
        </w:rPr>
        <w:t>4</w:t>
      </w:r>
      <w:r>
        <w:rPr>
          <w:rFonts w:hint="eastAsia" w:ascii="仿宋_GB2312" w:hAnsi="仿宋_GB2312" w:cs="仿宋_GB2312"/>
          <w:sz w:val="32"/>
          <w:highlight w:val="none"/>
          <w:lang w:bidi="ar"/>
        </w:rPr>
        <w:t>月</w:t>
      </w:r>
      <w:r>
        <w:rPr>
          <w:rFonts w:hint="eastAsia" w:ascii="仿宋_GB2312" w:hAnsi="仿宋_GB2312" w:cs="仿宋_GB2312"/>
          <w:sz w:val="32"/>
          <w:highlight w:val="none"/>
          <w:lang w:val="en-US" w:eastAsia="zh-CN" w:bidi="ar"/>
        </w:rPr>
        <w:t>30</w:t>
      </w:r>
      <w:r>
        <w:rPr>
          <w:rFonts w:hint="eastAsia" w:ascii="仿宋_GB2312" w:hAnsi="仿宋_GB2312" w:cs="仿宋_GB2312"/>
          <w:sz w:val="32"/>
          <w:highlight w:val="none"/>
          <w:lang w:bidi="ar"/>
        </w:rPr>
        <w:t>日</w:t>
      </w:r>
    </w:p>
    <w:p w14:paraId="31821646">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cs="黑体"/>
        </w:rPr>
      </w:pPr>
      <w:r>
        <w:rPr>
          <w:rFonts w:hint="eastAsia" w:ascii="黑体" w:hAnsi="黑体" w:eastAsia="黑体" w:cs="黑体"/>
        </w:rPr>
        <w:t>十、联系人及联系方式</w:t>
      </w:r>
      <w:bookmarkStart w:id="0" w:name="_GoBack"/>
      <w:bookmarkEnd w:id="0"/>
    </w:p>
    <w:p w14:paraId="702F093F">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0"/>
        <w:rPr>
          <w:rFonts w:ascii="仿宋_GB2312" w:hAnsi="Segoe UI" w:cs="Segoe UI"/>
        </w:rPr>
      </w:pPr>
      <w:r>
        <w:rPr>
          <w:rFonts w:hint="eastAsia" w:ascii="仿宋_GB2312" w:hAnsi="Segoe UI" w:cs="Segoe UI"/>
        </w:rPr>
        <w:t>政策咨询：</w:t>
      </w:r>
    </w:p>
    <w:p w14:paraId="3B8FC934">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0"/>
        <w:rPr>
          <w:rFonts w:hint="eastAsia" w:ascii="仿宋_GB2312" w:hAnsi="仿宋_GB2312" w:cs="仿宋_GB2312"/>
          <w:color w:val="000000"/>
          <w:sz w:val="32"/>
          <w:lang w:val="en-US" w:eastAsia="zh-CN"/>
        </w:rPr>
      </w:pPr>
      <w:r>
        <w:rPr>
          <w:rFonts w:hint="eastAsia" w:ascii="仿宋_GB2312" w:hAnsi="仿宋_GB2312" w:cs="仿宋_GB2312"/>
          <w:color w:val="000000"/>
          <w:sz w:val="32"/>
          <w:lang w:val="en-US" w:eastAsia="zh-CN"/>
        </w:rPr>
        <w:t>经开区政务服务大厅“政策申报”窗口，联系电话：010-67857878转4；010-67857687，工作日上午9:00—12:00，下午1:30—5:00。</w:t>
      </w:r>
    </w:p>
    <w:p w14:paraId="528BFF6F">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0"/>
        <w:rPr>
          <w:rFonts w:hint="eastAsia" w:ascii="仿宋_GB2312" w:hAnsi="仿宋_GB2312" w:cs="仿宋_GB2312"/>
          <w:color w:val="000000"/>
          <w:sz w:val="32"/>
          <w:lang w:val="en-US" w:eastAsia="zh-CN"/>
        </w:rPr>
      </w:pPr>
      <w:r>
        <w:rPr>
          <w:rFonts w:hint="eastAsia" w:ascii="仿宋_GB2312" w:hAnsi="仿宋_GB2312" w:cs="仿宋_GB2312"/>
          <w:color w:val="000000"/>
          <w:sz w:val="32"/>
          <w:lang w:val="en-US" w:eastAsia="zh-CN"/>
        </w:rPr>
        <w:t>经开区信息技术产业局，联系人：胡邦彦，联系电话：010-83508295，工作日上午9:00—12:00，下午2:00—6:00。</w:t>
      </w:r>
    </w:p>
    <w:p w14:paraId="38218C06">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0"/>
        <w:rPr>
          <w:rFonts w:hint="eastAsia" w:ascii="仿宋_GB2312" w:hAnsi="仿宋_GB2312" w:cs="仿宋_GB2312"/>
          <w:color w:val="000000"/>
          <w:sz w:val="32"/>
          <w:lang w:val="en-US" w:eastAsia="zh-CN"/>
        </w:rPr>
      </w:pPr>
      <w:r>
        <w:rPr>
          <w:rFonts w:hint="eastAsia" w:ascii="仿宋_GB2312" w:hAnsi="仿宋_GB2312" w:cs="仿宋_GB2312"/>
          <w:color w:val="000000"/>
          <w:sz w:val="32"/>
          <w:lang w:val="en-US" w:eastAsia="zh-CN"/>
        </w:rPr>
        <w:t>技术支持：</w:t>
      </w:r>
    </w:p>
    <w:p w14:paraId="6772077D">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仿宋_GB2312"/>
        </w:rPr>
      </w:pPr>
      <w:r>
        <w:rPr>
          <w:rFonts w:hint="eastAsia" w:ascii="仿宋_GB2312" w:hAnsi="仿宋_GB2312" w:cs="仿宋_GB2312"/>
          <w:color w:val="000000"/>
          <w:sz w:val="32"/>
          <w:lang w:val="en-US" w:eastAsia="zh-CN"/>
        </w:rPr>
        <w:t>联系电话：010-83509638，工作日上午9:00—12:00，下午2:00—6:00。</w:t>
      </w:r>
    </w:p>
    <w:p w14:paraId="571B0020">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仿宋_GB2312"/>
        </w:rPr>
      </w:pPr>
      <w:r>
        <w:rPr>
          <w:rFonts w:hint="eastAsia" w:ascii="黑体" w:hAnsi="黑体" w:eastAsia="黑体" w:cs="仿宋_GB2312"/>
        </w:rPr>
        <w:t>十一、收费标准</w:t>
      </w:r>
    </w:p>
    <w:p w14:paraId="36C85F2E">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黑体" w:cs="仿宋_GB2312"/>
        </w:rPr>
      </w:pPr>
      <w:r>
        <w:rPr>
          <w:rFonts w:hint="eastAsia" w:ascii="仿宋_GB2312" w:hAnsi="黑体" w:cs="仿宋_GB2312"/>
        </w:rPr>
        <w:t>不收费</w:t>
      </w:r>
    </w:p>
    <w:p w14:paraId="220322CB">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仿宋_GB2312"/>
        </w:rPr>
      </w:pPr>
      <w:r>
        <w:rPr>
          <w:rFonts w:hint="eastAsia" w:ascii="黑体" w:hAnsi="黑体" w:eastAsia="黑体" w:cs="仿宋_GB2312"/>
        </w:rPr>
        <w:t>十二、特别说明</w:t>
      </w:r>
    </w:p>
    <w:p w14:paraId="6021B333">
      <w:pPr>
        <w:keepNext w:val="0"/>
        <w:keepLines w:val="0"/>
        <w:pageBreakBefore w:val="0"/>
        <w:kinsoku/>
        <w:wordWrap/>
        <w:overflowPunct/>
        <w:topLinePunct w:val="0"/>
        <w:autoSpaceDE/>
        <w:autoSpaceDN/>
        <w:bidi w:val="0"/>
        <w:adjustRightInd/>
        <w:snapToGrid/>
        <w:spacing w:line="560" w:lineRule="exact"/>
        <w:ind w:firstLine="640" w:firstLineChars="0"/>
        <w:jc w:val="left"/>
        <w:textAlignment w:val="auto"/>
        <w:outlineLvl w:val="9"/>
        <w:rPr>
          <w:rFonts w:hint="eastAsia" w:ascii="仿宋_GB2312" w:hAnsi="黑体" w:cs="仿宋_GB2312"/>
        </w:rPr>
      </w:pPr>
      <w:r>
        <w:rPr>
          <w:rFonts w:hint="eastAsia" w:ascii="仿宋_GB2312" w:hAnsi="黑体" w:cs="仿宋_GB231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B91076-9410-471B-A717-C71C773CCC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F192401-6356-4495-9524-C713AD115C12}"/>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embedRegular r:id="rId3" w:fontKey="{4D054822-40F4-4FA2-8A10-21E1A2A93703}"/>
  </w:font>
  <w:font w:name="微软雅黑">
    <w:panose1 w:val="020B0503020204020204"/>
    <w:charset w:val="86"/>
    <w:family w:val="swiss"/>
    <w:pitch w:val="default"/>
    <w:sig w:usb0="80000287" w:usb1="2ACF3C50" w:usb2="00000016" w:usb3="00000000" w:csb0="0004001F" w:csb1="00000000"/>
    <w:embedRegular r:id="rId4" w:fontKey="{71980643-6D41-4A2F-A794-8914E87D09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DC74F">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98A87">
                          <w:pPr>
                            <w:pStyle w:val="3"/>
                            <w:ind w:firstLine="0" w:firstLineChars="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mzhdF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cgKS86IgOBI8bQTw&#10;uuL/B9Q/UEsDBBQAAAAIAIdO4kCM1w58KgIAAFU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gizZlnY6p3l&#10;EToq5u3qGCBgp2sUpVdi0ArT1nVmeBlxnP/cd1GPf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s4XRTUAAAACAEAAA8AAAAAAAAAAQAgAAAAIgAAAGRycy9kb3ducmV2LnhtbFBLAQIUABQAAAAI&#10;AIdO4kCM1w58KgIAAFUEAAAOAAAAAAAAAAEAIAAAACMBAABkcnMvZTJvRG9jLnhtbFBLBQYAAAAA&#10;BgAGAFkBAAC/BQAAAAA=&#10;">
              <v:fill on="f" focussize="0,0"/>
              <v:stroke on="f" weight="0.5pt"/>
              <v:imagedata o:title=""/>
              <o:lock v:ext="edit" aspectratio="f"/>
              <v:textbox inset="0mm,0mm,0mm,0mm" style="mso-fit-shape-to-text:t;">
                <w:txbxContent>
                  <w:p w14:paraId="0C798A87">
                    <w:pPr>
                      <w:pStyle w:val="3"/>
                      <w:ind w:firstLine="0" w:firstLineChars="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B2D6">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FEF40">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6E64B">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D9ED">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FED5B">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NWI4NTIxMWY0ODE4ZjBhYTM5ZTBjZWJjNjk1YjgifQ=="/>
  </w:docVars>
  <w:rsids>
    <w:rsidRoot w:val="66E370C7"/>
    <w:rsid w:val="000476BA"/>
    <w:rsid w:val="00150DE3"/>
    <w:rsid w:val="00172C5C"/>
    <w:rsid w:val="00371AB1"/>
    <w:rsid w:val="003A7879"/>
    <w:rsid w:val="00440B25"/>
    <w:rsid w:val="00473E47"/>
    <w:rsid w:val="004E50E8"/>
    <w:rsid w:val="0060504E"/>
    <w:rsid w:val="006C6C51"/>
    <w:rsid w:val="00721A7E"/>
    <w:rsid w:val="007B36D6"/>
    <w:rsid w:val="00884AE1"/>
    <w:rsid w:val="00911E0F"/>
    <w:rsid w:val="009F2924"/>
    <w:rsid w:val="00A1389D"/>
    <w:rsid w:val="00A430FD"/>
    <w:rsid w:val="00B152F5"/>
    <w:rsid w:val="00BE11F6"/>
    <w:rsid w:val="00C42F18"/>
    <w:rsid w:val="00DF4AA6"/>
    <w:rsid w:val="00F93ECF"/>
    <w:rsid w:val="01145609"/>
    <w:rsid w:val="012069B2"/>
    <w:rsid w:val="01714809"/>
    <w:rsid w:val="01891B53"/>
    <w:rsid w:val="0217530D"/>
    <w:rsid w:val="039F7177"/>
    <w:rsid w:val="04675A50"/>
    <w:rsid w:val="064A12E8"/>
    <w:rsid w:val="07095017"/>
    <w:rsid w:val="072D11D3"/>
    <w:rsid w:val="07E92F34"/>
    <w:rsid w:val="0854278F"/>
    <w:rsid w:val="085B3B1D"/>
    <w:rsid w:val="087C6411"/>
    <w:rsid w:val="08D20F96"/>
    <w:rsid w:val="094E3069"/>
    <w:rsid w:val="09F2225A"/>
    <w:rsid w:val="0ABD0ABF"/>
    <w:rsid w:val="0B136931"/>
    <w:rsid w:val="0B28341B"/>
    <w:rsid w:val="0C1C1816"/>
    <w:rsid w:val="0D545E2B"/>
    <w:rsid w:val="0DDA3736"/>
    <w:rsid w:val="0E8C2C83"/>
    <w:rsid w:val="11056D1C"/>
    <w:rsid w:val="12B2579C"/>
    <w:rsid w:val="130C25E4"/>
    <w:rsid w:val="134156A5"/>
    <w:rsid w:val="13F82B68"/>
    <w:rsid w:val="147C5547"/>
    <w:rsid w:val="149C43BD"/>
    <w:rsid w:val="163E2900"/>
    <w:rsid w:val="17CF598E"/>
    <w:rsid w:val="183A07EC"/>
    <w:rsid w:val="196E66EE"/>
    <w:rsid w:val="19F93535"/>
    <w:rsid w:val="1AB24AF0"/>
    <w:rsid w:val="1B442115"/>
    <w:rsid w:val="1C2320D6"/>
    <w:rsid w:val="1C4E226B"/>
    <w:rsid w:val="1DCF0496"/>
    <w:rsid w:val="1ECF0BC9"/>
    <w:rsid w:val="1EE2244B"/>
    <w:rsid w:val="1F8E612F"/>
    <w:rsid w:val="1FE30BF5"/>
    <w:rsid w:val="202A38FF"/>
    <w:rsid w:val="20663411"/>
    <w:rsid w:val="208C7002"/>
    <w:rsid w:val="20914128"/>
    <w:rsid w:val="2110329F"/>
    <w:rsid w:val="21F14A0A"/>
    <w:rsid w:val="224E0C8F"/>
    <w:rsid w:val="234A2F63"/>
    <w:rsid w:val="24121EBE"/>
    <w:rsid w:val="243C59A7"/>
    <w:rsid w:val="24D336B3"/>
    <w:rsid w:val="251A511A"/>
    <w:rsid w:val="26DA5E4E"/>
    <w:rsid w:val="26E01966"/>
    <w:rsid w:val="270D09DA"/>
    <w:rsid w:val="27361586"/>
    <w:rsid w:val="274056BF"/>
    <w:rsid w:val="276458B0"/>
    <w:rsid w:val="27B54BA0"/>
    <w:rsid w:val="28724840"/>
    <w:rsid w:val="2BD43FF7"/>
    <w:rsid w:val="2C6E3570"/>
    <w:rsid w:val="2CB82A3D"/>
    <w:rsid w:val="2D88240F"/>
    <w:rsid w:val="2E155C92"/>
    <w:rsid w:val="2FF02762"/>
    <w:rsid w:val="30110D0C"/>
    <w:rsid w:val="30D02A8B"/>
    <w:rsid w:val="31A2402A"/>
    <w:rsid w:val="322A7F39"/>
    <w:rsid w:val="34337579"/>
    <w:rsid w:val="34D16D92"/>
    <w:rsid w:val="36504624"/>
    <w:rsid w:val="36A64625"/>
    <w:rsid w:val="36D253A5"/>
    <w:rsid w:val="389D76B7"/>
    <w:rsid w:val="38D676C9"/>
    <w:rsid w:val="39D07618"/>
    <w:rsid w:val="3A8723CC"/>
    <w:rsid w:val="3AC05299"/>
    <w:rsid w:val="3B702660"/>
    <w:rsid w:val="3C4D31A2"/>
    <w:rsid w:val="3C4D6CFE"/>
    <w:rsid w:val="3CC72F54"/>
    <w:rsid w:val="3EF21DDE"/>
    <w:rsid w:val="3FEE25A6"/>
    <w:rsid w:val="404B3E9C"/>
    <w:rsid w:val="42684278"/>
    <w:rsid w:val="4315338C"/>
    <w:rsid w:val="44906321"/>
    <w:rsid w:val="4504461A"/>
    <w:rsid w:val="45216F7A"/>
    <w:rsid w:val="45490368"/>
    <w:rsid w:val="45E06E35"/>
    <w:rsid w:val="46024FFD"/>
    <w:rsid w:val="476C3235"/>
    <w:rsid w:val="47A125F4"/>
    <w:rsid w:val="47E96C73"/>
    <w:rsid w:val="48F350D1"/>
    <w:rsid w:val="49276B29"/>
    <w:rsid w:val="4A0D21C2"/>
    <w:rsid w:val="4A325785"/>
    <w:rsid w:val="4A3F11C0"/>
    <w:rsid w:val="4AF84C20"/>
    <w:rsid w:val="4B246E03"/>
    <w:rsid w:val="4B490076"/>
    <w:rsid w:val="4C1D5E36"/>
    <w:rsid w:val="4C5440F5"/>
    <w:rsid w:val="4CC504AA"/>
    <w:rsid w:val="4CC90623"/>
    <w:rsid w:val="4E8C5F86"/>
    <w:rsid w:val="4E9D1D67"/>
    <w:rsid w:val="4F2757CC"/>
    <w:rsid w:val="4F4E3061"/>
    <w:rsid w:val="4FAA2BC4"/>
    <w:rsid w:val="501871CB"/>
    <w:rsid w:val="509727E6"/>
    <w:rsid w:val="50FF1B2E"/>
    <w:rsid w:val="5151508A"/>
    <w:rsid w:val="51575861"/>
    <w:rsid w:val="53746E0E"/>
    <w:rsid w:val="53D7279A"/>
    <w:rsid w:val="53EE6BC1"/>
    <w:rsid w:val="546E385E"/>
    <w:rsid w:val="54CD1D19"/>
    <w:rsid w:val="55A75279"/>
    <w:rsid w:val="56452993"/>
    <w:rsid w:val="57AC35D9"/>
    <w:rsid w:val="57C56B86"/>
    <w:rsid w:val="58040325"/>
    <w:rsid w:val="59D836F4"/>
    <w:rsid w:val="59F65868"/>
    <w:rsid w:val="5A9D6C4B"/>
    <w:rsid w:val="5B4D0671"/>
    <w:rsid w:val="5BB92F72"/>
    <w:rsid w:val="5BDB5C7C"/>
    <w:rsid w:val="5C2C0415"/>
    <w:rsid w:val="5CD56B70"/>
    <w:rsid w:val="5CE46DB3"/>
    <w:rsid w:val="5E602469"/>
    <w:rsid w:val="5ED73083"/>
    <w:rsid w:val="5F1D2524"/>
    <w:rsid w:val="5FA5305C"/>
    <w:rsid w:val="60CE7B5E"/>
    <w:rsid w:val="60F70A35"/>
    <w:rsid w:val="61B9080E"/>
    <w:rsid w:val="624B3430"/>
    <w:rsid w:val="633D0FCB"/>
    <w:rsid w:val="63471EB6"/>
    <w:rsid w:val="63C4223E"/>
    <w:rsid w:val="63F03992"/>
    <w:rsid w:val="64016B93"/>
    <w:rsid w:val="64087C00"/>
    <w:rsid w:val="64D01269"/>
    <w:rsid w:val="65046244"/>
    <w:rsid w:val="66680A54"/>
    <w:rsid w:val="66D165FA"/>
    <w:rsid w:val="66E370C7"/>
    <w:rsid w:val="682844B8"/>
    <w:rsid w:val="685C76BD"/>
    <w:rsid w:val="689475E1"/>
    <w:rsid w:val="693966D8"/>
    <w:rsid w:val="69783D56"/>
    <w:rsid w:val="6BF012D0"/>
    <w:rsid w:val="6C1B3411"/>
    <w:rsid w:val="6C474C68"/>
    <w:rsid w:val="6C6A4E50"/>
    <w:rsid w:val="6C7C4F4C"/>
    <w:rsid w:val="6CBD4F2A"/>
    <w:rsid w:val="6D0A5F52"/>
    <w:rsid w:val="6D3E42BD"/>
    <w:rsid w:val="6E5673E4"/>
    <w:rsid w:val="6E81711F"/>
    <w:rsid w:val="6ECD631B"/>
    <w:rsid w:val="6F7722A5"/>
    <w:rsid w:val="702B68F1"/>
    <w:rsid w:val="70BD22BD"/>
    <w:rsid w:val="70F26838"/>
    <w:rsid w:val="71436346"/>
    <w:rsid w:val="722C2936"/>
    <w:rsid w:val="728C5ACB"/>
    <w:rsid w:val="72AB332E"/>
    <w:rsid w:val="72C92006"/>
    <w:rsid w:val="733028FA"/>
    <w:rsid w:val="75FF9BB2"/>
    <w:rsid w:val="76911902"/>
    <w:rsid w:val="772A66FE"/>
    <w:rsid w:val="778D20C9"/>
    <w:rsid w:val="78F148D9"/>
    <w:rsid w:val="79030169"/>
    <w:rsid w:val="79DA4CFA"/>
    <w:rsid w:val="7A6C06BC"/>
    <w:rsid w:val="7A796935"/>
    <w:rsid w:val="7B22448E"/>
    <w:rsid w:val="7B4B6542"/>
    <w:rsid w:val="7B5178B1"/>
    <w:rsid w:val="7B9D6653"/>
    <w:rsid w:val="7BC168A4"/>
    <w:rsid w:val="7C7B7C8C"/>
    <w:rsid w:val="7F8F11AB"/>
    <w:rsid w:val="7FB6C4A4"/>
    <w:rsid w:val="7FE24F7C"/>
    <w:rsid w:val="DF7FD890"/>
    <w:rsid w:val="E5EA39C4"/>
    <w:rsid w:val="FF6DF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ascii="Times New Roman" w:hAnsi="Times New Roman" w:eastAsia="仿宋_GB2312" w:cstheme="minorBidi"/>
      <w:kern w:val="2"/>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footer"/>
    <w:basedOn w:val="1"/>
    <w:link w:val="14"/>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13"/>
    <w:qFormat/>
    <w:uiPriority w:val="0"/>
    <w:pPr>
      <w:tabs>
        <w:tab w:val="center" w:pos="4153"/>
        <w:tab w:val="right" w:pos="8306"/>
      </w:tabs>
      <w:snapToGrid w:val="0"/>
      <w:spacing w:line="240" w:lineRule="atLeast"/>
      <w:jc w:val="center"/>
    </w:pPr>
    <w:rPr>
      <w:sz w:val="18"/>
      <w:szCs w:val="18"/>
    </w:rPr>
  </w:style>
  <w:style w:type="paragraph" w:styleId="5">
    <w:name w:val="toc 1"/>
    <w:basedOn w:val="1"/>
    <w:next w:val="1"/>
    <w:qFormat/>
    <w:uiPriority w:val="0"/>
  </w:style>
  <w:style w:type="paragraph" w:styleId="6">
    <w:name w:val="toc 2"/>
    <w:basedOn w:val="1"/>
    <w:next w:val="1"/>
    <w:qFormat/>
    <w:uiPriority w:val="39"/>
    <w:pPr>
      <w:ind w:left="420" w:leftChars="200"/>
    </w:p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2"/>
    <w:next w:val="2"/>
    <w:link w:val="17"/>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页眉 字符"/>
    <w:basedOn w:val="11"/>
    <w:link w:val="4"/>
    <w:qFormat/>
    <w:uiPriority w:val="0"/>
    <w:rPr>
      <w:rFonts w:eastAsia="仿宋_GB2312" w:cstheme="minorBidi"/>
      <w:kern w:val="2"/>
      <w:sz w:val="18"/>
      <w:szCs w:val="18"/>
    </w:rPr>
  </w:style>
  <w:style w:type="character" w:customStyle="1" w:styleId="14">
    <w:name w:val="页脚 字符"/>
    <w:basedOn w:val="11"/>
    <w:link w:val="3"/>
    <w:qFormat/>
    <w:uiPriority w:val="0"/>
    <w:rPr>
      <w:rFonts w:eastAsia="仿宋_GB2312" w:cstheme="minorBidi"/>
      <w:kern w:val="2"/>
      <w:sz w:val="18"/>
      <w:szCs w:val="18"/>
    </w:rPr>
  </w:style>
  <w:style w:type="paragraph" w:customStyle="1" w:styleId="15">
    <w:name w:val="修订1"/>
    <w:hidden/>
    <w:unhideWhenUsed/>
    <w:qFormat/>
    <w:uiPriority w:val="99"/>
    <w:rPr>
      <w:rFonts w:ascii="Times New Roman" w:hAnsi="Times New Roman" w:eastAsia="仿宋_GB2312" w:cstheme="minorBidi"/>
      <w:kern w:val="2"/>
      <w:sz w:val="32"/>
      <w:szCs w:val="32"/>
      <w:lang w:val="en-US" w:eastAsia="zh-CN" w:bidi="ar-SA"/>
    </w:rPr>
  </w:style>
  <w:style w:type="character" w:customStyle="1" w:styleId="16">
    <w:name w:val="批注文字 字符"/>
    <w:basedOn w:val="11"/>
    <w:link w:val="2"/>
    <w:qFormat/>
    <w:uiPriority w:val="0"/>
    <w:rPr>
      <w:rFonts w:eastAsia="仿宋_GB2312" w:cstheme="minorBidi"/>
      <w:kern w:val="2"/>
      <w:sz w:val="32"/>
      <w:szCs w:val="32"/>
    </w:rPr>
  </w:style>
  <w:style w:type="character" w:customStyle="1" w:styleId="17">
    <w:name w:val="批注主题 字符"/>
    <w:basedOn w:val="16"/>
    <w:link w:val="8"/>
    <w:qFormat/>
    <w:uiPriority w:val="0"/>
    <w:rPr>
      <w:rFonts w:eastAsia="仿宋_GB2312" w:cstheme="minorBidi"/>
      <w:b/>
      <w:bCs/>
      <w:kern w:val="2"/>
      <w:sz w:val="32"/>
      <w:szCs w:val="32"/>
    </w:rPr>
  </w:style>
  <w:style w:type="paragraph" w:customStyle="1" w:styleId="18">
    <w:name w:val="Revision"/>
    <w:hidden/>
    <w:unhideWhenUsed/>
    <w:qFormat/>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1568</Words>
  <Characters>1763</Characters>
  <Lines>12</Lines>
  <Paragraphs>3</Paragraphs>
  <TotalTime>0</TotalTime>
  <ScaleCrop>false</ScaleCrop>
  <LinksUpToDate>false</LinksUpToDate>
  <CharactersWithSpaces>1763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2024-11-19T22:26:00Z</dcterms:created>
  <dc:creator>Ray</dc:creator>
  <cp:lastModifiedBy>张九峰</cp:lastModifiedBy>
  <cp:lastPrinted>2026-03-31T18:51:00Z</cp:lastPrinted>
  <dcterms:modified xsi:type="dcterms:W3CDTF">2026-03-31T11:17:03Z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908CE7C7848048BCB8FB9F8D9226359C_13</vt:lpwstr>
  </property>
  <property fmtid="{D5CDD505-2E9C-101B-9397-08002B2CF9AE}" pid="4" name="KSOTemplateDocerSaveRecord">
    <vt:lpwstr>eyJoZGlkIjoiYmExMTEyMzlhM2ZkMjU2YzAyOTFjZDEwODIzNDE3Y2YiLCJ1c2VySWQiOiIzNTgxMjQ0NTQifQ==</vt:lpwstr>
  </property>
</Properties>
</file>