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873FA7">
      <w:pPr>
        <w:pStyle w:val="10"/>
        <w:bidi w:val="0"/>
        <w:rPr>
          <w:rFonts w:hint="default"/>
          <w:lang w:val="en-US" w:eastAsia="zh-CN"/>
        </w:rPr>
      </w:pPr>
      <w:bookmarkStart w:id="0" w:name="_GoBack"/>
      <w:r>
        <w:rPr>
          <w:rFonts w:hint="default"/>
          <w:lang w:val="en-US" w:eastAsia="zh-CN"/>
        </w:rPr>
        <w:t>《工业产品质量控制和技术评价实验室管理办法（修订）》解读</w:t>
      </w:r>
    </w:p>
    <w:bookmarkEnd w:id="0"/>
    <w:p w14:paraId="1A104A5C">
      <w:pPr>
        <w:pStyle w:val="8"/>
        <w:bidi w:val="0"/>
        <w:rPr>
          <w:rFonts w:hint="default"/>
          <w:lang w:val="en-US" w:eastAsia="zh-CN"/>
        </w:rPr>
      </w:pPr>
      <w:r>
        <w:rPr>
          <w:rFonts w:hint="default"/>
          <w:lang w:val="en-US" w:eastAsia="zh-CN"/>
        </w:rPr>
        <w:t>发布时间：2026-03-31 14:43</w:t>
      </w:r>
      <w:r>
        <w:rPr>
          <w:rFonts w:hint="eastAsia"/>
          <w:lang w:val="en-US" w:eastAsia="zh-CN"/>
        </w:rPr>
        <w:t xml:space="preserve">1                                 </w:t>
      </w:r>
      <w:r>
        <w:rPr>
          <w:rFonts w:hint="default"/>
          <w:lang w:val="en-US" w:eastAsia="zh-CN"/>
        </w:rPr>
        <w:t>来源：科技司</w:t>
      </w:r>
    </w:p>
    <w:p w14:paraId="66FFA2F4">
      <w:pPr>
        <w:ind w:firstLine="560" w:firstLineChars="200"/>
        <w:rPr>
          <w:rFonts w:hint="default"/>
          <w:lang w:val="en-US" w:eastAsia="zh-CN"/>
        </w:rPr>
      </w:pPr>
      <w:r>
        <w:rPr>
          <w:rFonts w:hint="default"/>
          <w:lang w:val="en-US" w:eastAsia="zh-CN"/>
        </w:rPr>
        <w:t>2026年3月17日，工业和信息化部公布修订后的《工业产品质量控制和技术评价实验室管理办法》（以下简称《管理办法》）。为更好地理解和执行新修订的《管理办法》，工业和信息化部科技司负责同志对《管理办法》进行了解读。</w:t>
      </w:r>
    </w:p>
    <w:p w14:paraId="48DF0251">
      <w:pPr>
        <w:pStyle w:val="2"/>
        <w:bidi w:val="0"/>
        <w:rPr>
          <w:rFonts w:hint="default"/>
          <w:lang w:val="en-US" w:eastAsia="zh-CN"/>
        </w:rPr>
      </w:pPr>
      <w:r>
        <w:rPr>
          <w:rFonts w:hint="default"/>
          <w:lang w:val="en-US" w:eastAsia="zh-CN"/>
        </w:rPr>
        <w:t>一问：修订《管理办法》的背景是什么？</w:t>
      </w:r>
    </w:p>
    <w:p w14:paraId="63782639">
      <w:pPr>
        <w:ind w:firstLine="560" w:firstLineChars="200"/>
        <w:rPr>
          <w:rFonts w:hint="default"/>
          <w:lang w:val="en-US" w:eastAsia="zh-CN"/>
        </w:rPr>
      </w:pPr>
      <w:r>
        <w:rPr>
          <w:rFonts w:hint="default"/>
          <w:lang w:val="en-US" w:eastAsia="zh-CN"/>
        </w:rPr>
        <w:t>答：工业产品质量控制和技术评价实验室（以下简称“实验室”）是我部统筹指导行业质量管理工作的重要载体和抓手，是行业质量基础设施和产业科技创新体系的重要组成部分。2010年，我部公布现行《管理办法》，先后开展5批遴选认定、7次评估复核。目前保留的210家实验室涉及25个省、自治区、直辖市，覆盖装备、建材、石化、钢铁、有色金属、轻工、纺织、食品、电子信息、软件等十大行业，产品门类涵盖国民经济行业分类33个大类、163个中类，在我部质量管理工作中发挥了重要作用。仅“十四五”期间，实验室持续创新服务方式，丰富服务品类，为企业提供检验检测、质量诊断、质量改进等技术服务3000万余次，组织质量技术交流活动15万余场，培养高水平质量技术带头人和专业技术人员4万余人，取得一系列积极成效。</w:t>
      </w:r>
    </w:p>
    <w:p w14:paraId="05E92D14">
      <w:pPr>
        <w:ind w:firstLine="560" w:firstLineChars="200"/>
        <w:rPr>
          <w:rFonts w:hint="default"/>
          <w:lang w:val="en-US" w:eastAsia="zh-CN"/>
        </w:rPr>
      </w:pPr>
      <w:r>
        <w:rPr>
          <w:rFonts w:hint="default"/>
          <w:lang w:val="en-US" w:eastAsia="zh-CN"/>
        </w:rPr>
        <w:t>习近平总书记高度重视质量工作，强调要始终坚持质量第一、效益优先，大力增强质量意识，视质量为生命，以高质量为追求。党的二十大报告提出，要加快建设制造强国、质量强国。2023年，中共中央、国务院印发《质量强国建设纲要》，提出要加强质量基础设施能力建设，提升质量基础设施服务效能。《中华人民共和国国民经济和社会发展第十五个五年规划纲要》提出，要深入实施制造业卓越质量工程，增强质量技术基础能力。当前，我国经济已由高速增长转向高质量发展阶段，制造业处在从“量的积累”转向“质的提升”的关键时期，人民群众对产品的需求从过去“有没有”变为“好不好”“优不优”。为适应新形势新任务新要求，有必要修订现行《管理办法》，进一步加强实验室高水平建设、规范化管理和高质量发展，引导实验室提高质量技术服务水平，增强质量公共服务效能，为实施制造业卓越质量工程、加快推进新型工业化提供质量支撑。</w:t>
      </w:r>
    </w:p>
    <w:p w14:paraId="152FAE21">
      <w:pPr>
        <w:pStyle w:val="2"/>
        <w:bidi w:val="0"/>
        <w:rPr>
          <w:rFonts w:hint="default"/>
          <w:lang w:val="en-US" w:eastAsia="zh-CN"/>
        </w:rPr>
      </w:pPr>
      <w:r>
        <w:rPr>
          <w:rFonts w:hint="default"/>
          <w:lang w:val="en-US" w:eastAsia="zh-CN"/>
        </w:rPr>
        <w:t>二问：《管理办法》的主要修订内容是什么？</w:t>
      </w:r>
    </w:p>
    <w:p w14:paraId="7F37A2EC">
      <w:pPr>
        <w:ind w:firstLine="560" w:firstLineChars="200"/>
        <w:rPr>
          <w:rFonts w:hint="default"/>
          <w:lang w:val="en-US" w:eastAsia="zh-CN"/>
        </w:rPr>
      </w:pPr>
      <w:r>
        <w:rPr>
          <w:rFonts w:hint="default"/>
          <w:lang w:val="en-US" w:eastAsia="zh-CN"/>
        </w:rPr>
        <w:t>答：《管理办法》由五章十六条调整为六章二十八条。第一章总则，明确编制目的、功能定位、依托单位、主要任务、基本原则。第二章职责，明确我部、推荐单位、依托单位的职责。第三章认定，明确规划布局、申请条件、认定程序等要求。第四章运行，明确实验室的内部管理、条件建设、管理支撑、质量服务、产品评估、技术推广、知识产权、人才培养、交流合作、发展支持等要求。第五章管理，明确对实验室管理的要求，包括年度报告、定期复核、变更、退出、禁止行为等。第六章附则，包括实验室的命名规则及《管理办法》的施行时间。</w:t>
      </w:r>
    </w:p>
    <w:p w14:paraId="2FF66BA0">
      <w:pPr>
        <w:ind w:firstLine="560" w:firstLineChars="200"/>
        <w:rPr>
          <w:rFonts w:hint="default"/>
          <w:lang w:val="en-US" w:eastAsia="zh-CN"/>
        </w:rPr>
      </w:pPr>
      <w:r>
        <w:rPr>
          <w:rFonts w:hint="default"/>
          <w:lang w:val="en-US" w:eastAsia="zh-CN"/>
        </w:rPr>
        <w:t>《管理办法》主要修订了以下内容：</w:t>
      </w:r>
    </w:p>
    <w:p w14:paraId="26903F9D">
      <w:pPr>
        <w:ind w:firstLine="560" w:firstLineChars="200"/>
        <w:rPr>
          <w:rFonts w:hint="default"/>
          <w:lang w:val="en-US" w:eastAsia="zh-CN"/>
        </w:rPr>
      </w:pPr>
      <w:r>
        <w:rPr>
          <w:rFonts w:hint="default"/>
          <w:lang w:val="en-US" w:eastAsia="zh-CN"/>
        </w:rPr>
        <w:t>一是优化功能定位。将实验室的定位由工业产品质量检验与评价技术服务机构，调整为开展工业产品质量控制和技术评价的综合性服务机构和专业化技术平台；功能由以检验检测、诊断评价等传统技术服务为主，转变为面向工业产品全生命周期、全产业链条提供“一站式”高水平质量技术服务，并深化拓展了开展关键共性质量技术攻关、推广先进质量技术方法、培育优秀质量人才、加强质量技术交流合作等综合性、多元化功能。</w:t>
      </w:r>
    </w:p>
    <w:p w14:paraId="08F72D48">
      <w:pPr>
        <w:ind w:firstLine="560" w:firstLineChars="200"/>
        <w:rPr>
          <w:rFonts w:hint="default"/>
          <w:lang w:val="en-US" w:eastAsia="zh-CN"/>
        </w:rPr>
      </w:pPr>
      <w:r>
        <w:rPr>
          <w:rFonts w:hint="default"/>
          <w:lang w:val="en-US" w:eastAsia="zh-CN"/>
        </w:rPr>
        <w:t>二是压实管理责任。构建了工业和信息化部、推荐单位、依托单位的主体明确、权责清晰、协同联动的三层管理体系，进一步强化了省级工业和信息化主管部门、中央企业集团等推荐单位建设指导、发展支持和监督管理的责任，以及依托单位建设运行和日常管理的责任，引导地方工业和信息化主管部门因地制宜支持实验室建设，推动实验室高水平发展与区域产业高质量发展协同并进。</w:t>
      </w:r>
    </w:p>
    <w:p w14:paraId="046754B0">
      <w:pPr>
        <w:ind w:firstLine="560" w:firstLineChars="200"/>
        <w:rPr>
          <w:rFonts w:hint="default"/>
          <w:lang w:val="en-US" w:eastAsia="zh-CN"/>
        </w:rPr>
      </w:pPr>
      <w:r>
        <w:rPr>
          <w:rFonts w:hint="default"/>
          <w:lang w:val="en-US" w:eastAsia="zh-CN"/>
        </w:rPr>
        <w:t>三是加强运行管理。围绕“应该干”，明确了实验室应当履行的基本职责义务和工作任务，推动实验室对内加强运行管理和能力建设，对外提升质量公共服务水平。围绕“支持干”，增加了鼓励和支持以实验室名义开展的工作，助力实验室进一步提升区域和行业影响力，有效发挥辐射带动和标杆引领作用。围绕“禁止干”，明确了实验室不得违反的底线要求，确保业务活动的公正性和权威性，坚决杜绝影响实验室行业公信力和品牌影响力的行为。</w:t>
      </w:r>
    </w:p>
    <w:p w14:paraId="3724D354">
      <w:pPr>
        <w:ind w:firstLine="560" w:firstLineChars="200"/>
        <w:rPr>
          <w:rFonts w:hint="default"/>
          <w:lang w:val="en-US" w:eastAsia="zh-CN"/>
        </w:rPr>
      </w:pPr>
      <w:r>
        <w:rPr>
          <w:rFonts w:hint="default"/>
          <w:lang w:val="en-US" w:eastAsia="zh-CN"/>
        </w:rPr>
        <w:t>四是完善管理机制。构建了实验室“布局—认定—运行—复核—退出”的全链条管理体系，创新性提出有计划、有重点地进行领域布局、区域布局和规模布局，将认定条件由单一定性标准调整为定性和定量有机结合的更具体、可考核的标准，严格执行八级认定程序，强化定期评估、等次考核、动态调整、有进有出，进一步增强实验室提升自身能力和服务水平的内生动力，推动形成布局合理、技术先进、运行规范、服务优质的实验室可持续发展格局。</w:t>
      </w:r>
    </w:p>
    <w:p w14:paraId="1BCAFCB0">
      <w:pPr>
        <w:pStyle w:val="2"/>
        <w:bidi w:val="0"/>
        <w:rPr>
          <w:rFonts w:hint="default"/>
          <w:lang w:val="en-US" w:eastAsia="zh-CN"/>
        </w:rPr>
      </w:pPr>
      <w:r>
        <w:rPr>
          <w:rFonts w:hint="default"/>
          <w:lang w:val="en-US" w:eastAsia="zh-CN"/>
        </w:rPr>
        <w:t>三问：《管理办法》如何界定各方管理职责？</w:t>
      </w:r>
    </w:p>
    <w:p w14:paraId="55254FB7">
      <w:pPr>
        <w:ind w:firstLine="560" w:firstLineChars="200"/>
        <w:rPr>
          <w:rFonts w:hint="default"/>
          <w:lang w:val="en-US" w:eastAsia="zh-CN"/>
        </w:rPr>
      </w:pPr>
      <w:r>
        <w:rPr>
          <w:rFonts w:hint="default"/>
          <w:lang w:val="en-US" w:eastAsia="zh-CN"/>
        </w:rPr>
        <w:t>答：实验室管理主要涉及工业和信息化部、推荐单位、依托单位等三方主体。为厘清职责分工，强化协同治理效能，《管理办法》规定各方的管理职责，指导、支持实验室发展。</w:t>
      </w:r>
    </w:p>
    <w:p w14:paraId="50DE70C5">
      <w:pPr>
        <w:ind w:firstLine="560" w:firstLineChars="200"/>
        <w:rPr>
          <w:rFonts w:hint="default"/>
          <w:lang w:val="en-US" w:eastAsia="zh-CN"/>
        </w:rPr>
      </w:pPr>
      <w:r>
        <w:rPr>
          <w:rFonts w:hint="default"/>
          <w:lang w:val="en-US" w:eastAsia="zh-CN"/>
        </w:rPr>
        <w:t>工业和信息化部是实验室的主管部门，负责实验室的统筹布局、建设规划、认定批复、评估复核和监督抽查工作。</w:t>
      </w:r>
    </w:p>
    <w:p w14:paraId="320313E7">
      <w:pPr>
        <w:ind w:firstLine="560" w:firstLineChars="200"/>
        <w:rPr>
          <w:rFonts w:hint="default"/>
          <w:lang w:val="en-US" w:eastAsia="zh-CN"/>
        </w:rPr>
      </w:pPr>
      <w:r>
        <w:rPr>
          <w:rFonts w:hint="default"/>
          <w:lang w:val="en-US" w:eastAsia="zh-CN"/>
        </w:rPr>
        <w:t>各省、自治区、直辖市及新疆生产建设兵团工业和信息化主管部门、中央企业集团是实验室的推荐单位，负责本地区、本集团实验室的申请推荐、建设指导、发展支持和监督管理。</w:t>
      </w:r>
    </w:p>
    <w:p w14:paraId="3B51DBFE">
      <w:pPr>
        <w:ind w:firstLine="560" w:firstLineChars="200"/>
        <w:rPr>
          <w:rFonts w:hint="default"/>
          <w:lang w:val="en-US" w:eastAsia="zh-CN"/>
        </w:rPr>
      </w:pPr>
      <w:r>
        <w:rPr>
          <w:rFonts w:hint="default"/>
          <w:lang w:val="en-US" w:eastAsia="zh-CN"/>
        </w:rPr>
        <w:t>依托单位一般指技术能力强、服务水平高、运行管理规范、具有行业公信力的高等学校、科研院所、企事业单位，是实验室建设、运行和日常管理的主体，负责为实验室建设发展和运行管理持续提供条件和制度保障，及时解决实验室建设和运行中遇到的问题，维护其业务活动的科学性、公正性和权威性，自觉接受推荐单位的监督管理。</w:t>
      </w:r>
    </w:p>
    <w:p w14:paraId="697AADCF">
      <w:pPr>
        <w:pStyle w:val="2"/>
        <w:bidi w:val="0"/>
        <w:rPr>
          <w:rFonts w:hint="default"/>
          <w:lang w:val="en-US" w:eastAsia="zh-CN"/>
        </w:rPr>
      </w:pPr>
      <w:r>
        <w:rPr>
          <w:rFonts w:hint="default"/>
          <w:lang w:val="en-US" w:eastAsia="zh-CN"/>
        </w:rPr>
        <w:t>四问：《管理办法》支持以实验室名义开展哪些重点工作？</w:t>
      </w:r>
    </w:p>
    <w:p w14:paraId="4CB79A31">
      <w:pPr>
        <w:ind w:firstLine="560" w:firstLineChars="200"/>
        <w:rPr>
          <w:rFonts w:hint="default"/>
          <w:lang w:val="en-US" w:eastAsia="zh-CN"/>
        </w:rPr>
      </w:pPr>
      <w:r>
        <w:rPr>
          <w:rFonts w:hint="default"/>
          <w:lang w:val="en-US" w:eastAsia="zh-CN"/>
        </w:rPr>
        <w:t>答：为支持实验室发展，《管理办法》第四章明确了实验室日常运行可开展的工作任务，规定可以实验室名义对外开展以下工作：</w:t>
      </w:r>
    </w:p>
    <w:p w14:paraId="7B32140F">
      <w:pPr>
        <w:ind w:firstLine="560" w:firstLineChars="200"/>
        <w:rPr>
          <w:rFonts w:hint="default"/>
          <w:lang w:val="en-US" w:eastAsia="zh-CN"/>
        </w:rPr>
      </w:pPr>
      <w:r>
        <w:rPr>
          <w:rFonts w:hint="default"/>
          <w:lang w:val="en-US" w:eastAsia="zh-CN"/>
        </w:rPr>
        <w:t>一是为各级工业和信息化主管部门的质量管理工作提供决策咨询和技术支持，积极承担各级工业和信息化主管部门委托的任务。</w:t>
      </w:r>
    </w:p>
    <w:p w14:paraId="67D773C5">
      <w:pPr>
        <w:ind w:firstLine="560" w:firstLineChars="200"/>
        <w:rPr>
          <w:rFonts w:hint="default"/>
          <w:lang w:val="en-US" w:eastAsia="zh-CN"/>
        </w:rPr>
      </w:pPr>
      <w:r>
        <w:rPr>
          <w:rFonts w:hint="default"/>
          <w:lang w:val="en-US" w:eastAsia="zh-CN"/>
        </w:rPr>
        <w:t>二是经依托单位审核、推荐单位核查并报工业和信息化部备案后，面向相关行业领域公布认定领域的产品质量状况评估报告。</w:t>
      </w:r>
    </w:p>
    <w:p w14:paraId="766E64B9">
      <w:pPr>
        <w:ind w:firstLine="560" w:firstLineChars="200"/>
        <w:rPr>
          <w:rFonts w:hint="default"/>
          <w:lang w:val="en-US" w:eastAsia="zh-CN"/>
        </w:rPr>
      </w:pPr>
      <w:r>
        <w:rPr>
          <w:rFonts w:hint="default"/>
          <w:lang w:val="en-US" w:eastAsia="zh-CN"/>
        </w:rPr>
        <w:t>三是开展先进质量技术成果推广工作。</w:t>
      </w:r>
    </w:p>
    <w:p w14:paraId="42F3139E">
      <w:pPr>
        <w:ind w:firstLine="560" w:firstLineChars="200"/>
        <w:rPr>
          <w:rFonts w:hint="default"/>
          <w:lang w:val="en-US" w:eastAsia="zh-CN"/>
        </w:rPr>
      </w:pPr>
      <w:r>
        <w:rPr>
          <w:rFonts w:hint="default"/>
          <w:lang w:val="en-US" w:eastAsia="zh-CN"/>
        </w:rPr>
        <w:t>四是在实验室完成的专著、论文、软件、数据库等研究成果上标注实验室名称，专利申请、技术成果转让、奖励申报等按国家有关规定办理。</w:t>
      </w:r>
    </w:p>
    <w:p w14:paraId="6029A504">
      <w:pPr>
        <w:ind w:firstLine="560" w:firstLineChars="200"/>
        <w:rPr>
          <w:rFonts w:hint="default"/>
          <w:lang w:val="en-US" w:eastAsia="zh-CN"/>
        </w:rPr>
      </w:pPr>
      <w:r>
        <w:rPr>
          <w:rFonts w:hint="default"/>
          <w:lang w:val="en-US" w:eastAsia="zh-CN"/>
        </w:rPr>
        <w:t>五是开展认定领域的质量人才公益培训。</w:t>
      </w:r>
    </w:p>
    <w:p w14:paraId="5274F408">
      <w:pPr>
        <w:pStyle w:val="2"/>
        <w:bidi w:val="0"/>
        <w:rPr>
          <w:rFonts w:hint="default"/>
          <w:lang w:val="en-US" w:eastAsia="zh-CN"/>
        </w:rPr>
      </w:pPr>
      <w:r>
        <w:rPr>
          <w:rFonts w:hint="default"/>
          <w:lang w:val="en-US" w:eastAsia="zh-CN"/>
        </w:rPr>
        <w:t>五问：《管理办法》明确禁止实验室的哪些行为？</w:t>
      </w:r>
    </w:p>
    <w:p w14:paraId="34A0717B">
      <w:pPr>
        <w:ind w:firstLine="560" w:firstLineChars="200"/>
        <w:rPr>
          <w:rFonts w:hint="default"/>
          <w:lang w:val="en-US" w:eastAsia="zh-CN"/>
        </w:rPr>
      </w:pPr>
      <w:r>
        <w:rPr>
          <w:rFonts w:hint="default"/>
          <w:lang w:val="en-US" w:eastAsia="zh-CN"/>
        </w:rPr>
        <w:t>答：工业和信息化部加强对实验室的动态管理，对通过认定的实验室每3年组织复核一次。《管理办法》明确提出实验室行为“负面清单”，如果有下列行为之一，实验室将被撤销，且被撤销实验室的依托单位3年内不得再次申请。</w:t>
      </w:r>
    </w:p>
    <w:p w14:paraId="23A9495A">
      <w:pPr>
        <w:ind w:firstLine="560" w:firstLineChars="200"/>
        <w:rPr>
          <w:rFonts w:hint="default"/>
          <w:lang w:val="en-US" w:eastAsia="zh-CN"/>
        </w:rPr>
      </w:pPr>
      <w:r>
        <w:rPr>
          <w:rFonts w:hint="default"/>
          <w:lang w:val="en-US" w:eastAsia="zh-CN"/>
        </w:rPr>
        <w:t>一是在业务活动中因弄虚作假、结果严重失实等，造成严重经济损失或恶劣社会影响。</w:t>
      </w:r>
    </w:p>
    <w:p w14:paraId="2A19D5EC">
      <w:pPr>
        <w:ind w:firstLine="560" w:firstLineChars="200"/>
        <w:rPr>
          <w:rFonts w:hint="default"/>
          <w:lang w:val="en-US" w:eastAsia="zh-CN"/>
        </w:rPr>
      </w:pPr>
      <w:r>
        <w:rPr>
          <w:rFonts w:hint="default"/>
          <w:lang w:val="en-US" w:eastAsia="zh-CN"/>
        </w:rPr>
        <w:t>二是从事可能影响实验室业务公正性的经营活动，接受可能影响业务公正性的资助。</w:t>
      </w:r>
    </w:p>
    <w:p w14:paraId="5CFDFB43">
      <w:pPr>
        <w:ind w:firstLine="560" w:firstLineChars="200"/>
        <w:rPr>
          <w:rFonts w:hint="default"/>
          <w:lang w:val="en-US" w:eastAsia="zh-CN"/>
        </w:rPr>
      </w:pPr>
      <w:r>
        <w:rPr>
          <w:rFonts w:hint="default"/>
          <w:lang w:val="en-US" w:eastAsia="zh-CN"/>
        </w:rPr>
        <w:t>三是不按要求报送产品质量状况评估报告和年度运行情况报告，或报告数据资料失真、失准、失实的。</w:t>
      </w:r>
    </w:p>
    <w:p w14:paraId="077013AF">
      <w:pPr>
        <w:ind w:firstLine="560" w:firstLineChars="200"/>
        <w:rPr>
          <w:rFonts w:hint="default"/>
          <w:lang w:val="en-US" w:eastAsia="zh-CN"/>
        </w:rPr>
      </w:pPr>
      <w:r>
        <w:rPr>
          <w:rFonts w:hint="default"/>
          <w:lang w:val="en-US" w:eastAsia="zh-CN"/>
        </w:rPr>
        <w:t>四是以实验室名义对外出具检验检测、计量等报告的。</w:t>
      </w:r>
    </w:p>
    <w:p w14:paraId="3D7276B7">
      <w:pPr>
        <w:ind w:firstLine="560" w:firstLineChars="200"/>
        <w:rPr>
          <w:rFonts w:hint="default"/>
          <w:lang w:val="en-US" w:eastAsia="zh-CN"/>
        </w:rPr>
      </w:pPr>
      <w:r>
        <w:rPr>
          <w:rFonts w:hint="default"/>
          <w:lang w:val="en-US" w:eastAsia="zh-CN"/>
        </w:rPr>
        <w:t>五是违反国家保密规定，或泄露、窃取服务对象的技术秘密、商业秘密，造成严重后果的。</w:t>
      </w:r>
    </w:p>
    <w:p w14:paraId="7C8C869D">
      <w:pPr>
        <w:ind w:firstLine="560" w:firstLineChars="200"/>
        <w:rPr>
          <w:rFonts w:hint="default"/>
          <w:lang w:val="en-US" w:eastAsia="zh-CN"/>
        </w:rPr>
      </w:pPr>
      <w:r>
        <w:rPr>
          <w:rFonts w:hint="default"/>
          <w:lang w:val="en-US" w:eastAsia="zh-CN"/>
        </w:rPr>
        <w:t>六是被纳入严重失信主体名单、发生较大及以上安全生产事故等情形。</w:t>
      </w:r>
    </w:p>
    <w:p w14:paraId="3D83E1CF">
      <w:pPr>
        <w:ind w:firstLine="560" w:firstLineChars="200"/>
        <w:rPr>
          <w:rFonts w:hint="default"/>
          <w:lang w:val="en-US" w:eastAsia="zh-CN"/>
        </w:rPr>
      </w:pPr>
      <w:r>
        <w:rPr>
          <w:rFonts w:hint="default"/>
          <w:lang w:val="en-US" w:eastAsia="zh-CN"/>
        </w:rPr>
        <w:t>七是违反国家法律、行政法规及其他相关规定。</w:t>
      </w:r>
    </w:p>
    <w:p w14:paraId="6B5C2850">
      <w:pPr>
        <w:ind w:firstLine="560" w:firstLineChars="200"/>
        <w:rPr>
          <w:rFonts w:hint="default"/>
          <w:lang w:val="en-US" w:eastAsia="zh-CN"/>
        </w:rPr>
      </w:pPr>
      <w:r>
        <w:rPr>
          <w:rFonts w:hint="default"/>
          <w:lang w:val="en-US" w:eastAsia="zh-CN"/>
        </w:rPr>
        <w:t>https://www.miit.gov.cn/zwgk/zcjd/art/2026/art_23ea9db5a32d477385d9b375730288ce.html</w:t>
      </w:r>
    </w:p>
    <w:sectPr>
      <w:headerReference r:id="rId5" w:type="default"/>
      <w:footerReference r:id="rId6" w:type="default"/>
      <w:pgSz w:w="11906" w:h="16838"/>
      <w:pgMar w:top="1021" w:right="737" w:bottom="567" w:left="964" w:header="0" w:footer="340" w:gutter="0"/>
      <w:lnNumType w:countBy="0" w:restart="continuous"/>
      <w:cols w:space="720" w:num="1"/>
      <w:docGrid w:type="lines" w:linePitch="381" w:charSpace="0"/>
    </w:sectPr>
  </w:body>
</w:document>
</file>

<file path=word/customizations.xml><?xml version="1.0" encoding="utf-8"?>
<wne:tcg xmlns:r="http://schemas.openxmlformats.org/officeDocument/2006/relationships" xmlns:wne="http://schemas.microsoft.com/office/word/2006/wordml">
  <wne:keymaps>
    <wne:keymap wne:kcmPrimary="0432">
      <wne:acd wne:acdName="acd0"/>
    </wne:keymap>
    <wne:keymap wne:kcmPrimary="0073">
      <wne:acd wne:acdName="acd1"/>
    </wne:keymap>
    <wne:keymap wne:kcmPrimary="0072">
      <wne:acd wne:acdName="acd2"/>
    </wne:keymap>
    <wne:keymap wne:kcmPrimary="0431">
      <wne:acd wne:acdName="acd3"/>
    </wne:keymap>
    <wne:keymap wne:kcmPrimary="0433">
      <wne:acd wne:acdName="acd4"/>
    </wne:keymap>
  </wne:keymaps>
  <wne:acds>
    <wne:acd wne:argValue="AQAAAD4A" wne:acdName="acd0" wne:fciIndexBasedOn="0065"/>
    <wne:acd wne:argValue="AQAAAAMA" wne:acdName="acd1" wne:fciIndexBasedOn="0065"/>
    <wne:acd wne:argValue="AQAAAAIA" wne:acdName="acd2" wne:fciIndexBasedOn="0065"/>
    <wne:acd wne:argValue="AQAAAAcA" wne:acdName="acd3" wne:fciIndexBasedOn="0065"/>
    <wne:acd wne:argValue="AQAAAAQA" wne:acdName="acd4"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0010101010101"/>
    <w:charset w:val="86"/>
    <w:family w:val="script"/>
    <w:pitch w:val="default"/>
    <w:sig w:usb0="00000001" w:usb1="08000000" w:usb2="00000000" w:usb3="00000000" w:csb0="00040000" w:csb1="00000000"/>
  </w:font>
  <w:font w:name="FangSong_GB2312">
    <w:altName w:val="仿宋_GB2312"/>
    <w:panose1 w:val="02010609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Verdana">
    <w:panose1 w:val="020B0604030504040204"/>
    <w:charset w:val="00"/>
    <w:family w:val="auto"/>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7BA71">
    <w:pPr>
      <w:pStyle w:val="11"/>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14:paraId="04D3F727">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01441">
    <w:pPr>
      <w:pStyle w:val="12"/>
      <w:pBdr>
        <w:bottom w:val="none" w:color="auto" w:sz="0" w:space="1"/>
      </w:pBdr>
      <w:ind w:firstLine="0" w:firstLineChars="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xMjI5YjhlNTAxYzUyOTYyYWZlMGFjYmE4ZTczY2EifQ=="/>
  </w:docVars>
  <w:rsids>
    <w:rsidRoot w:val="008646BD"/>
    <w:rsid w:val="000952D0"/>
    <w:rsid w:val="001A2DA0"/>
    <w:rsid w:val="001C34A5"/>
    <w:rsid w:val="00200674"/>
    <w:rsid w:val="002015BF"/>
    <w:rsid w:val="00213952"/>
    <w:rsid w:val="00266005"/>
    <w:rsid w:val="002837A7"/>
    <w:rsid w:val="002B0CB8"/>
    <w:rsid w:val="002B58EF"/>
    <w:rsid w:val="002D0912"/>
    <w:rsid w:val="00356EC6"/>
    <w:rsid w:val="003D4685"/>
    <w:rsid w:val="003E1B9B"/>
    <w:rsid w:val="00400ACF"/>
    <w:rsid w:val="00435CBF"/>
    <w:rsid w:val="00445C46"/>
    <w:rsid w:val="00446D85"/>
    <w:rsid w:val="004629C9"/>
    <w:rsid w:val="00474356"/>
    <w:rsid w:val="0049009B"/>
    <w:rsid w:val="004B411A"/>
    <w:rsid w:val="004E2A21"/>
    <w:rsid w:val="00502BE0"/>
    <w:rsid w:val="00527965"/>
    <w:rsid w:val="00541495"/>
    <w:rsid w:val="0056140E"/>
    <w:rsid w:val="00592654"/>
    <w:rsid w:val="005A735E"/>
    <w:rsid w:val="005D325A"/>
    <w:rsid w:val="005E1220"/>
    <w:rsid w:val="006B1EF5"/>
    <w:rsid w:val="006C53F4"/>
    <w:rsid w:val="006C6AA9"/>
    <w:rsid w:val="00762811"/>
    <w:rsid w:val="008646BD"/>
    <w:rsid w:val="00871C17"/>
    <w:rsid w:val="008D3059"/>
    <w:rsid w:val="009940CD"/>
    <w:rsid w:val="009C24DA"/>
    <w:rsid w:val="009D5A6E"/>
    <w:rsid w:val="00A131F8"/>
    <w:rsid w:val="00A23FE0"/>
    <w:rsid w:val="00A306C1"/>
    <w:rsid w:val="00A37658"/>
    <w:rsid w:val="00AB326C"/>
    <w:rsid w:val="00C00734"/>
    <w:rsid w:val="00C00AF2"/>
    <w:rsid w:val="00C26FAA"/>
    <w:rsid w:val="00C33B6B"/>
    <w:rsid w:val="00C60FF7"/>
    <w:rsid w:val="00C64727"/>
    <w:rsid w:val="00D26B81"/>
    <w:rsid w:val="00D50192"/>
    <w:rsid w:val="00D56554"/>
    <w:rsid w:val="00D97296"/>
    <w:rsid w:val="00E0155F"/>
    <w:rsid w:val="00E02056"/>
    <w:rsid w:val="00E86AF6"/>
    <w:rsid w:val="00EB649E"/>
    <w:rsid w:val="00EC5ABB"/>
    <w:rsid w:val="00F016CB"/>
    <w:rsid w:val="00F17701"/>
    <w:rsid w:val="00F50F80"/>
    <w:rsid w:val="00F57B68"/>
    <w:rsid w:val="00FC6509"/>
    <w:rsid w:val="02054F52"/>
    <w:rsid w:val="03E5615F"/>
    <w:rsid w:val="04B94BB8"/>
    <w:rsid w:val="04DE3790"/>
    <w:rsid w:val="04E5597F"/>
    <w:rsid w:val="05CC0449"/>
    <w:rsid w:val="05CC6BA7"/>
    <w:rsid w:val="05F56545"/>
    <w:rsid w:val="062F5783"/>
    <w:rsid w:val="065F3F33"/>
    <w:rsid w:val="067A50BC"/>
    <w:rsid w:val="06961A26"/>
    <w:rsid w:val="072E100E"/>
    <w:rsid w:val="07D41004"/>
    <w:rsid w:val="08232C96"/>
    <w:rsid w:val="093C70F8"/>
    <w:rsid w:val="094C1995"/>
    <w:rsid w:val="098A372D"/>
    <w:rsid w:val="09BA3767"/>
    <w:rsid w:val="0A3D2F70"/>
    <w:rsid w:val="0B9079F1"/>
    <w:rsid w:val="0D191DA8"/>
    <w:rsid w:val="0E075FBD"/>
    <w:rsid w:val="0E1238D7"/>
    <w:rsid w:val="0E592DD6"/>
    <w:rsid w:val="0EBE39E4"/>
    <w:rsid w:val="0F033741"/>
    <w:rsid w:val="0F9E1127"/>
    <w:rsid w:val="0FC26D8E"/>
    <w:rsid w:val="1011158B"/>
    <w:rsid w:val="122C71D3"/>
    <w:rsid w:val="12B6109D"/>
    <w:rsid w:val="135C6A68"/>
    <w:rsid w:val="14AC3169"/>
    <w:rsid w:val="14BA55A9"/>
    <w:rsid w:val="15E60C37"/>
    <w:rsid w:val="16001761"/>
    <w:rsid w:val="16E465E6"/>
    <w:rsid w:val="171127B9"/>
    <w:rsid w:val="17B571BE"/>
    <w:rsid w:val="17C62F40"/>
    <w:rsid w:val="187A04AD"/>
    <w:rsid w:val="188602CE"/>
    <w:rsid w:val="191F6B75"/>
    <w:rsid w:val="19DB3E43"/>
    <w:rsid w:val="1A3F168A"/>
    <w:rsid w:val="1ACD4BC9"/>
    <w:rsid w:val="1AD00105"/>
    <w:rsid w:val="1B0C1D1B"/>
    <w:rsid w:val="1C1F5C60"/>
    <w:rsid w:val="1C26202E"/>
    <w:rsid w:val="1CC27937"/>
    <w:rsid w:val="1CFA082A"/>
    <w:rsid w:val="1D75769C"/>
    <w:rsid w:val="1E486D5E"/>
    <w:rsid w:val="2075289F"/>
    <w:rsid w:val="20E515DF"/>
    <w:rsid w:val="20EE4514"/>
    <w:rsid w:val="2107263D"/>
    <w:rsid w:val="222C18FA"/>
    <w:rsid w:val="22A660F0"/>
    <w:rsid w:val="22D016B3"/>
    <w:rsid w:val="23350630"/>
    <w:rsid w:val="23815987"/>
    <w:rsid w:val="239C0C8D"/>
    <w:rsid w:val="2458023C"/>
    <w:rsid w:val="24891F4C"/>
    <w:rsid w:val="24FB777E"/>
    <w:rsid w:val="26BE469D"/>
    <w:rsid w:val="26EC7115"/>
    <w:rsid w:val="26F100FD"/>
    <w:rsid w:val="271C076E"/>
    <w:rsid w:val="27424958"/>
    <w:rsid w:val="28096A1B"/>
    <w:rsid w:val="28341D78"/>
    <w:rsid w:val="284055FE"/>
    <w:rsid w:val="284C442A"/>
    <w:rsid w:val="2867493B"/>
    <w:rsid w:val="288233CE"/>
    <w:rsid w:val="28DC46FC"/>
    <w:rsid w:val="29481F8B"/>
    <w:rsid w:val="299E2259"/>
    <w:rsid w:val="29AE54C4"/>
    <w:rsid w:val="29C65FAD"/>
    <w:rsid w:val="2A20733C"/>
    <w:rsid w:val="2A36166C"/>
    <w:rsid w:val="2A5B6A65"/>
    <w:rsid w:val="2AC85DD5"/>
    <w:rsid w:val="2B983D5E"/>
    <w:rsid w:val="2C1B2534"/>
    <w:rsid w:val="2C5661E7"/>
    <w:rsid w:val="2CC90378"/>
    <w:rsid w:val="2D1E7304"/>
    <w:rsid w:val="2DDA75F8"/>
    <w:rsid w:val="2E561F32"/>
    <w:rsid w:val="2ED14BFE"/>
    <w:rsid w:val="2F167534"/>
    <w:rsid w:val="30D427EB"/>
    <w:rsid w:val="31604062"/>
    <w:rsid w:val="31AC3498"/>
    <w:rsid w:val="31BA36E4"/>
    <w:rsid w:val="33E870FA"/>
    <w:rsid w:val="34163C6F"/>
    <w:rsid w:val="34FC0B26"/>
    <w:rsid w:val="35CC7FE4"/>
    <w:rsid w:val="35E70CC3"/>
    <w:rsid w:val="370B0758"/>
    <w:rsid w:val="37431207"/>
    <w:rsid w:val="38042C00"/>
    <w:rsid w:val="389545C1"/>
    <w:rsid w:val="38D5360F"/>
    <w:rsid w:val="39C13035"/>
    <w:rsid w:val="3B005163"/>
    <w:rsid w:val="3BC5648D"/>
    <w:rsid w:val="3C131F35"/>
    <w:rsid w:val="3C8B707E"/>
    <w:rsid w:val="3CC7041B"/>
    <w:rsid w:val="3D242F7A"/>
    <w:rsid w:val="3E9C40F3"/>
    <w:rsid w:val="40452982"/>
    <w:rsid w:val="40B15178"/>
    <w:rsid w:val="4139196E"/>
    <w:rsid w:val="417A5F93"/>
    <w:rsid w:val="4296377D"/>
    <w:rsid w:val="42F8070A"/>
    <w:rsid w:val="42F8472E"/>
    <w:rsid w:val="430E0353"/>
    <w:rsid w:val="43357F41"/>
    <w:rsid w:val="433C38D6"/>
    <w:rsid w:val="43530137"/>
    <w:rsid w:val="441C68B9"/>
    <w:rsid w:val="446948F1"/>
    <w:rsid w:val="454707DD"/>
    <w:rsid w:val="45637541"/>
    <w:rsid w:val="45B9632A"/>
    <w:rsid w:val="46EA79BC"/>
    <w:rsid w:val="47407E1B"/>
    <w:rsid w:val="479917B8"/>
    <w:rsid w:val="480C084C"/>
    <w:rsid w:val="480F418D"/>
    <w:rsid w:val="484E76CC"/>
    <w:rsid w:val="485C7A85"/>
    <w:rsid w:val="48693B78"/>
    <w:rsid w:val="486F5D2C"/>
    <w:rsid w:val="48B37191"/>
    <w:rsid w:val="4B077B9F"/>
    <w:rsid w:val="4CA87F48"/>
    <w:rsid w:val="4CF97814"/>
    <w:rsid w:val="4D135041"/>
    <w:rsid w:val="4D797ECA"/>
    <w:rsid w:val="4E7271B8"/>
    <w:rsid w:val="4EB31BF9"/>
    <w:rsid w:val="4EC61E40"/>
    <w:rsid w:val="4EF23FDF"/>
    <w:rsid w:val="4F1A1801"/>
    <w:rsid w:val="4F216E80"/>
    <w:rsid w:val="4F6B7653"/>
    <w:rsid w:val="4F816972"/>
    <w:rsid w:val="505020B9"/>
    <w:rsid w:val="514A0E57"/>
    <w:rsid w:val="515B6E68"/>
    <w:rsid w:val="52511EB8"/>
    <w:rsid w:val="52570C55"/>
    <w:rsid w:val="528945A2"/>
    <w:rsid w:val="54581D88"/>
    <w:rsid w:val="56A05C5E"/>
    <w:rsid w:val="56AF3A33"/>
    <w:rsid w:val="574C2E7F"/>
    <w:rsid w:val="57691CAA"/>
    <w:rsid w:val="579B39F0"/>
    <w:rsid w:val="57A37E38"/>
    <w:rsid w:val="587662C1"/>
    <w:rsid w:val="589B4900"/>
    <w:rsid w:val="58E45E5C"/>
    <w:rsid w:val="5966249A"/>
    <w:rsid w:val="5974442B"/>
    <w:rsid w:val="599D54F4"/>
    <w:rsid w:val="5ABE63C0"/>
    <w:rsid w:val="5AFF7B53"/>
    <w:rsid w:val="5B5F3C17"/>
    <w:rsid w:val="5C0F18E6"/>
    <w:rsid w:val="5D942074"/>
    <w:rsid w:val="5DC63008"/>
    <w:rsid w:val="5E365821"/>
    <w:rsid w:val="5E845CBB"/>
    <w:rsid w:val="5F42540D"/>
    <w:rsid w:val="5F9A3865"/>
    <w:rsid w:val="601B5D76"/>
    <w:rsid w:val="605308F0"/>
    <w:rsid w:val="60F01468"/>
    <w:rsid w:val="613B531F"/>
    <w:rsid w:val="61537BFA"/>
    <w:rsid w:val="617B675F"/>
    <w:rsid w:val="61941FCD"/>
    <w:rsid w:val="61A372B8"/>
    <w:rsid w:val="61AE74CA"/>
    <w:rsid w:val="61CC184F"/>
    <w:rsid w:val="61FB7F6E"/>
    <w:rsid w:val="626A293A"/>
    <w:rsid w:val="62D41677"/>
    <w:rsid w:val="62FA3689"/>
    <w:rsid w:val="632C62D6"/>
    <w:rsid w:val="633F1FAA"/>
    <w:rsid w:val="64E928BC"/>
    <w:rsid w:val="654318DC"/>
    <w:rsid w:val="65D44687"/>
    <w:rsid w:val="66801568"/>
    <w:rsid w:val="67550FD9"/>
    <w:rsid w:val="6764121C"/>
    <w:rsid w:val="67697562"/>
    <w:rsid w:val="68B41D2F"/>
    <w:rsid w:val="695B7490"/>
    <w:rsid w:val="69C218FE"/>
    <w:rsid w:val="69C77AA6"/>
    <w:rsid w:val="6A36022A"/>
    <w:rsid w:val="6A510174"/>
    <w:rsid w:val="6B6155A0"/>
    <w:rsid w:val="6BC9376B"/>
    <w:rsid w:val="6BD05FBC"/>
    <w:rsid w:val="6C270DD3"/>
    <w:rsid w:val="6C705350"/>
    <w:rsid w:val="6CB322FE"/>
    <w:rsid w:val="6D872A5A"/>
    <w:rsid w:val="6E1F25FD"/>
    <w:rsid w:val="6E413E28"/>
    <w:rsid w:val="6EA91C0A"/>
    <w:rsid w:val="6F4638FD"/>
    <w:rsid w:val="702831D6"/>
    <w:rsid w:val="703776C9"/>
    <w:rsid w:val="70956FE4"/>
    <w:rsid w:val="709D2305"/>
    <w:rsid w:val="71020CE1"/>
    <w:rsid w:val="71645595"/>
    <w:rsid w:val="733573B6"/>
    <w:rsid w:val="734325A8"/>
    <w:rsid w:val="73F7433F"/>
    <w:rsid w:val="746B21E6"/>
    <w:rsid w:val="756F626F"/>
    <w:rsid w:val="75930F1E"/>
    <w:rsid w:val="775748F9"/>
    <w:rsid w:val="77BF12F7"/>
    <w:rsid w:val="78264085"/>
    <w:rsid w:val="78F91413"/>
    <w:rsid w:val="79060B26"/>
    <w:rsid w:val="79606526"/>
    <w:rsid w:val="796F1DC8"/>
    <w:rsid w:val="798E17BF"/>
    <w:rsid w:val="79D16624"/>
    <w:rsid w:val="79E44119"/>
    <w:rsid w:val="7A5A1A94"/>
    <w:rsid w:val="7AA0221D"/>
    <w:rsid w:val="7B705706"/>
    <w:rsid w:val="7C813A8B"/>
    <w:rsid w:val="7C951BF0"/>
    <w:rsid w:val="7D470D1C"/>
    <w:rsid w:val="7DCC36B1"/>
    <w:rsid w:val="7DDA3010"/>
    <w:rsid w:val="7E0E1F5B"/>
    <w:rsid w:val="7F414D83"/>
    <w:rsid w:val="7F875CA6"/>
    <w:rsid w:val="7FDF55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200" w:firstLineChars="200"/>
    </w:pPr>
    <w:rPr>
      <w:rFonts w:ascii="仿宋_GB2312" w:hAnsi="仿宋_GB2312" w:eastAsia="仿宋_GB2312" w:cs="Times New Roman"/>
      <w:kern w:val="2"/>
      <w:sz w:val="28"/>
      <w:szCs w:val="22"/>
      <w:lang w:val="en-US" w:eastAsia="zh-CN" w:bidi="ar-SA"/>
    </w:rPr>
  </w:style>
  <w:style w:type="paragraph" w:styleId="2">
    <w:name w:val="heading 1"/>
    <w:basedOn w:val="1"/>
    <w:next w:val="1"/>
    <w:link w:val="26"/>
    <w:qFormat/>
    <w:uiPriority w:val="9"/>
    <w:pPr>
      <w:keepNext/>
      <w:keepLines/>
      <w:spacing w:line="440" w:lineRule="exact"/>
      <w:ind w:firstLine="560" w:firstLineChars="200"/>
      <w:outlineLvl w:val="0"/>
    </w:pPr>
    <w:rPr>
      <w:rFonts w:ascii="黑体" w:hAnsi="黑体" w:eastAsia="黑体"/>
      <w:bCs/>
      <w:kern w:val="44"/>
      <w:szCs w:val="44"/>
    </w:rPr>
  </w:style>
  <w:style w:type="paragraph" w:styleId="3">
    <w:name w:val="heading 2"/>
    <w:basedOn w:val="1"/>
    <w:next w:val="1"/>
    <w:link w:val="29"/>
    <w:unhideWhenUsed/>
    <w:qFormat/>
    <w:uiPriority w:val="9"/>
    <w:pPr>
      <w:spacing w:before="0" w:beforeAutospacing="0" w:after="0" w:afterAutospacing="0"/>
      <w:jc w:val="left"/>
      <w:outlineLvl w:val="1"/>
    </w:pPr>
    <w:rPr>
      <w:rFonts w:hint="eastAsia" w:ascii="楷体_GB2312" w:hAnsi="楷体_GB2312" w:eastAsia="楷体_GB2312" w:cs="宋体"/>
      <w:b/>
      <w:bCs/>
      <w:kern w:val="0"/>
      <w:szCs w:val="36"/>
      <w:lang w:bidi="ar"/>
    </w:rPr>
  </w:style>
  <w:style w:type="paragraph" w:styleId="4">
    <w:name w:val="heading 3"/>
    <w:basedOn w:val="1"/>
    <w:next w:val="1"/>
    <w:link w:val="30"/>
    <w:unhideWhenUsed/>
    <w:qFormat/>
    <w:uiPriority w:val="9"/>
    <w:pPr>
      <w:keepNext/>
      <w:keepLines/>
      <w:spacing w:line="440" w:lineRule="exact"/>
      <w:outlineLvl w:val="2"/>
    </w:pPr>
    <w:rPr>
      <w:b/>
      <w:bCs/>
      <w:szCs w:val="32"/>
    </w:rPr>
  </w:style>
  <w:style w:type="paragraph" w:styleId="5">
    <w:name w:val="heading 4"/>
    <w:basedOn w:val="1"/>
    <w:next w:val="1"/>
    <w:link w:val="31"/>
    <w:unhideWhenUsed/>
    <w:qFormat/>
    <w:uiPriority w:val="9"/>
    <w:pPr>
      <w:keepNext/>
      <w:keepLines/>
      <w:spacing w:beforeLines="0" w:beforeAutospacing="0" w:afterLines="0" w:afterAutospacing="0" w:line="440" w:lineRule="exact"/>
      <w:outlineLvl w:val="3"/>
    </w:pPr>
  </w:style>
  <w:style w:type="paragraph" w:styleId="6">
    <w:name w:val="heading 5"/>
    <w:basedOn w:val="1"/>
    <w:next w:val="1"/>
    <w:unhideWhenUsed/>
    <w:qFormat/>
    <w:uiPriority w:val="9"/>
    <w:pPr>
      <w:keepNext/>
      <w:keepLines/>
      <w:spacing w:beforeLines="0" w:beforeAutospacing="0" w:afterLines="0" w:afterAutospacing="0" w:line="440" w:lineRule="exact"/>
      <w:ind w:right="560" w:rightChars="200"/>
      <w:jc w:val="right"/>
      <w:outlineLvl w:val="4"/>
    </w:pPr>
  </w:style>
  <w:style w:type="paragraph" w:styleId="7">
    <w:name w:val="heading 6"/>
    <w:basedOn w:val="1"/>
    <w:next w:val="1"/>
    <w:unhideWhenUsed/>
    <w:qFormat/>
    <w:uiPriority w:val="9"/>
    <w:pPr>
      <w:keepNext/>
      <w:keepLines/>
      <w:spacing w:before="50" w:beforeLines="50" w:beforeAutospacing="0" w:after="50" w:afterLines="50" w:afterAutospacing="0" w:line="440" w:lineRule="exact"/>
      <w:ind w:right="0" w:rightChars="0" w:firstLine="0" w:firstLineChars="0"/>
      <w:jc w:val="center"/>
      <w:outlineLvl w:val="5"/>
    </w:pPr>
    <w:rPr>
      <w:rFonts w:cs="仿宋_GB2312"/>
    </w:rPr>
  </w:style>
  <w:style w:type="paragraph" w:styleId="8">
    <w:name w:val="heading 7"/>
    <w:basedOn w:val="1"/>
    <w:next w:val="1"/>
    <w:unhideWhenUsed/>
    <w:qFormat/>
    <w:uiPriority w:val="9"/>
    <w:pPr>
      <w:keepNext/>
      <w:keepLines/>
      <w:spacing w:before="50" w:beforeLines="50" w:beforeAutospacing="0" w:after="50" w:afterLines="50" w:afterAutospacing="0" w:line="440" w:lineRule="exact"/>
      <w:ind w:firstLine="0" w:firstLineChars="0"/>
      <w:jc w:val="center"/>
      <w:outlineLvl w:val="6"/>
    </w:pPr>
    <w:rPr>
      <w:rFonts w:hAnsi="仿宋_GB2312"/>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9">
    <w:name w:val="Body Text"/>
    <w:basedOn w:val="1"/>
    <w:next w:val="10"/>
    <w:semiHidden/>
    <w:qFormat/>
    <w:uiPriority w:val="0"/>
    <w:rPr>
      <w:rFonts w:ascii="FangSong_GB2312" w:hAnsi="FangSong_GB2312" w:eastAsia="FangSong_GB2312" w:cs="FangSong_GB2312"/>
      <w:sz w:val="31"/>
      <w:szCs w:val="31"/>
      <w:lang w:val="en-US" w:eastAsia="en-US" w:bidi="ar-SA"/>
    </w:rPr>
  </w:style>
  <w:style w:type="paragraph" w:styleId="10">
    <w:name w:val="Title"/>
    <w:basedOn w:val="1"/>
    <w:next w:val="1"/>
    <w:link w:val="28"/>
    <w:qFormat/>
    <w:uiPriority w:val="10"/>
    <w:pPr>
      <w:spacing w:line="440" w:lineRule="exact"/>
      <w:ind w:firstLine="0" w:firstLineChars="0"/>
      <w:jc w:val="center"/>
      <w:outlineLvl w:val="0"/>
    </w:pPr>
    <w:rPr>
      <w:rFonts w:ascii="华文中宋" w:hAnsi="华文中宋" w:eastAsia="华文中宋" w:cs="Times New Roman"/>
      <w:b/>
      <w:bCs/>
      <w:sz w:val="32"/>
      <w:szCs w:val="32"/>
    </w:rPr>
  </w:style>
  <w:style w:type="paragraph" w:styleId="11">
    <w:name w:val="footer"/>
    <w:basedOn w:val="1"/>
    <w:link w:val="32"/>
    <w:unhideWhenUsed/>
    <w:qFormat/>
    <w:uiPriority w:val="99"/>
    <w:pPr>
      <w:tabs>
        <w:tab w:val="center" w:pos="4153"/>
        <w:tab w:val="right" w:pos="8306"/>
      </w:tabs>
      <w:snapToGrid w:val="0"/>
    </w:pPr>
    <w:rPr>
      <w:sz w:val="18"/>
      <w:szCs w:val="18"/>
    </w:rPr>
  </w:style>
  <w:style w:type="paragraph" w:styleId="12">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34"/>
    <w:qFormat/>
    <w:uiPriority w:val="11"/>
    <w:pPr>
      <w:outlineLvl w:val="1"/>
    </w:pPr>
    <w:rPr>
      <w:b/>
      <w:bCs/>
      <w:kern w:val="28"/>
      <w:szCs w:val="32"/>
    </w:rPr>
  </w:style>
  <w:style w:type="paragraph" w:styleId="14">
    <w:name w:val="footnote text"/>
    <w:basedOn w:val="1"/>
    <w:qFormat/>
    <w:uiPriority w:val="0"/>
    <w:pPr>
      <w:snapToGrid w:val="0"/>
      <w:jc w:val="left"/>
    </w:pPr>
    <w:rPr>
      <w:sz w:val="18"/>
      <w:szCs w:val="20"/>
    </w:rPr>
  </w:style>
  <w:style w:type="paragraph" w:styleId="15">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table" w:styleId="17">
    <w:name w:val="Table Grid"/>
    <w:basedOn w:val="16"/>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22"/>
    <w:rPr>
      <w:rFonts w:eastAsia="仿宋_GB2312"/>
      <w:b/>
      <w:bCs/>
      <w:color w:val="7030A0"/>
      <w:spacing w:val="-8"/>
      <w:w w:val="96"/>
      <w:sz w:val="28"/>
    </w:rPr>
  </w:style>
  <w:style w:type="character" w:styleId="20">
    <w:name w:val="FollowedHyperlink"/>
    <w:basedOn w:val="18"/>
    <w:unhideWhenUsed/>
    <w:qFormat/>
    <w:uiPriority w:val="99"/>
    <w:rPr>
      <w:color w:val="404040"/>
      <w:u w:val="none"/>
    </w:rPr>
  </w:style>
  <w:style w:type="character" w:styleId="21">
    <w:name w:val="Emphasis"/>
    <w:basedOn w:val="18"/>
    <w:qFormat/>
    <w:uiPriority w:val="20"/>
    <w:rPr>
      <w:rFonts w:eastAsia="华文楷体"/>
      <w:iCs/>
      <w:sz w:val="28"/>
    </w:rPr>
  </w:style>
  <w:style w:type="character" w:styleId="22">
    <w:name w:val="line number"/>
    <w:basedOn w:val="18"/>
    <w:unhideWhenUsed/>
    <w:qFormat/>
    <w:uiPriority w:val="99"/>
  </w:style>
  <w:style w:type="character" w:styleId="23">
    <w:name w:val="HTML Variable"/>
    <w:basedOn w:val="18"/>
    <w:unhideWhenUsed/>
    <w:qFormat/>
    <w:uiPriority w:val="99"/>
  </w:style>
  <w:style w:type="character" w:styleId="24">
    <w:name w:val="Hyperlink"/>
    <w:basedOn w:val="18"/>
    <w:unhideWhenUsed/>
    <w:qFormat/>
    <w:uiPriority w:val="99"/>
    <w:rPr>
      <w:color w:val="404040"/>
      <w:u w:val="none"/>
    </w:rPr>
  </w:style>
  <w:style w:type="character" w:styleId="25">
    <w:name w:val="footnote reference"/>
    <w:qFormat/>
    <w:uiPriority w:val="0"/>
    <w:rPr>
      <w:rFonts w:hint="default" w:ascii="Verdana" w:hAnsi="Verdana" w:eastAsia="宋体" w:cs="Verdana"/>
      <w:kern w:val="0"/>
      <w:sz w:val="20"/>
      <w:szCs w:val="20"/>
      <w:vertAlign w:val="superscript"/>
      <w:lang w:eastAsia="en-US"/>
    </w:rPr>
  </w:style>
  <w:style w:type="character" w:customStyle="1" w:styleId="26">
    <w:name w:val="标题 1 字符"/>
    <w:basedOn w:val="18"/>
    <w:link w:val="2"/>
    <w:qFormat/>
    <w:uiPriority w:val="9"/>
    <w:rPr>
      <w:rFonts w:ascii="黑体" w:hAnsi="黑体" w:eastAsia="黑体"/>
      <w:bCs/>
      <w:kern w:val="44"/>
      <w:sz w:val="28"/>
      <w:szCs w:val="44"/>
    </w:rPr>
  </w:style>
  <w:style w:type="character" w:customStyle="1" w:styleId="27">
    <w:name w:val="标题 3 Char1"/>
    <w:link w:val="4"/>
    <w:qFormat/>
    <w:uiPriority w:val="9"/>
    <w:rPr>
      <w:rFonts w:ascii="仿宋_GB2312" w:hAnsi="仿宋_GB2312" w:eastAsia="仿宋_GB2312"/>
      <w:b/>
    </w:rPr>
  </w:style>
  <w:style w:type="character" w:customStyle="1" w:styleId="28">
    <w:name w:val="标题 字符"/>
    <w:basedOn w:val="18"/>
    <w:link w:val="10"/>
    <w:qFormat/>
    <w:uiPriority w:val="10"/>
    <w:rPr>
      <w:rFonts w:ascii="华文中宋" w:hAnsi="华文中宋" w:eastAsia="华文中宋" w:cs="Times New Roman"/>
      <w:b/>
      <w:bCs/>
      <w:sz w:val="32"/>
      <w:szCs w:val="32"/>
    </w:rPr>
  </w:style>
  <w:style w:type="character" w:customStyle="1" w:styleId="29">
    <w:name w:val="标题 2 字符"/>
    <w:basedOn w:val="18"/>
    <w:link w:val="3"/>
    <w:qFormat/>
    <w:uiPriority w:val="9"/>
    <w:rPr>
      <w:rFonts w:ascii="楷体_GB2312" w:hAnsi="楷体_GB2312" w:eastAsia="楷体_GB2312" w:cs="Times New Roman"/>
      <w:b/>
      <w:bCs/>
      <w:sz w:val="28"/>
      <w:szCs w:val="32"/>
    </w:rPr>
  </w:style>
  <w:style w:type="character" w:customStyle="1" w:styleId="30">
    <w:name w:val="标题 3 字符"/>
    <w:basedOn w:val="18"/>
    <w:link w:val="4"/>
    <w:semiHidden/>
    <w:qFormat/>
    <w:uiPriority w:val="9"/>
    <w:rPr>
      <w:rFonts w:ascii="仿宋_GB2312" w:hAnsi="仿宋_GB2312" w:eastAsia="仿宋_GB2312"/>
      <w:b/>
      <w:bCs/>
      <w:kern w:val="2"/>
      <w:sz w:val="28"/>
      <w:szCs w:val="32"/>
    </w:rPr>
  </w:style>
  <w:style w:type="character" w:customStyle="1" w:styleId="31">
    <w:name w:val="标题 4 Char1"/>
    <w:link w:val="5"/>
    <w:qFormat/>
    <w:uiPriority w:val="9"/>
    <w:rPr>
      <w:rFonts w:ascii="仿宋_GB2312" w:hAnsi="仿宋_GB2312" w:eastAsia="仿宋_GB2312"/>
    </w:rPr>
  </w:style>
  <w:style w:type="character" w:customStyle="1" w:styleId="32">
    <w:name w:val="页脚 字符"/>
    <w:basedOn w:val="18"/>
    <w:link w:val="11"/>
    <w:qFormat/>
    <w:uiPriority w:val="99"/>
    <w:rPr>
      <w:sz w:val="18"/>
      <w:szCs w:val="18"/>
    </w:rPr>
  </w:style>
  <w:style w:type="character" w:customStyle="1" w:styleId="33">
    <w:name w:val="页眉 字符"/>
    <w:basedOn w:val="18"/>
    <w:link w:val="12"/>
    <w:qFormat/>
    <w:uiPriority w:val="99"/>
    <w:rPr>
      <w:sz w:val="18"/>
      <w:szCs w:val="18"/>
    </w:rPr>
  </w:style>
  <w:style w:type="character" w:customStyle="1" w:styleId="34">
    <w:name w:val="副标题 字符"/>
    <w:basedOn w:val="18"/>
    <w:link w:val="13"/>
    <w:qFormat/>
    <w:uiPriority w:val="11"/>
    <w:rPr>
      <w:rFonts w:ascii="仿宋_GB2312" w:eastAsia="仿宋_GB2312"/>
      <w:b/>
      <w:bCs/>
      <w:kern w:val="28"/>
      <w:sz w:val="28"/>
      <w:szCs w:val="32"/>
    </w:rPr>
  </w:style>
  <w:style w:type="paragraph" w:styleId="35">
    <w:name w:val="Quote"/>
    <w:basedOn w:val="1"/>
    <w:next w:val="1"/>
    <w:link w:val="36"/>
    <w:qFormat/>
    <w:uiPriority w:val="29"/>
    <w:pPr>
      <w:ind w:firstLine="486"/>
    </w:pPr>
    <w:rPr>
      <w:rFonts w:eastAsia="华文楷体"/>
      <w:iCs/>
      <w:spacing w:val="-16"/>
      <w:w w:val="98"/>
    </w:rPr>
  </w:style>
  <w:style w:type="character" w:customStyle="1" w:styleId="36">
    <w:name w:val="引用 字符"/>
    <w:basedOn w:val="18"/>
    <w:link w:val="35"/>
    <w:qFormat/>
    <w:uiPriority w:val="29"/>
    <w:rPr>
      <w:rFonts w:ascii="仿宋_GB2312" w:eastAsia="华文楷体"/>
      <w:iCs/>
      <w:spacing w:val="-16"/>
      <w:w w:val="98"/>
      <w:sz w:val="28"/>
    </w:rPr>
  </w:style>
  <w:style w:type="paragraph" w:styleId="37">
    <w:name w:val="No Spacing"/>
    <w:qFormat/>
    <w:uiPriority w:val="1"/>
    <w:pPr>
      <w:widowControl w:val="0"/>
      <w:spacing w:before="5" w:beforeLines="5" w:after="5" w:afterLines="5" w:line="400" w:lineRule="exact"/>
      <w:ind w:firstLine="200" w:firstLineChars="200"/>
    </w:pPr>
    <w:rPr>
      <w:rFonts w:ascii="仿宋_GB2312" w:hAnsi="等线" w:eastAsia="仿宋_GB2312" w:cs="Times New Roman"/>
      <w:kern w:val="2"/>
      <w:sz w:val="28"/>
      <w:szCs w:val="22"/>
      <w:lang w:val="en-US" w:eastAsia="zh-CN" w:bidi="ar-SA"/>
    </w:rPr>
  </w:style>
  <w:style w:type="character" w:customStyle="1" w:styleId="38">
    <w:name w:val="不明显强调1"/>
    <w:basedOn w:val="18"/>
    <w:qFormat/>
    <w:uiPriority w:val="19"/>
    <w:rPr>
      <w:i/>
      <w:iCs/>
      <w:color w:val="3F3F3F"/>
    </w:rPr>
  </w:style>
  <w:style w:type="table" w:customStyle="1" w:styleId="39">
    <w:name w:val="Table Normal"/>
    <w:unhideWhenUsed/>
    <w:qFormat/>
    <w:uiPriority w:val="0"/>
    <w:tblPr>
      <w:tblCellMar>
        <w:top w:w="0" w:type="dxa"/>
        <w:left w:w="0" w:type="dxa"/>
        <w:bottom w:w="0" w:type="dxa"/>
        <w:right w:w="0" w:type="dxa"/>
      </w:tblCellMar>
    </w:tblPr>
  </w:style>
  <w:style w:type="paragraph" w:customStyle="1" w:styleId="40">
    <w:name w:val="title_m"/>
    <w:basedOn w:val="1"/>
    <w:qFormat/>
    <w:uiPriority w:val="0"/>
    <w:pPr>
      <w:jc w:val="center"/>
    </w:pPr>
    <w:rPr>
      <w:rFonts w:ascii="宋体" w:hAnsi="宋体" w:eastAsia="宋体" w:cs="宋体"/>
      <w:b/>
      <w:bCs/>
      <w:sz w:val="32"/>
      <w:szCs w:val="32"/>
    </w:rPr>
  </w:style>
  <w:style w:type="paragraph" w:customStyle="1" w:styleId="41">
    <w:name w:val="fulltext_text"/>
    <w:basedOn w:val="1"/>
    <w:qFormat/>
    <w:uiPriority w:val="0"/>
    <w:pPr>
      <w:spacing w:line="525" w:lineRule="atLeast"/>
    </w:pPr>
    <w:rPr>
      <w:rFonts w:ascii="宋体" w:hAnsi="宋体" w:eastAsia="宋体" w:cs="宋体"/>
      <w:sz w:val="24"/>
      <w:szCs w:val="24"/>
    </w:rPr>
  </w:style>
  <w:style w:type="character" w:customStyle="1" w:styleId="42">
    <w:name w:val="c_tiao"/>
    <w:basedOn w:val="18"/>
    <w:qFormat/>
    <w:uiPriority w:val="0"/>
    <w:rPr>
      <w:rFonts w:ascii="宋体" w:hAnsi="宋体" w:eastAsia="宋体" w:cs="宋体"/>
      <w:b/>
      <w:bCs/>
      <w:sz w:val="24"/>
      <w:szCs w:val="24"/>
    </w:rPr>
  </w:style>
  <w:style w:type="paragraph" w:customStyle="1" w:styleId="43">
    <w:name w:val="Body text|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4">
    <w:name w:val="Heading #1|1"/>
    <w:basedOn w:val="1"/>
    <w:qFormat/>
    <w:uiPriority w:val="0"/>
    <w:pPr>
      <w:widowControl w:val="0"/>
      <w:shd w:val="clear" w:color="auto" w:fill="auto"/>
      <w:spacing w:after="390" w:line="600" w:lineRule="exact"/>
      <w:jc w:val="center"/>
      <w:outlineLvl w:val="0"/>
    </w:pPr>
    <w:rPr>
      <w:rFonts w:ascii="宋体" w:hAnsi="宋体" w:eastAsia="宋体" w:cs="宋体"/>
      <w:sz w:val="40"/>
      <w:szCs w:val="40"/>
      <w:u w:val="none"/>
      <w:shd w:val="clear" w:color="auto" w:fill="auto"/>
      <w:lang w:val="zh-TW" w:eastAsia="zh-TW" w:bidi="zh-TW"/>
    </w:rPr>
  </w:style>
  <w:style w:type="paragraph" w:customStyle="1" w:styleId="45">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46">
    <w:name w:val="Other|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7">
    <w:name w:val="Body text|2"/>
    <w:basedOn w:val="1"/>
    <w:qFormat/>
    <w:uiPriority w:val="0"/>
    <w:pPr>
      <w:widowControl w:val="0"/>
      <w:shd w:val="clear" w:color="auto" w:fill="auto"/>
      <w:spacing w:after="320"/>
      <w:ind w:firstLine="480"/>
    </w:pPr>
    <w:rPr>
      <w:rFonts w:ascii="宋体" w:hAnsi="宋体" w:eastAsia="宋体" w:cs="宋体"/>
      <w:u w:val="none"/>
      <w:shd w:val="clear" w:color="auto" w:fill="auto"/>
      <w:lang w:val="zh-TW" w:eastAsia="zh-TW" w:bidi="zh-TW"/>
    </w:rPr>
  </w:style>
  <w:style w:type="paragraph" w:customStyle="1" w:styleId="48">
    <w:name w:val="Header or footer|1"/>
    <w:basedOn w:val="1"/>
    <w:qFormat/>
    <w:uiPriority w:val="0"/>
    <w:pPr>
      <w:widowControl w:val="0"/>
      <w:shd w:val="clear" w:color="auto" w:fill="auto"/>
      <w:jc w:val="center"/>
    </w:pPr>
    <w:rPr>
      <w:rFonts w:ascii="宋体" w:hAnsi="宋体" w:eastAsia="宋体" w:cs="宋体"/>
      <w:sz w:val="28"/>
      <w:szCs w:val="28"/>
      <w:u w:val="none"/>
      <w:shd w:val="clear" w:color="auto" w:fill="auto"/>
      <w:lang w:val="zh-TW" w:eastAsia="zh-TW" w:bidi="zh-TW"/>
    </w:rPr>
  </w:style>
  <w:style w:type="paragraph" w:customStyle="1" w:styleId="49">
    <w:name w:val="Footnote|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50">
    <w:name w:val="Table caption|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51">
    <w:name w:val="Body text|3"/>
    <w:basedOn w:val="1"/>
    <w:qFormat/>
    <w:uiPriority w:val="0"/>
    <w:pPr>
      <w:widowControl w:val="0"/>
      <w:shd w:val="clear" w:color="auto" w:fill="auto"/>
      <w:spacing w:line="363" w:lineRule="exact"/>
      <w:ind w:firstLine="140"/>
    </w:pPr>
    <w:rPr>
      <w:u w:val="none"/>
      <w:shd w:val="clear" w:color="auto" w:fill="auto"/>
    </w:rPr>
  </w:style>
  <w:style w:type="paragraph" w:customStyle="1" w:styleId="52">
    <w:name w:val="Table Text"/>
    <w:basedOn w:val="1"/>
    <w:semiHidden/>
    <w:qFormat/>
    <w:uiPriority w:val="0"/>
    <w:rPr>
      <w:rFonts w:ascii="宋体" w:hAnsi="宋体" w:eastAsia="宋体" w:cs="宋体"/>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0</Words>
  <Characters>0</Characters>
  <Lines>1</Lines>
  <Paragraphs>1</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2021-09-09T02:22:00Z</dcterms:created>
  <dc:creator>岩</dc:creator>
  <cp:lastModifiedBy>惠企易点通</cp:lastModifiedBy>
  <dcterms:modified xsi:type="dcterms:W3CDTF">2026-03-31T10:25:58Z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A32AAFB78EFB460398537B91132422C1_13</vt:lpwstr>
  </property>
  <property fmtid="{D5CDD505-2E9C-101B-9397-08002B2CF9AE}" pid="4" name="KSOTemplateDocerSaveRecord">
    <vt:lpwstr>eyJoZGlkIjoiMjIxMjI5YjhlNTAxYzUyOTYyYWZlMGFjYmE4ZTczY2EiLCJ1c2VySWQiOiIxNDU2NzYxMDUwIn0=</vt:lpwstr>
  </property>
</Properties>
</file>