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A5F04">
      <w:pPr>
        <w:pStyle w:val="10"/>
        <w:bidi w:val="0"/>
        <w:rPr>
          <w:rFonts w:hint="default"/>
          <w:lang w:val="en-US" w:eastAsia="zh-CN"/>
        </w:rPr>
      </w:pPr>
      <w:bookmarkStart w:id="0" w:name="_GoBack"/>
      <w:r>
        <w:rPr>
          <w:rFonts w:hint="default"/>
          <w:lang w:val="en-US" w:eastAsia="zh-CN"/>
        </w:rPr>
        <w:t>《关于申报2026年促进电子商务高质量发展支持政策的通知》政策解读</w:t>
      </w:r>
    </w:p>
    <w:bookmarkEnd w:id="0"/>
    <w:p w14:paraId="053A2529">
      <w:pPr>
        <w:pStyle w:val="8"/>
        <w:bidi w:val="0"/>
        <w:rPr>
          <w:rFonts w:hint="default"/>
          <w:lang w:val="en-US" w:eastAsia="zh-CN"/>
        </w:rPr>
      </w:pPr>
      <w:r>
        <w:rPr>
          <w:rFonts w:hint="default"/>
          <w:lang w:val="en-US" w:eastAsia="zh-CN"/>
        </w:rPr>
        <w:t>发布时间：2026-03-30</w:t>
      </w:r>
      <w:r>
        <w:rPr>
          <w:rFonts w:hint="eastAsia"/>
          <w:lang w:val="en-US" w:eastAsia="zh-CN"/>
        </w:rPr>
        <w:t xml:space="preserve">                               </w:t>
      </w:r>
      <w:r>
        <w:rPr>
          <w:rFonts w:hint="default"/>
          <w:lang w:val="en-US" w:eastAsia="zh-CN"/>
        </w:rPr>
        <w:t>信息提供：北京市商务局</w:t>
      </w:r>
    </w:p>
    <w:p w14:paraId="7578F77F">
      <w:pPr>
        <w:ind w:firstLine="560" w:firstLineChars="200"/>
        <w:rPr>
          <w:rFonts w:hint="default"/>
          <w:lang w:val="en-US" w:eastAsia="zh-CN"/>
        </w:rPr>
      </w:pPr>
      <w:r>
        <w:rPr>
          <w:rFonts w:hint="default"/>
          <w:lang w:val="en-US" w:eastAsia="zh-CN"/>
        </w:rPr>
        <w:t>为推进电商平台、品牌商家、服务机构联动，进一步促进本市电子商务高质量发展。市商务局制定出台了《关于申报2026年促进电子商务高质量发展支持政策的通知》（以下简称《通知》），对符合条件的企业给予支持。</w:t>
      </w:r>
    </w:p>
    <w:p w14:paraId="187E3D8D">
      <w:pPr>
        <w:pStyle w:val="2"/>
        <w:bidi w:val="0"/>
        <w:rPr>
          <w:rFonts w:hint="default"/>
          <w:lang w:val="en-US" w:eastAsia="zh-CN"/>
        </w:rPr>
      </w:pPr>
      <w:r>
        <w:rPr>
          <w:rFonts w:hint="default"/>
          <w:lang w:val="en-US" w:eastAsia="zh-CN"/>
        </w:rPr>
        <w:t>一、出台背景</w:t>
      </w:r>
    </w:p>
    <w:p w14:paraId="6CCF2687">
      <w:pPr>
        <w:ind w:firstLine="560" w:firstLineChars="200"/>
        <w:rPr>
          <w:rFonts w:hint="default"/>
          <w:lang w:val="en-US" w:eastAsia="zh-CN"/>
        </w:rPr>
      </w:pPr>
      <w:r>
        <w:rPr>
          <w:rFonts w:hint="default"/>
          <w:lang w:val="en-US" w:eastAsia="zh-CN"/>
        </w:rPr>
        <w:t>贯彻落实《扩大内需战略规划纲要（2022-2035年）》《北京市2026年推动经济稳中有进的若干措施》《2026年市政府工作报告重点任务清单》等文件精神，鼓励平台企业、电商服务企业积极发挥赋能带动作用，支持企业进一步拓展网络销售渠道、加快数字化转型，制定出台本《通知》。</w:t>
      </w:r>
    </w:p>
    <w:p w14:paraId="73B5F470">
      <w:pPr>
        <w:pStyle w:val="2"/>
        <w:bidi w:val="0"/>
        <w:rPr>
          <w:rFonts w:hint="default"/>
          <w:lang w:val="en-US" w:eastAsia="zh-CN"/>
        </w:rPr>
      </w:pPr>
      <w:r>
        <w:rPr>
          <w:rFonts w:hint="default"/>
          <w:lang w:val="en-US" w:eastAsia="zh-CN"/>
        </w:rPr>
        <w:t>二、支持范围</w:t>
      </w:r>
    </w:p>
    <w:p w14:paraId="2BF982BD">
      <w:pPr>
        <w:ind w:firstLine="560" w:firstLineChars="200"/>
        <w:rPr>
          <w:rFonts w:hint="default"/>
          <w:lang w:val="en-US" w:eastAsia="zh-CN"/>
        </w:rPr>
      </w:pPr>
      <w:r>
        <w:rPr>
          <w:rFonts w:hint="default"/>
          <w:lang w:val="en-US" w:eastAsia="zh-CN"/>
        </w:rPr>
        <w:t>一是通过公共网络为消费者提供实物商品或餐饮第三方交易服务的互联网平台企业；二是通过公共网络平台面向消费者开展实物商品或餐饮自营销售业务的企业；三是提供直播带货、电商代运营等服务的电商服务企业。</w:t>
      </w:r>
    </w:p>
    <w:p w14:paraId="216FCC1B">
      <w:pPr>
        <w:pStyle w:val="2"/>
        <w:bidi w:val="0"/>
        <w:rPr>
          <w:rFonts w:hint="default"/>
          <w:lang w:val="en-US" w:eastAsia="zh-CN"/>
        </w:rPr>
      </w:pPr>
      <w:r>
        <w:rPr>
          <w:rFonts w:hint="default"/>
          <w:lang w:val="en-US" w:eastAsia="zh-CN"/>
        </w:rPr>
        <w:t>三、内容说明</w:t>
      </w:r>
    </w:p>
    <w:p w14:paraId="266D5CFA">
      <w:pPr>
        <w:ind w:firstLine="560" w:firstLineChars="200"/>
        <w:rPr>
          <w:rFonts w:hint="default"/>
          <w:lang w:val="en-US" w:eastAsia="zh-CN"/>
        </w:rPr>
      </w:pPr>
      <w:r>
        <w:rPr>
          <w:rFonts w:hint="default"/>
          <w:lang w:val="en-US" w:eastAsia="zh-CN"/>
        </w:rPr>
        <w:t>一是《通知》中的“成交额”，均指与商品性消费有关的实物商品或餐饮的网上自营销售金额。不包括门票、影票、代金券、礼品卡等非实物商品销售金额。</w:t>
      </w:r>
    </w:p>
    <w:p w14:paraId="2876102F">
      <w:pPr>
        <w:ind w:firstLine="560" w:firstLineChars="200"/>
        <w:rPr>
          <w:rFonts w:hint="default"/>
          <w:lang w:val="en-US" w:eastAsia="zh-CN"/>
        </w:rPr>
      </w:pPr>
      <w:r>
        <w:rPr>
          <w:rFonts w:hint="default"/>
          <w:lang w:val="en-US" w:eastAsia="zh-CN"/>
        </w:rPr>
        <w:t>二是根据《通知》支持内容及标准第（一）、（二）项申报的单位，培育或服务的企业应为在京合法经营且通过公共网络平台面向消费者开展实物商品或餐饮自营销售业务的企业。若培育或服务的多个企业属于同一总公司的不同分公司，应纳入其总公司统计。</w:t>
      </w:r>
    </w:p>
    <w:p w14:paraId="61FEB181">
      <w:pPr>
        <w:ind w:firstLine="560" w:firstLineChars="200"/>
        <w:rPr>
          <w:rFonts w:hint="default"/>
          <w:lang w:val="en-US" w:eastAsia="zh-CN"/>
        </w:rPr>
      </w:pPr>
      <w:r>
        <w:rPr>
          <w:rFonts w:hint="default"/>
          <w:lang w:val="en-US" w:eastAsia="zh-CN"/>
        </w:rPr>
        <w:t>三是根据《通知》支持内容及标准第（三）项第1条进行申报的企业，应满足2026年1月1日（含）以后新入驻第三方电商平台、搭建商城网站、建设APP或小程序。根据《通知》支持内容及标准第（三）项第2条进行申报的企业，申报内容应为用于开发经营管理软件服务系统所需的软硬件设备购置及升级改造等投资，不包含在门店、子公司等布置应用软件服务系统的投资。</w:t>
      </w:r>
    </w:p>
    <w:p w14:paraId="3EFB7436">
      <w:pPr>
        <w:pStyle w:val="2"/>
        <w:bidi w:val="0"/>
        <w:rPr>
          <w:rFonts w:hint="default"/>
          <w:lang w:val="en-US" w:eastAsia="zh-CN"/>
        </w:rPr>
      </w:pPr>
      <w:r>
        <w:rPr>
          <w:rFonts w:hint="default"/>
          <w:lang w:val="en-US" w:eastAsia="zh-CN"/>
        </w:rPr>
        <w:t>四、执行时间</w:t>
      </w:r>
    </w:p>
    <w:p w14:paraId="15411309">
      <w:pPr>
        <w:ind w:firstLine="560" w:firstLineChars="200"/>
        <w:rPr>
          <w:rFonts w:hint="default"/>
          <w:lang w:val="en-US" w:eastAsia="zh-CN"/>
        </w:rPr>
      </w:pPr>
      <w:r>
        <w:rPr>
          <w:rFonts w:hint="default"/>
          <w:lang w:val="en-US" w:eastAsia="zh-CN"/>
        </w:rPr>
        <w:t>申报《通知》支持内容及标准第（一）、（二）项，2026年内符合的企业于2026年11月27日前完成项目申报，属地商务局、北京经济技术开发区商务金融局于2026年12月11日前完成初审报市商务局；2026年年度符合的企业于2027年3月1日前完成项目申报，属地商务局、北京经济技术开发区商务金融局于2027年3月12日前完成初审报市商务局。</w:t>
      </w:r>
    </w:p>
    <w:p w14:paraId="4AAB87EC">
      <w:pPr>
        <w:ind w:firstLine="560" w:firstLineChars="200"/>
        <w:rPr>
          <w:rFonts w:hint="default"/>
          <w:lang w:val="en-US" w:eastAsia="zh-CN"/>
        </w:rPr>
      </w:pPr>
      <w:r>
        <w:rPr>
          <w:rFonts w:hint="default"/>
          <w:lang w:val="en-US" w:eastAsia="zh-CN"/>
        </w:rPr>
        <w:t>申报《通知》支持内容及标准第（三）项，符合的企业于政策出台之日起、截至2026年11月27日前完成项目申报；属地商务局、北京经济技术开发区商务金融局在申报企业提交材料10个工作日内完成初审报市商务局，最晚一批于2026年12月11日前报送。</w:t>
      </w:r>
    </w:p>
    <w:p w14:paraId="303E25CF">
      <w:pPr>
        <w:ind w:firstLine="560" w:firstLineChars="200"/>
        <w:rPr>
          <w:rFonts w:hint="default"/>
          <w:lang w:val="en-US" w:eastAsia="zh-CN"/>
        </w:rPr>
      </w:pPr>
      <w:r>
        <w:rPr>
          <w:rFonts w:hint="default"/>
          <w:lang w:val="en-US" w:eastAsia="zh-CN"/>
        </w:rPr>
        <w:t>市区两级业务办理电话及详细通讯地址详见政策原文附件。</w:t>
      </w:r>
    </w:p>
    <w:p w14:paraId="4FCEE2A0">
      <w:pPr>
        <w:ind w:firstLine="560" w:firstLineChars="200"/>
        <w:rPr>
          <w:rFonts w:hint="default"/>
          <w:lang w:val="en-US" w:eastAsia="zh-CN"/>
        </w:rPr>
      </w:pPr>
      <w:r>
        <w:rPr>
          <w:rFonts w:hint="default"/>
          <w:lang w:val="en-US" w:eastAsia="zh-CN"/>
        </w:rPr>
        <w:t>市级商务部门咨询电话：010-55579652</w:t>
      </w:r>
    </w:p>
    <w:p w14:paraId="2FDC69FC">
      <w:pPr>
        <w:ind w:firstLine="560" w:firstLineChars="200"/>
        <w:rPr>
          <w:rFonts w:hint="default"/>
          <w:lang w:val="en-US" w:eastAsia="zh-CN"/>
        </w:rPr>
      </w:pPr>
      <w:r>
        <w:rPr>
          <w:rFonts w:hint="default"/>
          <w:lang w:val="en-US" w:eastAsia="zh-CN"/>
        </w:rPr>
        <w:t>https://sw.beijing.gov.cn/zwxx/2024zcjd/202603/t20260330_4569456.html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B4AB0A6B">
    <w:panose1 w:val="020B0704020202020204"/>
    <w:charset w:val="00"/>
    <w:family w:val="auto"/>
    <w:pitch w:val="default"/>
    <w:sig w:usb0="00000001" w:usb1="00000000" w:usb2="00000000" w:usb3="00000000" w:csb0="00000001" w:csb1="00000000"/>
  </w:font>
  <w:font w:name="KSOF7FC4CF2A">
    <w:panose1 w:val="020B0604020202020204"/>
    <w:charset w:val="00"/>
    <w:family w:val="auto"/>
    <w:pitch w:val="default"/>
    <w:sig w:usb0="00000001"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5F3F3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22C71D3"/>
    <w:rsid w:val="12B6109D"/>
    <w:rsid w:val="135C6A68"/>
    <w:rsid w:val="14AC3169"/>
    <w:rsid w:val="14BA55A9"/>
    <w:rsid w:val="15E60C37"/>
    <w:rsid w:val="16001761"/>
    <w:rsid w:val="16E465E6"/>
    <w:rsid w:val="171127B9"/>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815987"/>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042C00"/>
    <w:rsid w:val="389545C1"/>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4707DD"/>
    <w:rsid w:val="45637541"/>
    <w:rsid w:val="45B9632A"/>
    <w:rsid w:val="46EA79BC"/>
    <w:rsid w:val="47407E1B"/>
    <w:rsid w:val="479917B8"/>
    <w:rsid w:val="480C084C"/>
    <w:rsid w:val="480F418D"/>
    <w:rsid w:val="484E76CC"/>
    <w:rsid w:val="485C7A85"/>
    <w:rsid w:val="48693B78"/>
    <w:rsid w:val="486F5D2C"/>
    <w:rsid w:val="48B37191"/>
    <w:rsid w:val="4B077B9F"/>
    <w:rsid w:val="4CA87F48"/>
    <w:rsid w:val="4CF97814"/>
    <w:rsid w:val="4D135041"/>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9B4900"/>
    <w:rsid w:val="58E45E5C"/>
    <w:rsid w:val="5966249A"/>
    <w:rsid w:val="5974442B"/>
    <w:rsid w:val="599D54F4"/>
    <w:rsid w:val="5ABE63C0"/>
    <w:rsid w:val="5AFF7B53"/>
    <w:rsid w:val="5B5F3C17"/>
    <w:rsid w:val="5C0F18E6"/>
    <w:rsid w:val="5D942074"/>
    <w:rsid w:val="5DAA276B"/>
    <w:rsid w:val="5DC63008"/>
    <w:rsid w:val="5E365821"/>
    <w:rsid w:val="5E845CBB"/>
    <w:rsid w:val="5F42540D"/>
    <w:rsid w:val="5F9A3865"/>
    <w:rsid w:val="601B5D76"/>
    <w:rsid w:val="605308F0"/>
    <w:rsid w:val="60F01468"/>
    <w:rsid w:val="613B531F"/>
    <w:rsid w:val="61537BFA"/>
    <w:rsid w:val="617B675F"/>
    <w:rsid w:val="61941FCD"/>
    <w:rsid w:val="61A372B8"/>
    <w:rsid w:val="61AE74CA"/>
    <w:rsid w:val="61CC184F"/>
    <w:rsid w:val="61FB7F6E"/>
    <w:rsid w:val="626A293A"/>
    <w:rsid w:val="62D41677"/>
    <w:rsid w:val="62FA3689"/>
    <w:rsid w:val="632C62D6"/>
    <w:rsid w:val="633F1FAA"/>
    <w:rsid w:val="64E928BC"/>
    <w:rsid w:val="654318DC"/>
    <w:rsid w:val="65D44687"/>
    <w:rsid w:val="66801568"/>
    <w:rsid w:val="67550FD9"/>
    <w:rsid w:val="6764121C"/>
    <w:rsid w:val="67697562"/>
    <w:rsid w:val="68B41D2F"/>
    <w:rsid w:val="695B7490"/>
    <w:rsid w:val="69C218FE"/>
    <w:rsid w:val="69C77AA6"/>
    <w:rsid w:val="6A36022A"/>
    <w:rsid w:val="6A510174"/>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3573B6"/>
    <w:rsid w:val="734325A8"/>
    <w:rsid w:val="73F7433F"/>
    <w:rsid w:val="746B21E6"/>
    <w:rsid w:val="756F626F"/>
    <w:rsid w:val="75930F1E"/>
    <w:rsid w:val="775748F9"/>
    <w:rsid w:val="77BF12F7"/>
    <w:rsid w:val="78264085"/>
    <w:rsid w:val="78F91413"/>
    <w:rsid w:val="79060B26"/>
    <w:rsid w:val="79606526"/>
    <w:rsid w:val="796F1DC8"/>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7"/>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30"/>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31"/>
    <w:unhideWhenUsed/>
    <w:qFormat/>
    <w:uiPriority w:val="9"/>
    <w:pPr>
      <w:keepNext/>
      <w:keepLines/>
      <w:spacing w:line="440" w:lineRule="exact"/>
      <w:outlineLvl w:val="2"/>
    </w:pPr>
    <w:rPr>
      <w:b/>
      <w:bCs/>
      <w:szCs w:val="32"/>
    </w:rPr>
  </w:style>
  <w:style w:type="paragraph" w:styleId="5">
    <w:name w:val="heading 4"/>
    <w:basedOn w:val="1"/>
    <w:next w:val="1"/>
    <w:link w:val="32"/>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29"/>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3"/>
    <w:unhideWhenUsed/>
    <w:qFormat/>
    <w:uiPriority w:val="99"/>
    <w:pPr>
      <w:tabs>
        <w:tab w:val="center" w:pos="4153"/>
        <w:tab w:val="right" w:pos="8306"/>
      </w:tabs>
      <w:snapToGrid w:val="0"/>
    </w:pPr>
    <w:rPr>
      <w:sz w:val="18"/>
      <w:szCs w:val="18"/>
    </w:rPr>
  </w:style>
  <w:style w:type="paragraph" w:styleId="12">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5"/>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8">
    <w:name w:val="Table Grid"/>
    <w:basedOn w:val="1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rFonts w:eastAsia="仿宋_GB2312"/>
      <w:b/>
      <w:bCs/>
      <w:color w:val="7030A0"/>
      <w:spacing w:val="-8"/>
      <w:w w:val="96"/>
      <w:sz w:val="28"/>
    </w:rPr>
  </w:style>
  <w:style w:type="character" w:styleId="21">
    <w:name w:val="FollowedHyperlink"/>
    <w:basedOn w:val="19"/>
    <w:unhideWhenUsed/>
    <w:qFormat/>
    <w:uiPriority w:val="99"/>
    <w:rPr>
      <w:color w:val="404040"/>
      <w:u w:val="none"/>
    </w:rPr>
  </w:style>
  <w:style w:type="character" w:styleId="22">
    <w:name w:val="Emphasis"/>
    <w:basedOn w:val="19"/>
    <w:qFormat/>
    <w:uiPriority w:val="20"/>
    <w:rPr>
      <w:rFonts w:eastAsia="华文楷体"/>
      <w:iCs/>
      <w:sz w:val="28"/>
    </w:rPr>
  </w:style>
  <w:style w:type="character" w:styleId="23">
    <w:name w:val="line number"/>
    <w:basedOn w:val="19"/>
    <w:unhideWhenUsed/>
    <w:qFormat/>
    <w:uiPriority w:val="99"/>
  </w:style>
  <w:style w:type="character" w:styleId="24">
    <w:name w:val="HTML Variable"/>
    <w:basedOn w:val="19"/>
    <w:unhideWhenUsed/>
    <w:qFormat/>
    <w:uiPriority w:val="99"/>
  </w:style>
  <w:style w:type="character" w:styleId="25">
    <w:name w:val="Hyperlink"/>
    <w:basedOn w:val="19"/>
    <w:unhideWhenUsed/>
    <w:qFormat/>
    <w:uiPriority w:val="99"/>
    <w:rPr>
      <w:color w:val="404040"/>
      <w:u w:val="none"/>
    </w:rPr>
  </w:style>
  <w:style w:type="character" w:styleId="26">
    <w:name w:val="footnote reference"/>
    <w:qFormat/>
    <w:uiPriority w:val="0"/>
    <w:rPr>
      <w:rFonts w:hint="default" w:ascii="Verdana" w:hAnsi="Verdana" w:eastAsia="宋体" w:cs="Verdana"/>
      <w:kern w:val="0"/>
      <w:sz w:val="20"/>
      <w:szCs w:val="20"/>
      <w:vertAlign w:val="superscript"/>
      <w:lang w:eastAsia="en-US"/>
    </w:rPr>
  </w:style>
  <w:style w:type="character" w:customStyle="1" w:styleId="27">
    <w:name w:val="标题 1 字符"/>
    <w:basedOn w:val="19"/>
    <w:link w:val="2"/>
    <w:qFormat/>
    <w:uiPriority w:val="9"/>
    <w:rPr>
      <w:rFonts w:ascii="黑体" w:hAnsi="黑体" w:eastAsia="黑体"/>
      <w:bCs/>
      <w:kern w:val="44"/>
      <w:sz w:val="28"/>
      <w:szCs w:val="44"/>
    </w:rPr>
  </w:style>
  <w:style w:type="character" w:customStyle="1" w:styleId="28">
    <w:name w:val="标题 3 Char1"/>
    <w:link w:val="4"/>
    <w:qFormat/>
    <w:uiPriority w:val="9"/>
    <w:rPr>
      <w:rFonts w:ascii="仿宋_GB2312" w:hAnsi="仿宋_GB2312" w:eastAsia="仿宋_GB2312"/>
      <w:b/>
    </w:rPr>
  </w:style>
  <w:style w:type="character" w:customStyle="1" w:styleId="29">
    <w:name w:val="标题 字符"/>
    <w:basedOn w:val="19"/>
    <w:link w:val="10"/>
    <w:qFormat/>
    <w:uiPriority w:val="10"/>
    <w:rPr>
      <w:rFonts w:ascii="华文中宋" w:hAnsi="华文中宋" w:eastAsia="华文中宋" w:cs="Times New Roman"/>
      <w:b/>
      <w:bCs/>
      <w:sz w:val="32"/>
      <w:szCs w:val="32"/>
    </w:rPr>
  </w:style>
  <w:style w:type="character" w:customStyle="1" w:styleId="30">
    <w:name w:val="标题 2 字符"/>
    <w:basedOn w:val="19"/>
    <w:link w:val="3"/>
    <w:qFormat/>
    <w:uiPriority w:val="9"/>
    <w:rPr>
      <w:rFonts w:ascii="楷体_GB2312" w:hAnsi="楷体_GB2312" w:eastAsia="楷体_GB2312" w:cs="Times New Roman"/>
      <w:b/>
      <w:bCs/>
      <w:sz w:val="28"/>
      <w:szCs w:val="32"/>
    </w:rPr>
  </w:style>
  <w:style w:type="character" w:customStyle="1" w:styleId="31">
    <w:name w:val="标题 3 字符"/>
    <w:basedOn w:val="19"/>
    <w:link w:val="4"/>
    <w:semiHidden/>
    <w:qFormat/>
    <w:uiPriority w:val="9"/>
    <w:rPr>
      <w:rFonts w:ascii="仿宋_GB2312" w:hAnsi="仿宋_GB2312" w:eastAsia="仿宋_GB2312"/>
      <w:b/>
      <w:bCs/>
      <w:kern w:val="2"/>
      <w:sz w:val="28"/>
      <w:szCs w:val="32"/>
    </w:rPr>
  </w:style>
  <w:style w:type="character" w:customStyle="1" w:styleId="32">
    <w:name w:val="标题 4 Char1"/>
    <w:link w:val="5"/>
    <w:qFormat/>
    <w:uiPriority w:val="9"/>
    <w:rPr>
      <w:rFonts w:ascii="仿宋_GB2312" w:hAnsi="仿宋_GB2312" w:eastAsia="仿宋_GB2312"/>
    </w:rPr>
  </w:style>
  <w:style w:type="character" w:customStyle="1" w:styleId="33">
    <w:name w:val="页脚 字符"/>
    <w:basedOn w:val="19"/>
    <w:link w:val="11"/>
    <w:qFormat/>
    <w:uiPriority w:val="99"/>
    <w:rPr>
      <w:sz w:val="18"/>
      <w:szCs w:val="18"/>
    </w:rPr>
  </w:style>
  <w:style w:type="character" w:customStyle="1" w:styleId="34">
    <w:name w:val="页眉 字符"/>
    <w:basedOn w:val="19"/>
    <w:link w:val="12"/>
    <w:qFormat/>
    <w:uiPriority w:val="99"/>
    <w:rPr>
      <w:sz w:val="18"/>
      <w:szCs w:val="18"/>
    </w:rPr>
  </w:style>
  <w:style w:type="character" w:customStyle="1" w:styleId="35">
    <w:name w:val="副标题 字符"/>
    <w:basedOn w:val="19"/>
    <w:link w:val="13"/>
    <w:qFormat/>
    <w:uiPriority w:val="11"/>
    <w:rPr>
      <w:rFonts w:ascii="仿宋_GB2312" w:eastAsia="仿宋_GB2312"/>
      <w:b/>
      <w:bCs/>
      <w:kern w:val="28"/>
      <w:sz w:val="28"/>
      <w:szCs w:val="32"/>
    </w:rPr>
  </w:style>
  <w:style w:type="paragraph" w:styleId="36">
    <w:name w:val="Quote"/>
    <w:basedOn w:val="1"/>
    <w:next w:val="1"/>
    <w:link w:val="37"/>
    <w:qFormat/>
    <w:uiPriority w:val="29"/>
    <w:pPr>
      <w:ind w:firstLine="486"/>
    </w:pPr>
    <w:rPr>
      <w:rFonts w:eastAsia="华文楷体"/>
      <w:iCs/>
      <w:spacing w:val="-16"/>
      <w:w w:val="98"/>
    </w:rPr>
  </w:style>
  <w:style w:type="character" w:customStyle="1" w:styleId="37">
    <w:name w:val="引用 字符"/>
    <w:basedOn w:val="19"/>
    <w:link w:val="36"/>
    <w:qFormat/>
    <w:uiPriority w:val="29"/>
    <w:rPr>
      <w:rFonts w:ascii="仿宋_GB2312" w:eastAsia="华文楷体"/>
      <w:iCs/>
      <w:spacing w:val="-16"/>
      <w:w w:val="98"/>
      <w:sz w:val="28"/>
    </w:rPr>
  </w:style>
  <w:style w:type="paragraph" w:styleId="38">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9">
    <w:name w:val="不明显强调1"/>
    <w:basedOn w:val="19"/>
    <w:qFormat/>
    <w:uiPriority w:val="19"/>
    <w:rPr>
      <w:i/>
      <w:iCs/>
      <w:color w:val="3F3F3F"/>
    </w:rPr>
  </w:style>
  <w:style w:type="table" w:customStyle="1" w:styleId="40">
    <w:name w:val="Table Normal"/>
    <w:unhideWhenUsed/>
    <w:qFormat/>
    <w:uiPriority w:val="0"/>
    <w:tblPr>
      <w:tblCellMar>
        <w:top w:w="0" w:type="dxa"/>
        <w:left w:w="0" w:type="dxa"/>
        <w:bottom w:w="0" w:type="dxa"/>
        <w:right w:w="0" w:type="dxa"/>
      </w:tblCellMar>
    </w:tblPr>
  </w:style>
  <w:style w:type="paragraph" w:customStyle="1" w:styleId="41">
    <w:name w:val="title_m"/>
    <w:basedOn w:val="1"/>
    <w:qFormat/>
    <w:uiPriority w:val="0"/>
    <w:pPr>
      <w:jc w:val="center"/>
    </w:pPr>
    <w:rPr>
      <w:rFonts w:ascii="宋体" w:hAnsi="宋体" w:eastAsia="宋体" w:cs="宋体"/>
      <w:b/>
      <w:bCs/>
      <w:sz w:val="32"/>
      <w:szCs w:val="32"/>
    </w:rPr>
  </w:style>
  <w:style w:type="paragraph" w:customStyle="1" w:styleId="42">
    <w:name w:val="fulltext_text"/>
    <w:basedOn w:val="1"/>
    <w:qFormat/>
    <w:uiPriority w:val="0"/>
    <w:pPr>
      <w:spacing w:line="525" w:lineRule="atLeast"/>
    </w:pPr>
    <w:rPr>
      <w:rFonts w:ascii="宋体" w:hAnsi="宋体" w:eastAsia="宋体" w:cs="宋体"/>
      <w:sz w:val="24"/>
      <w:szCs w:val="24"/>
    </w:rPr>
  </w:style>
  <w:style w:type="character" w:customStyle="1" w:styleId="43">
    <w:name w:val="c_tiao"/>
    <w:basedOn w:val="19"/>
    <w:qFormat/>
    <w:uiPriority w:val="0"/>
    <w:rPr>
      <w:rFonts w:ascii="宋体" w:hAnsi="宋体" w:eastAsia="宋体" w:cs="宋体"/>
      <w:b/>
      <w:bCs/>
      <w:sz w:val="24"/>
      <w:szCs w:val="24"/>
    </w:rPr>
  </w:style>
  <w:style w:type="paragraph" w:customStyle="1" w:styleId="44">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5">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6">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7">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8">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9">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50">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2">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3">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62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2026-03-30T09:51:31Z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28D1DC00EA7447FC9DCBB15F4D29DC1B_13</vt:lpwstr>
  </property>
  <property fmtid="{D5CDD505-2E9C-101B-9397-08002B2CF9AE}" pid="4" name="KSOTemplateDocerSaveRecord">
    <vt:lpwstr>eyJoZGlkIjoiMjIxMjI5YjhlNTAxYzUyOTYyYWZlMGFjYmE4ZTczY2EiLCJ1c2VySWQiOiIxNDU2NzYxMDUwIn0=</vt:lpwstr>
  </property>
</Properties>
</file>