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F8444">
      <w:pPr>
        <w:keepNext w:val="0"/>
        <w:keepLines w:val="0"/>
        <w:pageBreakBefore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52EE37D">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w:t>
      </w:r>
      <w:r>
        <w:rPr>
          <w:rFonts w:hint="eastAsia" w:ascii="方正小标宋简体" w:hAnsi="方正小标宋简体" w:eastAsia="方正小标宋简体" w:cs="方正小标宋简体"/>
          <w:sz w:val="44"/>
          <w:szCs w:val="44"/>
        </w:rPr>
        <w:t>未来能源</w:t>
      </w:r>
      <w:r>
        <w:rPr>
          <w:rFonts w:hint="eastAsia" w:ascii="方正小标宋简体" w:hAnsi="方正小标宋简体" w:eastAsia="方正小标宋简体" w:cs="方正小标宋简体"/>
          <w:sz w:val="44"/>
          <w:szCs w:val="44"/>
          <w:lang w:val="en-US" w:eastAsia="zh-CN"/>
        </w:rPr>
        <w:t>关键技术创新研发支持</w:t>
      </w:r>
    </w:p>
    <w:p w14:paraId="3BD47A2F">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4BC66C72">
      <w:pPr>
        <w:keepNext w:val="0"/>
        <w:keepLines w:val="0"/>
        <w:pageBreakBefore w:val="0"/>
        <w:kinsoku/>
        <w:wordWrap/>
        <w:overflowPunct/>
        <w:topLinePunct w:val="0"/>
        <w:autoSpaceDE/>
        <w:autoSpaceDN/>
        <w:bidi w:val="0"/>
        <w:adjustRightInd/>
        <w:snapToGrid/>
        <w:spacing w:line="560" w:lineRule="exact"/>
        <w:jc w:val="left"/>
        <w:textAlignment w:val="auto"/>
        <w:outlineLvl w:val="0"/>
        <w:rPr>
          <w:rFonts w:hint="eastAsia" w:ascii="方正小标宋简体" w:hAnsi="方正小标宋简体" w:eastAsia="方正小标宋简体" w:cs="方正小标宋简体"/>
          <w:sz w:val="44"/>
          <w:szCs w:val="44"/>
        </w:rPr>
      </w:pPr>
    </w:p>
    <w:p w14:paraId="6F12D8F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71C7D74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rPr>
        <w:t>北京经济技术开发区管理委员会印发《北京经济技术开发区关于加快培育未来能源产业的若干措施》的通知（京技管发[2025]33号）</w:t>
      </w:r>
      <w:r>
        <w:rPr>
          <w:rFonts w:hint="eastAsia" w:ascii="仿宋_GB2312" w:hAnsi="仿宋_GB2312" w:eastAsia="仿宋_GB2312" w:cs="仿宋_GB2312"/>
          <w:bCs/>
          <w:color w:val="000000"/>
          <w:kern w:val="0"/>
          <w:sz w:val="32"/>
          <w:szCs w:val="32"/>
          <w:lang w:val="en-US" w:eastAsia="zh-CN"/>
        </w:rPr>
        <w:t>中第一条“</w:t>
      </w:r>
      <w:r>
        <w:rPr>
          <w:rFonts w:hint="eastAsia" w:ascii="仿宋_GB2312" w:hAnsi="Calibri" w:eastAsia="仿宋_GB2312" w:cs="仿宋_GB2312"/>
          <w:b w:val="0"/>
          <w:bCs w:val="0"/>
          <w:color w:val="auto"/>
          <w:kern w:val="2"/>
          <w:sz w:val="32"/>
          <w:szCs w:val="32"/>
          <w:highlight w:val="none"/>
          <w:lang w:val="en-US" w:eastAsia="zh-CN" w:bidi="ar"/>
        </w:rPr>
        <w:t>支持</w:t>
      </w:r>
      <w:r>
        <w:rPr>
          <w:rFonts w:hint="eastAsia" w:ascii="仿宋_GB2312" w:hAnsi="Calibri" w:eastAsia="仿宋_GB2312" w:cs="仿宋_GB2312"/>
          <w:b w:val="0"/>
          <w:bCs w:val="0"/>
          <w:color w:val="auto"/>
          <w:kern w:val="2"/>
          <w:sz w:val="32"/>
          <w:szCs w:val="32"/>
          <w:highlight w:val="none"/>
          <w:lang w:val="en-US" w:eastAsia="zh" w:bidi="ar"/>
        </w:rPr>
        <w:t>关键技术创新研发</w:t>
      </w:r>
      <w:r>
        <w:rPr>
          <w:rFonts w:hint="eastAsia" w:ascii="仿宋_GB2312" w:hAnsi="Calibri" w:eastAsia="仿宋_GB2312" w:cs="仿宋_GB2312"/>
          <w:b w:val="0"/>
          <w:bCs w:val="0"/>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加快突破新型储能、清洁能源、</w:t>
      </w:r>
      <w:r>
        <w:rPr>
          <w:rFonts w:hint="eastAsia" w:ascii="仿宋_GB2312" w:hAnsi="Calibri" w:eastAsia="仿宋_GB2312" w:cs="仿宋_GB2312"/>
          <w:color w:val="auto"/>
          <w:kern w:val="2"/>
          <w:sz w:val="32"/>
          <w:szCs w:val="32"/>
          <w:highlight w:val="none"/>
          <w:lang w:val="en-US" w:eastAsia="zh" w:bidi="ar"/>
        </w:rPr>
        <w:t>低碳转型</w:t>
      </w:r>
      <w:r>
        <w:rPr>
          <w:rFonts w:hint="eastAsia" w:ascii="仿宋_GB2312" w:hAnsi="Calibri" w:eastAsia="仿宋_GB2312"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 w:bidi="ar"/>
        </w:rPr>
        <w:t>聚变能源</w:t>
      </w:r>
      <w:r>
        <w:rPr>
          <w:rFonts w:hint="eastAsia" w:ascii="仿宋_GB2312" w:hAnsi="Calibri" w:eastAsia="仿宋_GB2312" w:cs="仿宋_GB2312"/>
          <w:color w:val="auto"/>
          <w:kern w:val="2"/>
          <w:sz w:val="32"/>
          <w:szCs w:val="32"/>
          <w:highlight w:val="none"/>
          <w:lang w:val="en-US" w:eastAsia="zh-CN" w:bidi="ar"/>
        </w:rPr>
        <w:t>等核心技术</w:t>
      </w:r>
      <w:r>
        <w:rPr>
          <w:rFonts w:hint="eastAsia" w:ascii="仿宋_GB2312" w:hAnsi="Calibri" w:eastAsia="仿宋_GB2312" w:cs="仿宋_GB2312"/>
          <w:color w:val="auto"/>
          <w:kern w:val="2"/>
          <w:sz w:val="32"/>
          <w:szCs w:val="32"/>
          <w:highlight w:val="none"/>
          <w:lang w:val="en-US" w:eastAsia="zh" w:bidi="ar"/>
        </w:rPr>
        <w:t>，鼓励</w:t>
      </w:r>
      <w:r>
        <w:rPr>
          <w:rFonts w:hint="eastAsia" w:ascii="仿宋_GB2312" w:hAnsi="微软雅黑" w:eastAsia="仿宋_GB2312" w:cs="仿宋_GB2312"/>
          <w:color w:val="auto"/>
          <w:kern w:val="0"/>
          <w:sz w:val="32"/>
          <w:szCs w:val="32"/>
          <w:highlight w:val="none"/>
          <w:lang w:val="en-US" w:eastAsia="zh" w:bidi="ar"/>
        </w:rPr>
        <w:t>原创性、颠覆性</w:t>
      </w:r>
      <w:r>
        <w:rPr>
          <w:rFonts w:hint="eastAsia" w:ascii="仿宋_GB2312" w:hAnsi="微软雅黑" w:eastAsia="仿宋_GB2312" w:cs="仿宋_GB2312"/>
          <w:color w:val="auto"/>
          <w:kern w:val="0"/>
          <w:sz w:val="32"/>
          <w:szCs w:val="32"/>
          <w:highlight w:val="none"/>
          <w:lang w:val="en-US" w:eastAsia="zh-CN" w:bidi="ar"/>
        </w:rPr>
        <w:t>前沿</w:t>
      </w:r>
      <w:r>
        <w:rPr>
          <w:rFonts w:hint="eastAsia" w:ascii="仿宋_GB2312" w:hAnsi="微软雅黑" w:eastAsia="仿宋_GB2312" w:cs="仿宋_GB2312"/>
          <w:color w:val="auto"/>
          <w:kern w:val="0"/>
          <w:sz w:val="32"/>
          <w:szCs w:val="32"/>
          <w:highlight w:val="none"/>
          <w:lang w:val="en-US" w:eastAsia="zh" w:bidi="ar"/>
        </w:rPr>
        <w:t>技术创新成果快速完成“技术熟化-中试验证-</w:t>
      </w:r>
      <w:r>
        <w:rPr>
          <w:rFonts w:hint="eastAsia" w:ascii="仿宋_GB2312" w:hAnsi="微软雅黑" w:eastAsia="仿宋_GB2312" w:cs="仿宋_GB2312"/>
          <w:color w:val="auto"/>
          <w:kern w:val="0"/>
          <w:sz w:val="32"/>
          <w:szCs w:val="32"/>
          <w:highlight w:val="none"/>
          <w:lang w:val="en-US" w:eastAsia="zh-CN" w:bidi="ar"/>
        </w:rPr>
        <w:t>产业化</w:t>
      </w:r>
      <w:r>
        <w:rPr>
          <w:rFonts w:hint="eastAsia" w:ascii="仿宋_GB2312" w:hAnsi="微软雅黑" w:eastAsia="仿宋_GB2312" w:cs="仿宋_GB2312"/>
          <w:color w:val="auto"/>
          <w:kern w:val="0"/>
          <w:sz w:val="32"/>
          <w:szCs w:val="32"/>
          <w:highlight w:val="none"/>
          <w:lang w:val="en-US" w:eastAsia="zh" w:bidi="ar"/>
        </w:rPr>
        <w:t>”全链条孵化，</w:t>
      </w:r>
      <w:r>
        <w:rPr>
          <w:rFonts w:hint="eastAsia" w:ascii="仿宋_GB2312" w:hAnsi="Calibri" w:eastAsia="仿宋_GB2312" w:cs="仿宋_GB2312"/>
          <w:b w:val="0"/>
          <w:bCs w:val="0"/>
          <w:color w:val="auto"/>
          <w:kern w:val="0"/>
          <w:sz w:val="32"/>
          <w:szCs w:val="32"/>
          <w:highlight w:val="none"/>
          <w:lang w:val="en-US" w:eastAsia="zh-CN" w:bidi="ar"/>
        </w:rPr>
        <w:t>促进产学研深度融合。</w:t>
      </w:r>
      <w:r>
        <w:rPr>
          <w:rFonts w:hint="eastAsia" w:ascii="仿宋_GB2312" w:hAnsi="微软雅黑" w:eastAsia="仿宋_GB2312" w:cs="仿宋_GB2312"/>
          <w:color w:val="auto"/>
          <w:kern w:val="0"/>
          <w:sz w:val="32"/>
          <w:szCs w:val="32"/>
          <w:highlight w:val="none"/>
          <w:lang w:val="en-US" w:eastAsia="zh" w:bidi="ar"/>
        </w:rPr>
        <w:t>培育一批</w:t>
      </w:r>
      <w:r>
        <w:rPr>
          <w:rFonts w:hint="eastAsia" w:ascii="仿宋_GB2312" w:hAnsi="微软雅黑" w:eastAsia="仿宋_GB2312" w:cs="仿宋_GB2312"/>
          <w:color w:val="auto"/>
          <w:kern w:val="0"/>
          <w:sz w:val="32"/>
          <w:szCs w:val="32"/>
          <w:highlight w:val="none"/>
          <w:lang w:val="en-US" w:eastAsia="zh-CN" w:bidi="ar"/>
        </w:rPr>
        <w:t>科技</w:t>
      </w:r>
      <w:r>
        <w:rPr>
          <w:rFonts w:hint="eastAsia" w:ascii="仿宋_GB2312" w:hAnsi="微软雅黑" w:eastAsia="仿宋_GB2312" w:cs="仿宋_GB2312"/>
          <w:color w:val="auto"/>
          <w:kern w:val="0"/>
          <w:sz w:val="32"/>
          <w:szCs w:val="32"/>
          <w:highlight w:val="none"/>
          <w:lang w:val="en-US" w:eastAsia="zh" w:bidi="ar"/>
        </w:rPr>
        <w:t>创新型企业，夯实未来能源产业链自主可控能力。</w:t>
      </w:r>
      <w:r>
        <w:rPr>
          <w:rFonts w:hint="eastAsia" w:ascii="仿宋_GB2312" w:hAnsi="Calibri" w:eastAsia="仿宋_GB2312" w:cs="仿宋_GB2312"/>
          <w:b w:val="0"/>
          <w:bCs w:val="0"/>
          <w:color w:val="auto"/>
          <w:kern w:val="0"/>
          <w:sz w:val="32"/>
          <w:szCs w:val="32"/>
          <w:highlight w:val="none"/>
          <w:lang w:val="en-US" w:eastAsia="zh-CN" w:bidi="ar"/>
        </w:rPr>
        <w:t>对开展未来能源领域关键核心技术研发的企业，根据发展阶段</w:t>
      </w:r>
      <w:r>
        <w:rPr>
          <w:rFonts w:hint="eastAsia" w:ascii="仿宋_GB2312" w:hAnsi="Calibri" w:eastAsia="仿宋_GB2312" w:cs="仿宋_GB2312"/>
          <w:b w:val="0"/>
          <w:bCs w:val="0"/>
          <w:color w:val="auto"/>
          <w:kern w:val="0"/>
          <w:sz w:val="32"/>
          <w:szCs w:val="32"/>
          <w:highlight w:val="none"/>
          <w:lang w:val="en-US" w:eastAsia="zh" w:bidi="ar"/>
        </w:rPr>
        <w:t>给予</w:t>
      </w:r>
      <w:r>
        <w:rPr>
          <w:rFonts w:hint="eastAsia" w:ascii="仿宋_GB2312" w:hAnsi="Calibri" w:eastAsia="仿宋_GB2312" w:cs="仿宋_GB2312"/>
          <w:b w:val="0"/>
          <w:bCs w:val="0"/>
          <w:color w:val="auto"/>
          <w:kern w:val="0"/>
          <w:sz w:val="32"/>
          <w:szCs w:val="32"/>
          <w:highlight w:val="none"/>
          <w:lang w:val="en-US" w:eastAsia="zh-CN" w:bidi="ar"/>
        </w:rPr>
        <w:t>年度研发投入</w:t>
      </w:r>
      <w:r>
        <w:rPr>
          <w:rFonts w:hint="eastAsia" w:ascii="仿宋_GB2312" w:hAnsi="Calibri" w:eastAsia="仿宋_GB2312" w:cs="仿宋_GB2312"/>
          <w:b w:val="0"/>
          <w:bCs w:val="0"/>
          <w:color w:val="auto"/>
          <w:kern w:val="0"/>
          <w:sz w:val="32"/>
          <w:szCs w:val="32"/>
          <w:highlight w:val="none"/>
          <w:lang w:val="en-US" w:eastAsia="zh" w:bidi="ar"/>
        </w:rPr>
        <w:t>不超过</w:t>
      </w:r>
      <w:r>
        <w:rPr>
          <w:rFonts w:hint="eastAsia" w:ascii="仿宋_GB2312" w:hAnsi="Calibri" w:eastAsia="仿宋_GB2312" w:cs="仿宋_GB2312"/>
          <w:b w:val="0"/>
          <w:bCs w:val="0"/>
          <w:color w:val="auto"/>
          <w:kern w:val="0"/>
          <w:sz w:val="32"/>
          <w:szCs w:val="32"/>
          <w:highlight w:val="none"/>
          <w:lang w:val="en-US" w:eastAsia="zh-CN" w:bidi="ar"/>
        </w:rPr>
        <w:t>30%支持。</w:t>
      </w:r>
      <w:r>
        <w:rPr>
          <w:rFonts w:hint="eastAsia" w:ascii="仿宋_GB2312" w:hAnsi="仿宋_GB2312" w:eastAsia="仿宋_GB2312" w:cs="仿宋_GB2312"/>
          <w:bCs/>
          <w:color w:val="000000"/>
          <w:kern w:val="0"/>
          <w:sz w:val="32"/>
          <w:szCs w:val="32"/>
          <w:lang w:val="en-US" w:eastAsia="zh-CN"/>
        </w:rPr>
        <w:t>”</w:t>
      </w:r>
    </w:p>
    <w:p w14:paraId="3EE05A9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rPr>
        <w:t>二、事项</w:t>
      </w:r>
      <w:r>
        <w:rPr>
          <w:rFonts w:hint="eastAsia" w:ascii="黑体" w:hAnsi="黑体" w:eastAsia="黑体" w:cs="黑体"/>
          <w:sz w:val="32"/>
          <w:szCs w:val="32"/>
          <w:lang w:eastAsia="zh-CN"/>
        </w:rPr>
        <w:t>名称</w:t>
      </w:r>
    </w:p>
    <w:p w14:paraId="6A36A9A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2025年度未来能源</w:t>
      </w:r>
      <w:r>
        <w:rPr>
          <w:rFonts w:hint="eastAsia" w:ascii="仿宋_GB2312" w:hAnsi="仿宋_GB2312" w:eastAsia="仿宋_GB2312" w:cs="仿宋_GB2312"/>
          <w:sz w:val="32"/>
          <w:szCs w:val="32"/>
          <w:lang w:val="en-US" w:eastAsia="zh-CN"/>
        </w:rPr>
        <w:t>关键技术创新研发支持</w:t>
      </w:r>
    </w:p>
    <w:p w14:paraId="3CA50AA8">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lang w:eastAsia="zh-CN"/>
        </w:rPr>
        <w:t>申报</w:t>
      </w:r>
      <w:r>
        <w:rPr>
          <w:rFonts w:hint="eastAsia" w:ascii="黑体" w:hAnsi="黑体" w:eastAsia="黑体" w:cs="黑体"/>
          <w:bCs/>
          <w:color w:val="000000"/>
          <w:kern w:val="0"/>
          <w:sz w:val="32"/>
          <w:szCs w:val="32"/>
        </w:rPr>
        <w:t>条件</w:t>
      </w:r>
    </w:p>
    <w:p w14:paraId="3DE757E6">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Cs/>
          <w:color w:val="000000"/>
          <w:kern w:val="0"/>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申报企业</w:t>
      </w:r>
      <w:r>
        <w:rPr>
          <w:rFonts w:hint="eastAsia" w:ascii="仿宋_GB2312" w:eastAsia="仿宋_GB2312" w:cs="仿宋_GB2312"/>
          <w:sz w:val="32"/>
          <w:szCs w:val="32"/>
        </w:rPr>
        <w:t>在亦庄新城</w:t>
      </w:r>
      <w:r>
        <w:rPr>
          <w:rFonts w:hint="eastAsia" w:ascii="仿宋_GB2312" w:eastAsia="仿宋_GB2312" w:cs="仿宋_GB2312"/>
          <w:sz w:val="32"/>
          <w:szCs w:val="32"/>
          <w:lang w:val="en-US" w:eastAsia="zh-CN"/>
        </w:rPr>
        <w:t>225平方公里</w:t>
      </w:r>
      <w:r>
        <w:rPr>
          <w:rFonts w:ascii="仿宋_GB2312" w:eastAsia="仿宋_GB2312" w:cs="仿宋_GB2312"/>
          <w:sz w:val="32"/>
          <w:szCs w:val="32"/>
        </w:rPr>
        <w:t>范围内</w:t>
      </w:r>
      <w:r>
        <w:rPr>
          <w:rFonts w:hint="eastAsia" w:ascii="仿宋_GB2312" w:eastAsia="仿宋_GB2312" w:cs="仿宋_GB2312"/>
          <w:sz w:val="32"/>
          <w:szCs w:val="32"/>
        </w:rPr>
        <w:t>依法</w:t>
      </w:r>
      <w:r>
        <w:rPr>
          <w:rFonts w:hint="eastAsia" w:ascii="仿宋_GB2312" w:eastAsia="仿宋_GB2312" w:cs="仿宋_GB2312"/>
          <w:sz w:val="32"/>
          <w:szCs w:val="32"/>
          <w:lang w:val="en-US" w:eastAsia="zh-CN"/>
        </w:rPr>
        <w:t>实际经营</w:t>
      </w:r>
      <w:r>
        <w:rPr>
          <w:rFonts w:hint="eastAsia" w:ascii="仿宋_GB2312" w:eastAsia="仿宋_GB2312" w:cs="仿宋_GB2312"/>
          <w:sz w:val="32"/>
          <w:szCs w:val="32"/>
        </w:rPr>
        <w:t>，</w:t>
      </w:r>
      <w:r>
        <w:rPr>
          <w:rFonts w:hint="eastAsia" w:ascii="仿宋_GB2312" w:hAnsi="仿宋_GB2312" w:eastAsia="仿宋_GB2312" w:cs="仿宋_GB2312"/>
          <w:bCs/>
          <w:color w:val="000000"/>
          <w:kern w:val="0"/>
          <w:sz w:val="32"/>
          <w:szCs w:val="32"/>
          <w:lang w:val="en-US" w:eastAsia="zh-CN"/>
        </w:rPr>
        <w:t>近三年</w:t>
      </w:r>
      <w:r>
        <w:rPr>
          <w:rFonts w:ascii="仿宋_GB2312" w:eastAsia="仿宋_GB2312" w:cs="仿宋_GB2312"/>
          <w:sz w:val="32"/>
          <w:szCs w:val="32"/>
        </w:rPr>
        <w:t>无重大行政处罚记录和刑事犯罪记录，未列入严重违法失信主体名单</w:t>
      </w:r>
      <w:r>
        <w:rPr>
          <w:rFonts w:hint="eastAsia" w:ascii="仿宋_GB2312" w:eastAsia="仿宋_GB2312" w:cs="仿宋_GB2312"/>
          <w:sz w:val="32"/>
          <w:szCs w:val="32"/>
          <w:lang w:eastAsia="zh-CN"/>
        </w:rPr>
        <w:t>。</w:t>
      </w:r>
    </w:p>
    <w:p w14:paraId="1CE7346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（二）申报企业需拥有未来能源领域相关的关键技术和产品，2025年度研发投入应不低于2000万元。</w:t>
      </w:r>
    </w:p>
    <w:p w14:paraId="5BD09E0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（三）快速成长期企业申报应符合2025年度科技服务业营收或工业产值达5亿元以上。</w:t>
      </w:r>
    </w:p>
    <w:p w14:paraId="0F6D2EB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（四）产业成熟期企业应以集团名义为主体申报，申报企业为集团内科技服务业营收或工业产值占比最高的单一独立法人主体，2025年度集团总计科技服务业营收和工业产值达120亿元以上，且同比增速不低于5%。</w:t>
      </w:r>
    </w:p>
    <w:p w14:paraId="08E8050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08B8FE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对开展未来能源领域关键核心技术研发的快速成长期企业给予2025年研发投入不超过10%支持，最高不超过500万元。</w:t>
      </w:r>
    </w:p>
    <w:p w14:paraId="3DB5B9A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（二）对开展未来能源领域关键核心技术研发的产业成熟期企业，给予2025年研发投入不超过30%支持，最高不超过7000万元</w:t>
      </w:r>
      <w:r>
        <w:rPr>
          <w:rFonts w:hint="eastAsia" w:ascii="仿宋_GB2312" w:hAnsi="Calibri" w:eastAsia="仿宋_GB2312" w:cs="仿宋_GB2312"/>
          <w:color w:val="auto"/>
          <w:kern w:val="2"/>
          <w:sz w:val="32"/>
          <w:szCs w:val="32"/>
          <w:highlight w:val="none"/>
          <w:lang w:val="en-US" w:eastAsia="zh-CN" w:bidi="ar"/>
        </w:rPr>
        <w:t>。</w:t>
      </w:r>
    </w:p>
    <w:p w14:paraId="339E4E0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）补贴金额以万元为单位，保留两位小数，不足百元部分舍去。</w:t>
      </w:r>
    </w:p>
    <w:p w14:paraId="363BEED9">
      <w:pPr>
        <w:spacing w:line="560"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五、申报材料及要求</w:t>
      </w:r>
    </w:p>
    <w:p w14:paraId="39BBE48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2025年度</w:t>
      </w:r>
      <w:r>
        <w:rPr>
          <w:rFonts w:hint="eastAsia" w:ascii="仿宋_GB2312" w:hAnsi="仿宋_GB2312" w:eastAsia="仿宋_GB2312" w:cs="仿宋_GB2312"/>
          <w:sz w:val="32"/>
          <w:szCs w:val="32"/>
          <w:lang w:eastAsia="zh-CN"/>
        </w:rPr>
        <w:t>未来能源</w:t>
      </w:r>
      <w:r>
        <w:rPr>
          <w:rFonts w:hint="eastAsia" w:ascii="仿宋_GB2312" w:hAnsi="仿宋_GB2312" w:eastAsia="仿宋_GB2312" w:cs="仿宋_GB2312"/>
          <w:sz w:val="32"/>
          <w:szCs w:val="32"/>
          <w:lang w:val="en-US" w:eastAsia="zh-CN"/>
        </w:rPr>
        <w:t>关键技术创新研发支持申报表</w:t>
      </w:r>
      <w:r>
        <w:rPr>
          <w:rFonts w:hint="eastAsia" w:ascii="仿宋_GB2312" w:hAnsi="仿宋_GB2312" w:eastAsia="仿宋_GB2312" w:cs="仿宋_GB2312"/>
          <w:sz w:val="32"/>
          <w:szCs w:val="32"/>
        </w:rPr>
        <w:t>，在线填写</w:t>
      </w:r>
      <w:r>
        <w:rPr>
          <w:rFonts w:hint="eastAsia" w:ascii="仿宋_GB2312" w:hAnsi="仿宋_GB2312" w:eastAsia="仿宋_GB2312" w:cs="仿宋_GB2312"/>
          <w:spacing w:val="6"/>
          <w:sz w:val="32"/>
          <w:szCs w:val="32"/>
        </w:rPr>
        <w:t>；</w:t>
      </w:r>
    </w:p>
    <w:p w14:paraId="605E9DA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w:t>
      </w:r>
      <w:r>
        <w:rPr>
          <w:rFonts w:hint="eastAsia" w:ascii="仿宋_GB2312" w:hAnsi="仿宋_GB2312" w:eastAsia="仿宋_GB2312" w:cs="仿宋_GB2312"/>
          <w:sz w:val="32"/>
          <w:szCs w:val="32"/>
          <w:lang w:val="en-US" w:eastAsia="zh-CN"/>
        </w:rPr>
        <w:t>选取电子证照</w:t>
      </w:r>
      <w:r>
        <w:rPr>
          <w:rFonts w:hint="eastAsia" w:ascii="仿宋_GB2312" w:hAnsi="仿宋_GB2312" w:eastAsia="仿宋_GB2312" w:cs="仿宋_GB2312"/>
          <w:sz w:val="32"/>
          <w:szCs w:val="32"/>
        </w:rPr>
        <w:t>；</w:t>
      </w:r>
    </w:p>
    <w:p w14:paraId="6AD3501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2F75FB5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1E68510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2025年度财务报表（需包含工业产值、科技服务业营收、研发投入等项），加盖公章，彩色扫描上传</w:t>
      </w:r>
      <w:r>
        <w:rPr>
          <w:rFonts w:hint="eastAsia" w:ascii="仿宋_GB2312" w:hAnsi="仿宋_GB2312" w:eastAsia="仿宋_GB2312" w:cs="仿宋_GB2312"/>
          <w:spacing w:val="6"/>
          <w:sz w:val="32"/>
          <w:szCs w:val="32"/>
          <w:lang w:eastAsia="zh-CN"/>
        </w:rPr>
        <w:t>；</w:t>
      </w:r>
    </w:p>
    <w:p w14:paraId="6A0813E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6.</w:t>
      </w:r>
      <w:r>
        <w:rPr>
          <w:rFonts w:hint="eastAsia" w:ascii="仿宋_GB2312" w:eastAsia="仿宋_GB2312"/>
          <w:sz w:val="32"/>
          <w:szCs w:val="32"/>
          <w:lang w:val="en-US" w:eastAsia="zh-CN"/>
        </w:rPr>
        <w:t>未来能源领域</w:t>
      </w:r>
      <w:r>
        <w:rPr>
          <w:rFonts w:hint="eastAsia" w:ascii="仿宋_GB2312" w:hAnsi="仿宋_GB2312" w:eastAsia="仿宋_GB2312" w:cs="仿宋_GB2312"/>
          <w:sz w:val="32"/>
          <w:szCs w:val="32"/>
          <w:lang w:val="en-US" w:eastAsia="zh-CN"/>
        </w:rPr>
        <w:t>关键</w:t>
      </w:r>
      <w:r>
        <w:rPr>
          <w:rFonts w:hint="eastAsia" w:ascii="仿宋_GB2312" w:eastAsia="仿宋_GB2312"/>
          <w:sz w:val="32"/>
          <w:szCs w:val="32"/>
          <w:lang w:val="en-US" w:eastAsia="zh-CN"/>
        </w:rPr>
        <w:t>技术产品说明，下载模板填写，加盖公章，彩色扫描上传（模板内容供参考）</w:t>
      </w:r>
      <w:r>
        <w:rPr>
          <w:rFonts w:hint="eastAsia" w:ascii="仿宋_GB2312" w:eastAsia="仿宋_GB2312"/>
          <w:sz w:val="32"/>
          <w:szCs w:val="32"/>
          <w:lang w:eastAsia="zh-CN"/>
        </w:rPr>
        <w:t>。</w:t>
      </w:r>
    </w:p>
    <w:p w14:paraId="2B12AAB6">
      <w:pPr>
        <w:spacing w:line="560"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六、办理程序</w:t>
      </w:r>
    </w:p>
    <w:p w14:paraId="3CAE383B">
      <w:pPr>
        <w:keepNext w:val="0"/>
        <w:keepLines w:val="0"/>
        <w:pageBreakBefore w:val="0"/>
        <w:kinsoku/>
        <w:wordWrap w:val="0"/>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en-US" w:eastAsia="zh-CN"/>
        </w:rPr>
        <w:t>通过北京市人民政府门户网站“政策兑现专区”（https://zhengce.beijing.gov.cn）或经开区官网“政策兑现”栏目（zcdx.kfqgw.beijing.gov.cn）进入政策兑现综合服务平台，注册登录后进行项目申报。如未在规定时间内提交申请的，视为自动放弃。</w:t>
      </w:r>
      <w:bookmarkStart w:id="0" w:name="_GoBack"/>
      <w:bookmarkEnd w:id="0"/>
    </w:p>
    <w:p w14:paraId="5F701C6F">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71C13DAE">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高端汽车和新能源产业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14:paraId="00005E87">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高端汽车和新能源产业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组织专家线下对申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材料进行评审，评审后将结果上传到系统。</w:t>
      </w:r>
    </w:p>
    <w:p w14:paraId="33D6928F">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高端汽车和新能源产业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对审核通过的申报主体拟定兑现扶持奖励金额。</w:t>
      </w:r>
    </w:p>
    <w:p w14:paraId="567A2B8F">
      <w:pPr>
        <w:pStyle w:val="6"/>
        <w:widowControl/>
        <w:shd w:val="clear" w:color="auto" w:fill="FFFFFF"/>
        <w:spacing w:beforeAutospacing="0" w:afterAutospacing="0" w:line="560" w:lineRule="exact"/>
        <w:ind w:firstLine="640" w:firstLineChars="200"/>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b/>
          <w:bCs/>
          <w:color w:val="000000"/>
          <w:kern w:val="2"/>
          <w:sz w:val="32"/>
          <w:szCs w:val="32"/>
          <w:lang w:val="en-US" w:eastAsia="zh-CN"/>
        </w:rPr>
        <w:t>公示</w:t>
      </w:r>
      <w:r>
        <w:rPr>
          <w:rFonts w:hint="eastAsia" w:ascii="仿宋_GB2312" w:hAnsi="仿宋_GB2312" w:eastAsia="仿宋_GB2312" w:cs="仿宋_GB2312"/>
          <w:color w:val="000000"/>
          <w:kern w:val="2"/>
          <w:sz w:val="32"/>
          <w:szCs w:val="32"/>
          <w:lang w:val="en-US" w:eastAsia="zh-CN"/>
        </w:rPr>
        <w:t>：经开区高端汽车和新能源产业局通过政策兑现综合服务平台对审核通过的申报主体进行公示。</w:t>
      </w:r>
    </w:p>
    <w:p w14:paraId="4686566E">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经公示无异议的，</w:t>
      </w:r>
      <w:r>
        <w:rPr>
          <w:rFonts w:hint="eastAsia" w:ascii="仿宋_GB2312" w:hAnsi="仿宋_GB2312" w:eastAsia="仿宋_GB2312" w:cs="仿宋_GB2312"/>
          <w:color w:val="000000"/>
          <w:kern w:val="2"/>
          <w:sz w:val="32"/>
          <w:szCs w:val="32"/>
        </w:rPr>
        <w:t>完成资金拨付。</w:t>
      </w:r>
    </w:p>
    <w:p w14:paraId="11E1FB31">
      <w:pPr>
        <w:spacing w:line="560"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七、主责部门</w:t>
      </w:r>
    </w:p>
    <w:p w14:paraId="2C16E6E6">
      <w:pPr>
        <w:spacing w:line="560" w:lineRule="exact"/>
        <w:ind w:firstLine="640" w:firstLineChars="200"/>
        <w:jc w:val="left"/>
        <w:rPr>
          <w:rFonts w:ascii="仿宋_GB2312" w:hAnsi="仿宋_GB2312" w:eastAsia="仿宋_GB2312" w:cs="仿宋_GB2312"/>
          <w:b/>
          <w:bCs/>
          <w:sz w:val="32"/>
          <w:szCs w:val="32"/>
        </w:rPr>
      </w:pPr>
      <w:r>
        <w:rPr>
          <w:rFonts w:hint="eastAsia" w:eastAsia="仿宋_GB2312" w:cs="仿宋_GB2312"/>
          <w:sz w:val="32"/>
          <w:szCs w:val="32"/>
        </w:rPr>
        <w:t>经开</w:t>
      </w:r>
      <w:r>
        <w:rPr>
          <w:rFonts w:hint="eastAsia" w:eastAsia="仿宋_GB2312" w:cs="仿宋_GB2312"/>
          <w:sz w:val="32"/>
          <w:szCs w:val="32"/>
          <w:lang w:val="en-US" w:eastAsia="zh-CN"/>
        </w:rPr>
        <w:t>区</w:t>
      </w:r>
      <w:r>
        <w:rPr>
          <w:rFonts w:hint="eastAsia" w:ascii="仿宋_GB2312" w:hAnsi="仿宋_GB2312" w:eastAsia="仿宋_GB2312" w:cs="仿宋_GB2312"/>
          <w:color w:val="000000"/>
          <w:sz w:val="32"/>
          <w:szCs w:val="32"/>
          <w:lang w:val="en-US" w:eastAsia="zh-CN"/>
        </w:rPr>
        <w:t>高端汽车和新能源产业</w:t>
      </w:r>
      <w:r>
        <w:rPr>
          <w:rFonts w:hint="eastAsia" w:ascii="仿宋_GB2312" w:hAnsi="仿宋_GB2312" w:eastAsia="仿宋_GB2312" w:cs="仿宋_GB2312"/>
          <w:color w:val="000000"/>
          <w:sz w:val="32"/>
          <w:szCs w:val="32"/>
        </w:rPr>
        <w:t>局</w:t>
      </w:r>
    </w:p>
    <w:p w14:paraId="331529D5">
      <w:pPr>
        <w:spacing w:line="560"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八、受理窗口</w:t>
      </w:r>
    </w:p>
    <w:p w14:paraId="0B6DD6EF">
      <w:pPr>
        <w:spacing w:line="560"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“政策申报”窗口</w:t>
      </w:r>
    </w:p>
    <w:p w14:paraId="5AF591FF">
      <w:pPr>
        <w:spacing w:line="560"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九、申报时间</w:t>
      </w:r>
    </w:p>
    <w:p w14:paraId="26CDC46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6C5E0CC8">
      <w:pPr>
        <w:spacing w:line="560"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十、联系方式</w:t>
      </w:r>
    </w:p>
    <w:p w14:paraId="2493164A">
      <w:pPr>
        <w:spacing w:line="560" w:lineRule="exact"/>
        <w:ind w:firstLine="640" w:firstLineChars="200"/>
        <w:jc w:val="left"/>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6D3594DD">
      <w:pPr>
        <w:spacing w:line="560" w:lineRule="exact"/>
        <w:ind w:firstLine="640" w:firstLineChars="200"/>
        <w:jc w:val="left"/>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010-67857878转4</w:t>
      </w:r>
      <w:r>
        <w:rPr>
          <w:rFonts w:hint="eastAsia" w:eastAsia="仿宋_GB2312"/>
          <w:sz w:val="32"/>
          <w:szCs w:val="32"/>
        </w:rPr>
        <w:t>；</w:t>
      </w:r>
      <w:r>
        <w:rPr>
          <w:rFonts w:hint="eastAsia" w:ascii="仿宋_GB2312" w:hAnsi="仿宋_GB2312" w:eastAsia="仿宋_GB2312" w:cs="仿宋_GB2312"/>
          <w:sz w:val="32"/>
          <w:szCs w:val="32"/>
        </w:rPr>
        <w:t>010-67857687，工作日上午9:00—12:00，下午1:30—5:00。</w:t>
      </w:r>
    </w:p>
    <w:p w14:paraId="1D6C5B11">
      <w:pPr>
        <w:spacing w:line="560" w:lineRule="exact"/>
        <w:ind w:firstLine="640" w:firstLineChars="200"/>
        <w:jc w:val="left"/>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高端汽车和新能源产业</w:t>
      </w:r>
      <w:r>
        <w:rPr>
          <w:rFonts w:hint="eastAsia" w:ascii="仿宋_GB2312" w:hAnsi="仿宋_GB2312" w:eastAsia="仿宋_GB2312" w:cs="仿宋_GB2312"/>
          <w:sz w:val="32"/>
          <w:szCs w:val="32"/>
        </w:rPr>
        <w:t>局，联系电话：010-</w:t>
      </w:r>
      <w:r>
        <w:rPr>
          <w:rFonts w:hint="eastAsia" w:ascii="仿宋_GB2312" w:hAnsi="仿宋_GB2312" w:eastAsia="仿宋_GB2312" w:cs="仿宋_GB2312"/>
          <w:sz w:val="32"/>
          <w:szCs w:val="32"/>
          <w:lang w:val="en-US" w:eastAsia="zh-CN"/>
        </w:rPr>
        <w:t>83508340</w:t>
      </w:r>
      <w:r>
        <w:rPr>
          <w:rFonts w:hint="eastAsia" w:ascii="仿宋_GB2312" w:hAnsi="仿宋_GB2312" w:eastAsia="仿宋_GB2312" w:cs="仿宋_GB2312"/>
          <w:sz w:val="32"/>
          <w:szCs w:val="32"/>
        </w:rPr>
        <w:t>，工作日上午9:00—12:00，下午2:00—6:00。</w:t>
      </w:r>
    </w:p>
    <w:p w14:paraId="1DFF3A58">
      <w:pPr>
        <w:spacing w:line="560" w:lineRule="exact"/>
        <w:ind w:firstLine="640" w:firstLineChars="200"/>
        <w:jc w:val="left"/>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538C53DF">
      <w:pPr>
        <w:spacing w:line="560" w:lineRule="exact"/>
        <w:ind w:firstLine="640" w:firstLineChars="200"/>
        <w:jc w:val="left"/>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3552F0D2">
      <w:pPr>
        <w:spacing w:line="560" w:lineRule="exact"/>
        <w:ind w:firstLine="640" w:firstLineChars="200"/>
        <w:jc w:val="left"/>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51D7A73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6B3459D7">
      <w:pPr>
        <w:spacing w:line="560"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十二、特别说明</w:t>
      </w:r>
    </w:p>
    <w:p w14:paraId="7B8FD07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2098" w:right="141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1775D"/>
    <w:multiLevelType w:val="singleLevel"/>
    <w:tmpl w:val="1571775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2E01C47"/>
    <w:rsid w:val="03056B13"/>
    <w:rsid w:val="0307662E"/>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41182"/>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1036E9"/>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CB40A6"/>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D435FF"/>
    <w:rsid w:val="1E3278A5"/>
    <w:rsid w:val="1E447CA3"/>
    <w:rsid w:val="1E4E6D04"/>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1FB70E8"/>
    <w:rsid w:val="220962A9"/>
    <w:rsid w:val="220D1947"/>
    <w:rsid w:val="22C97BF8"/>
    <w:rsid w:val="22F6591B"/>
    <w:rsid w:val="23117B7A"/>
    <w:rsid w:val="231A5872"/>
    <w:rsid w:val="23403409"/>
    <w:rsid w:val="235F00AC"/>
    <w:rsid w:val="23654BF1"/>
    <w:rsid w:val="23E34E21"/>
    <w:rsid w:val="24483989"/>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05ECB"/>
    <w:rsid w:val="281D6715"/>
    <w:rsid w:val="286873FE"/>
    <w:rsid w:val="2874680A"/>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824DA7"/>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654F82"/>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5D63D8"/>
    <w:rsid w:val="3ED12338"/>
    <w:rsid w:val="3EE438FE"/>
    <w:rsid w:val="3EF468CE"/>
    <w:rsid w:val="3F087986"/>
    <w:rsid w:val="3F2328C1"/>
    <w:rsid w:val="3F31781F"/>
    <w:rsid w:val="3F346049"/>
    <w:rsid w:val="3F3D4664"/>
    <w:rsid w:val="3F573D94"/>
    <w:rsid w:val="3F580B78"/>
    <w:rsid w:val="3FBC30E1"/>
    <w:rsid w:val="3FD009E6"/>
    <w:rsid w:val="3FD3067D"/>
    <w:rsid w:val="3FD4707F"/>
    <w:rsid w:val="3FFD57FE"/>
    <w:rsid w:val="40945F74"/>
    <w:rsid w:val="409D6C96"/>
    <w:rsid w:val="40A50B34"/>
    <w:rsid w:val="40AA4FE5"/>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1707F1"/>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814C06"/>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0E07D0"/>
    <w:rsid w:val="57513E95"/>
    <w:rsid w:val="575E2A63"/>
    <w:rsid w:val="57672FF6"/>
    <w:rsid w:val="576C2AED"/>
    <w:rsid w:val="578A3D39"/>
    <w:rsid w:val="579A20B9"/>
    <w:rsid w:val="57BB7327"/>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471EF"/>
    <w:rsid w:val="717F152D"/>
    <w:rsid w:val="717F3BEC"/>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4F75EE"/>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EF0DE2"/>
    <w:rsid w:val="7DFC4CA2"/>
    <w:rsid w:val="7E137B54"/>
    <w:rsid w:val="7E4E0E62"/>
    <w:rsid w:val="7E503B32"/>
    <w:rsid w:val="7E6B7B24"/>
    <w:rsid w:val="7E757D8F"/>
    <w:rsid w:val="7E782A8A"/>
    <w:rsid w:val="7EFFFA7B"/>
    <w:rsid w:val="7F48007B"/>
    <w:rsid w:val="7FC14E2C"/>
    <w:rsid w:val="7FDE0DA8"/>
    <w:rsid w:val="7FFB8B28"/>
    <w:rsid w:val="9F6F6015"/>
    <w:rsid w:val="C7DB93C8"/>
    <w:rsid w:val="D77FB85B"/>
    <w:rsid w:val="DD7E7DC7"/>
    <w:rsid w:val="DEF5E07B"/>
    <w:rsid w:val="EFEEB9E2"/>
    <w:rsid w:val="F4EF9BD6"/>
    <w:rsid w:val="F5DBA8FA"/>
    <w:rsid w:val="F7EDADA4"/>
    <w:rsid w:val="FBBA57CE"/>
    <w:rsid w:val="FE73A42E"/>
    <w:rsid w:val="FE9F16B5"/>
    <w:rsid w:val="FFF51947"/>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3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1391</Words>
  <Characters>1566</Characters>
  <Lines>11</Lines>
  <Paragraphs>3</Paragraphs>
  <TotalTime>0</TotalTime>
  <ScaleCrop>false</ScaleCrop>
  <LinksUpToDate>false</LinksUpToDate>
  <CharactersWithSpaces>1566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2019-08-14T22:54:00Z</dcterms:created>
  <dc:creator>zkk</dc:creator>
  <cp:lastModifiedBy>张九峰</cp:lastModifiedBy>
  <cp:lastPrinted>2026-03-24T10:51:00Z</cp:lastPrinted>
  <dcterms:modified xsi:type="dcterms:W3CDTF">2026-03-25T06:24:08Z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43C71AA3EA8C45C6B8DAA6FD9E3F80D7_13</vt:lpwstr>
  </property>
  <property fmtid="{D5CDD505-2E9C-101B-9397-08002B2CF9AE}" pid="4" name="KSOTemplateDocerSaveRecord">
    <vt:lpwstr>eyJoZGlkIjoiYmExMTEyMzlhM2ZkMjU2YzAyOTFjZDEwODIzNDE3Y2YiLCJ1c2VySWQiOiIzNTgxMjQ0NTQifQ==</vt:lpwstr>
  </property>
</Properties>
</file>