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B5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华文中宋" w:eastAsia="方正小标宋简体" w:cs="Times New Roman"/>
          <w:kern w:val="2"/>
          <w:sz w:val="44"/>
          <w:szCs w:val="44"/>
          <w:highlight w:val="none"/>
          <w:lang w:bidi="ar-SA"/>
        </w:rPr>
      </w:pPr>
      <w:bookmarkStart w:id="6" w:name="_GoBack"/>
      <w:bookmarkEnd w:id="6"/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  <w:highlight w:val="none"/>
          <w:lang w:bidi="ar-SA"/>
        </w:rPr>
        <w:t>昌平区推动数字广告产业高质量发展</w:t>
      </w:r>
    </w:p>
    <w:p w14:paraId="4C4307B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  <w:highlight w:val="none"/>
          <w:lang w:eastAsia="zh-CN" w:bidi="ar-SA"/>
        </w:rPr>
        <w:t>若干措施（征求意见稿）</w:t>
      </w:r>
    </w:p>
    <w:p w14:paraId="7A29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B3C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国家和北京市关于推动广告产业高质量发展的决策部署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加快发展新质生产力，围绕数字广告园区建设，推动数字广告业提质增效，结合本区实际，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制定本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DAD2D5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bookmarkStart w:id="0" w:name="OLE_LINK1"/>
      <w:bookmarkStart w:id="1" w:name="OLE_LINK2"/>
      <w:r>
        <w:rPr>
          <w:rFonts w:hint="eastAsia"/>
          <w:highlight w:val="none"/>
          <w:lang w:val="en-US" w:eastAsia="zh-CN"/>
        </w:rPr>
        <w:t xml:space="preserve">    </w:t>
      </w:r>
      <w:bookmarkStart w:id="2" w:name="OLE_LINK5"/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支持中小企业能级跃升。对首次成长为规模以上并纳入广告业统计范围的企业，经评估，给予最高一次性奖励30万元。</w:t>
      </w:r>
    </w:p>
    <w:bookmarkEnd w:id="0"/>
    <w:p w14:paraId="4704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支持规上企业提质扩容。对</w:t>
      </w:r>
      <w:bookmarkStart w:id="3" w:name="OLE_LINK6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纳入广告业统计范围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的企业营业收入同比增速超5%的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，依据增长规模、成长因素等进行动态评价，给予最高150万元的一次性奖励。</w:t>
      </w:r>
    </w:p>
    <w:bookmarkEnd w:id="1"/>
    <w:p w14:paraId="2BD5520F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强化数字广告企业孵化培育扶持。支持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企业、高校、行业协会等社会力量招引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孵化培育数字广告企业，对培育成效显著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，给予最高50万元资金支持。</w:t>
      </w:r>
    </w:p>
    <w:p w14:paraId="7D14D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支持技术创新与应用赋能。鼓励企业运用大数据、云计算等新技术开展技术研发、场景应用与模式创新，对经评估认定的优质项目，给予最高200万元的一次性奖励。</w:t>
      </w:r>
    </w:p>
    <w:p w14:paraId="5F27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支持原创精品创作与成果转化。对获得国际级、国家级奖项的</w:t>
      </w:r>
      <w:bookmarkStart w:id="4" w:name="OLE_LINK7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数字短片、原创IP广告、公益广告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以及应用VR、AI动画、数字人、互动影像等按照年度实际投入的最高不超过10%给予奖励，单个项目年度奖励额度最高不超过20万元、10万元，每年度进行评审；单个企业累积奖励金额不超过100万元，同一作品获得多个奖项的，按“就高不重复”原则执行。</w:t>
      </w:r>
    </w:p>
    <w:p w14:paraId="20142293"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强化知识产权创造与保护。支持企业围绕技术、创意、品牌等成果开展商标注册、版权登记、专利申请。对获得授权的单件知识产权给予奖励，年度单件最高2万元，单个企业年度奖励总额不超过20万元。</w:t>
      </w:r>
    </w:p>
    <w:p w14:paraId="6DBF6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支持重大项目落地。鼓励具有重大影响力的广告会展、赛事、论坛等活动或项目在数字广告园区落地举办，经认定，可按活动或项目运营投入，给予最高50万元的一次性资助。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 w14:paraId="1816BE2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强化金融精准支持。鼓励银行等金融机构提供信用贷款、知识产权质押融资、订单融资等专属金融服务，支持开发特色信贷产品，提升金融服务质效。</w:t>
      </w:r>
    </w:p>
    <w:p w14:paraId="7620C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加强数字广告人才引育。坚持政府引领、校企协同、产教融合，推行“企业导师+院校导师”双导师育人机制，对人才培养成效突出的企业，给予最高50万元一次性资金支持。</w:t>
      </w:r>
    </w:p>
    <w:p w14:paraId="0C4905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5" w:name="OLE_LINK4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第十条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强化全流程服务保障。建立绿色通道，为企业在申报高新技术企业、知识产权试点及公租房保障等方面提供一站式服务；强化政策宣传、业务指导和要素保障，持续优化产业发展生态。</w:t>
      </w:r>
    </w:p>
    <w:bookmarkEnd w:id="2"/>
    <w:bookmarkEnd w:id="5"/>
    <w:p w14:paraId="2FF32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第十一条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同一项目、同一事项同时符合本措施多项条款或昌平区其他扶持政策的，按照“从优不重复”原则予以支持。符合北京市市级其他扶持政策规定的，可申请同时享受市、区两级政策支持，另有规定的除外。</w:t>
      </w:r>
    </w:p>
    <w:p w14:paraId="4B87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本措施由区市场监管局负责解释，自印发之日起施行。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试行期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试行期间如遇国家及北京市相关政策变动将相应调整。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EA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E1B1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E1B1D"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238CA"/>
    <w:rsid w:val="00021C81"/>
    <w:rsid w:val="04F03D40"/>
    <w:rsid w:val="05534673"/>
    <w:rsid w:val="05E92A5B"/>
    <w:rsid w:val="08F86DF3"/>
    <w:rsid w:val="0C2B531F"/>
    <w:rsid w:val="0EFC5E7B"/>
    <w:rsid w:val="0F1D2096"/>
    <w:rsid w:val="10FA42BF"/>
    <w:rsid w:val="11724541"/>
    <w:rsid w:val="13DD1F62"/>
    <w:rsid w:val="159B1291"/>
    <w:rsid w:val="15B61791"/>
    <w:rsid w:val="16C13537"/>
    <w:rsid w:val="174E4854"/>
    <w:rsid w:val="1D7A45C6"/>
    <w:rsid w:val="1F781855"/>
    <w:rsid w:val="1FCF468C"/>
    <w:rsid w:val="24784B8B"/>
    <w:rsid w:val="2507610C"/>
    <w:rsid w:val="25D2307B"/>
    <w:rsid w:val="266F7956"/>
    <w:rsid w:val="2A211D28"/>
    <w:rsid w:val="2A6F1550"/>
    <w:rsid w:val="2C523CE1"/>
    <w:rsid w:val="2CEC37BF"/>
    <w:rsid w:val="317951D2"/>
    <w:rsid w:val="36120C43"/>
    <w:rsid w:val="38DC086A"/>
    <w:rsid w:val="3ACF5AEE"/>
    <w:rsid w:val="3B44751E"/>
    <w:rsid w:val="3BA77DEB"/>
    <w:rsid w:val="3C3B0097"/>
    <w:rsid w:val="3DB7018A"/>
    <w:rsid w:val="3DC36CA0"/>
    <w:rsid w:val="3F39DE94"/>
    <w:rsid w:val="3FDAE30C"/>
    <w:rsid w:val="3FE440E9"/>
    <w:rsid w:val="455671E0"/>
    <w:rsid w:val="465955F1"/>
    <w:rsid w:val="46C628C9"/>
    <w:rsid w:val="46C94D8A"/>
    <w:rsid w:val="485A134F"/>
    <w:rsid w:val="497330E3"/>
    <w:rsid w:val="49781E47"/>
    <w:rsid w:val="498934DE"/>
    <w:rsid w:val="49A54C9F"/>
    <w:rsid w:val="4B631C88"/>
    <w:rsid w:val="4CC502C2"/>
    <w:rsid w:val="4D2A0927"/>
    <w:rsid w:val="51BD2C7B"/>
    <w:rsid w:val="52F6497E"/>
    <w:rsid w:val="53F44803"/>
    <w:rsid w:val="55516C5E"/>
    <w:rsid w:val="56262424"/>
    <w:rsid w:val="575B791E"/>
    <w:rsid w:val="59626A4C"/>
    <w:rsid w:val="59951986"/>
    <w:rsid w:val="59C10D6C"/>
    <w:rsid w:val="59D11B53"/>
    <w:rsid w:val="5AAE5248"/>
    <w:rsid w:val="5CF13F25"/>
    <w:rsid w:val="5FB15A36"/>
    <w:rsid w:val="601D0EB7"/>
    <w:rsid w:val="612977F3"/>
    <w:rsid w:val="636238CA"/>
    <w:rsid w:val="63EA3671"/>
    <w:rsid w:val="6835106B"/>
    <w:rsid w:val="686F60BE"/>
    <w:rsid w:val="6A8A2D62"/>
    <w:rsid w:val="6BA833FF"/>
    <w:rsid w:val="6D2D379B"/>
    <w:rsid w:val="6D447ED5"/>
    <w:rsid w:val="70287DAE"/>
    <w:rsid w:val="703D4352"/>
    <w:rsid w:val="707264A4"/>
    <w:rsid w:val="72830110"/>
    <w:rsid w:val="72AF20BB"/>
    <w:rsid w:val="74494D6A"/>
    <w:rsid w:val="75124442"/>
    <w:rsid w:val="75987C06"/>
    <w:rsid w:val="76B807F9"/>
    <w:rsid w:val="7AC16B7F"/>
    <w:rsid w:val="7AF98CA4"/>
    <w:rsid w:val="7D2300E6"/>
    <w:rsid w:val="7EF82563"/>
    <w:rsid w:val="DCFF369F"/>
    <w:rsid w:val="DDFF39B1"/>
    <w:rsid w:val="F7EFEECB"/>
    <w:rsid w:val="FFB7E1F3"/>
    <w:rsid w:val="FFEE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640" w:firstLineChars="200"/>
    </w:pPr>
    <w:rPr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2026-01-29T11:22:00Z</dcterms:created>
  <dc:creator>ggk-418-wuhan</dc:creator>
  <cp:lastModifiedBy>HIGC</cp:lastModifiedBy>
  <cp:lastPrinted>2026-03-06T14:06:00Z</cp:lastPrinted>
  <dcterms:modified xsi:type="dcterms:W3CDTF">2026-03-11T16:00:18Z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05A4FC0227DEA1B31CEDA869A6343967_43</vt:lpwstr>
  </property>
</Properties>
</file>