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jc w:val="left"/>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p>
    <w:p>
      <w:pPr>
        <w:spacing w:line="560" w:lineRule="exact"/>
        <w:ind w:left="0"/>
        <w:jc w:val="center"/>
        <w:rPr>
          <w:rFonts w:ascii="方正小标宋简体" w:eastAsia="方正小标宋简体"/>
          <w:sz w:val="44"/>
          <w:szCs w:val="44"/>
        </w:rPr>
      </w:pPr>
      <w:r>
        <w:rPr>
          <w:rFonts w:ascii="方正小标宋简体" w:eastAsia="方正小标宋简体"/>
          <w:sz w:val="44"/>
          <w:szCs w:val="44"/>
        </w:rPr>
        <w:t>北京市延庆区科学技术和经济信息化局</w:t>
      </w:r>
    </w:p>
    <w:p>
      <w:pPr>
        <w:spacing w:line="560" w:lineRule="exact"/>
        <w:ind w:left="0"/>
        <w:jc w:val="center"/>
        <w:rPr>
          <w:rFonts w:ascii="方正小标宋简体" w:eastAsia="方正小标宋简体"/>
          <w:sz w:val="44"/>
          <w:szCs w:val="44"/>
        </w:rPr>
      </w:pPr>
      <w:r>
        <w:rPr>
          <w:rFonts w:ascii="方正小标宋简体" w:eastAsia="方正小标宋简体"/>
          <w:sz w:val="44"/>
          <w:szCs w:val="44"/>
        </w:rPr>
        <w:t>（中关村科技园区延庆园管理委员会）</w:t>
      </w:r>
    </w:p>
    <w:p>
      <w:pPr>
        <w:spacing w:line="560" w:lineRule="exact"/>
        <w:ind w:left="0"/>
        <w:jc w:val="center"/>
        <w:rPr>
          <w:rFonts w:ascii="方正小标宋简体" w:eastAsia="方正小标宋简体"/>
          <w:sz w:val="44"/>
          <w:szCs w:val="44"/>
        </w:rPr>
      </w:pPr>
      <w:r>
        <w:rPr>
          <w:rFonts w:hint="eastAsia" w:ascii="方正小标宋简体" w:eastAsia="方正小标宋简体"/>
          <w:sz w:val="44"/>
          <w:szCs w:val="44"/>
          <w:lang w:eastAsia="zh-CN"/>
        </w:rPr>
        <w:t>延庆区</w:t>
      </w:r>
      <w:r>
        <w:rPr>
          <w:rFonts w:hint="eastAsia" w:ascii="方正小标宋简体" w:eastAsia="方正小标宋简体"/>
          <w:sz w:val="44"/>
          <w:szCs w:val="44"/>
        </w:rPr>
        <w:t>以拨投联动模式支持科技成果</w:t>
      </w:r>
    </w:p>
    <w:p>
      <w:pPr>
        <w:spacing w:line="560" w:lineRule="exact"/>
        <w:ind w:left="0"/>
        <w:jc w:val="center"/>
        <w:rPr>
          <w:rFonts w:ascii="方正小标宋简体" w:eastAsia="方正小标宋简体"/>
          <w:sz w:val="44"/>
          <w:szCs w:val="44"/>
        </w:rPr>
      </w:pPr>
      <w:r>
        <w:rPr>
          <w:rFonts w:hint="eastAsia" w:ascii="方正小标宋简体" w:eastAsia="方正小标宋简体"/>
          <w:sz w:val="44"/>
          <w:szCs w:val="44"/>
        </w:rPr>
        <w:t>转化实施方案（试行）</w:t>
      </w:r>
    </w:p>
    <w:p>
      <w:pPr>
        <w:spacing w:line="560" w:lineRule="exact"/>
        <w:ind w:left="0"/>
        <w:jc w:val="center"/>
        <w:rPr>
          <w:rFonts w:hint="eastAsia" w:ascii="楷体_GB2312" w:eastAsia="楷体_GB2312"/>
        </w:rPr>
      </w:pPr>
      <w:r>
        <w:rPr>
          <w:rFonts w:hint="eastAsia" w:ascii="楷体_GB2312" w:eastAsia="楷体_GB2312"/>
        </w:rPr>
        <w:t>（征求意见稿）</w:t>
      </w:r>
    </w:p>
    <w:p>
      <w:pPr>
        <w:spacing w:line="560" w:lineRule="exact"/>
        <w:ind w:firstLine="632" w:firstLineChars="200"/>
      </w:pPr>
    </w:p>
    <w:p>
      <w:pPr>
        <w:spacing w:line="560" w:lineRule="exact"/>
        <w:ind w:firstLine="632" w:firstLineChars="200"/>
        <w:rPr>
          <w:rFonts w:hint="eastAsia" w:ascii="仿宋_GB2312"/>
        </w:rPr>
      </w:pPr>
      <w:r>
        <w:rPr>
          <w:rFonts w:hint="eastAsia" w:ascii="仿宋_GB2312"/>
        </w:rPr>
        <w:t>为落实《北京市推进科技成果转化落地行动方案（2025-2027年）》，创新财政资金支持方式，通过“拨投联动”破解科技成果转化难题，推动创新链、产业链、资金链、人才链深度融合，培育园区</w:t>
      </w:r>
      <w:r>
        <w:rPr>
          <w:rFonts w:ascii="仿宋_GB2312"/>
        </w:rPr>
        <w:t>低空技术、绿色能源、科技体育、医药健康</w:t>
      </w:r>
      <w:r>
        <w:rPr>
          <w:rFonts w:hint="eastAsia" w:ascii="仿宋_GB2312"/>
        </w:rPr>
        <w:t>等</w:t>
      </w:r>
      <w:r>
        <w:rPr>
          <w:rFonts w:ascii="仿宋_GB2312"/>
        </w:rPr>
        <w:t>科创</w:t>
      </w:r>
      <w:r>
        <w:rPr>
          <w:rFonts w:hint="eastAsia" w:ascii="仿宋_GB2312"/>
        </w:rPr>
        <w:t>产业新质生产力，</w:t>
      </w:r>
      <w:r>
        <w:rPr>
          <w:rFonts w:ascii="仿宋_GB2312"/>
        </w:rPr>
        <w:t>特</w:t>
      </w:r>
      <w:r>
        <w:rPr>
          <w:rFonts w:hint="eastAsia" w:ascii="仿宋_GB2312"/>
        </w:rPr>
        <w:t>制定本方案。</w:t>
      </w:r>
    </w:p>
    <w:p>
      <w:pPr>
        <w:spacing w:line="560" w:lineRule="exact"/>
        <w:ind w:firstLine="632" w:firstLineChars="200"/>
        <w:rPr>
          <w:rFonts w:hint="eastAsia" w:ascii="黑体" w:eastAsia="黑体"/>
        </w:rPr>
      </w:pPr>
      <w:r>
        <w:rPr>
          <w:rFonts w:hint="eastAsia" w:ascii="黑体" w:eastAsia="黑体"/>
        </w:rPr>
        <w:t>一、工作</w:t>
      </w:r>
      <w:r>
        <w:rPr>
          <w:rFonts w:ascii="黑体" w:eastAsia="黑体"/>
        </w:rPr>
        <w:t>要求</w:t>
      </w:r>
    </w:p>
    <w:p>
      <w:pPr>
        <w:spacing w:line="560" w:lineRule="exact"/>
        <w:ind w:firstLine="632" w:firstLineChars="200"/>
        <w:rPr>
          <w:rFonts w:hint="eastAsia" w:ascii="仿宋_GB2312"/>
        </w:rPr>
      </w:pPr>
      <w:r>
        <w:rPr>
          <w:rFonts w:hint="eastAsia" w:ascii="仿宋_GB2312"/>
        </w:rPr>
        <w:t>1.</w:t>
      </w:r>
      <w:r>
        <w:rPr>
          <w:rFonts w:ascii="仿宋_GB2312"/>
        </w:rPr>
        <w:t>坚持</w:t>
      </w:r>
      <w:r>
        <w:rPr>
          <w:rFonts w:hint="eastAsia" w:ascii="仿宋_GB2312"/>
        </w:rPr>
        <w:t>问题导向</w:t>
      </w:r>
      <w:r>
        <w:rPr>
          <w:rFonts w:ascii="仿宋_GB2312"/>
        </w:rPr>
        <w:t>。</w:t>
      </w:r>
      <w:r>
        <w:rPr>
          <w:rFonts w:hint="eastAsia" w:ascii="仿宋_GB2312"/>
        </w:rPr>
        <w:t>聚焦科技成果孵化难、初创企业融资难等痛点，补位耐心资本供给不足，为科技成果从“1到10”转化保驾护航。</w:t>
      </w:r>
    </w:p>
    <w:p>
      <w:pPr>
        <w:spacing w:line="560" w:lineRule="exact"/>
        <w:ind w:firstLine="632" w:firstLineChars="200"/>
        <w:rPr>
          <w:rFonts w:hint="eastAsia" w:ascii="仿宋_GB2312"/>
        </w:rPr>
      </w:pPr>
      <w:r>
        <w:rPr>
          <w:rFonts w:hint="eastAsia" w:ascii="仿宋_GB2312"/>
        </w:rPr>
        <w:t>2.</w:t>
      </w:r>
      <w:r>
        <w:rPr>
          <w:rFonts w:ascii="仿宋_GB2312"/>
        </w:rPr>
        <w:t>坚持</w:t>
      </w:r>
      <w:r>
        <w:rPr>
          <w:rFonts w:hint="eastAsia" w:ascii="仿宋_GB2312"/>
        </w:rPr>
        <w:t>产业</w:t>
      </w:r>
      <w:r>
        <w:rPr>
          <w:rFonts w:ascii="仿宋_GB2312"/>
        </w:rPr>
        <w:t>定位。</w:t>
      </w:r>
      <w:r>
        <w:rPr>
          <w:rFonts w:hint="eastAsia" w:ascii="仿宋_GB2312"/>
        </w:rPr>
        <w:t>紧扣</w:t>
      </w:r>
      <w:r>
        <w:rPr>
          <w:rFonts w:hint="eastAsia" w:ascii="仿宋_GB2312"/>
          <w:lang w:eastAsia="zh-CN"/>
        </w:rPr>
        <w:t>全区及中关村延庆园</w:t>
      </w:r>
      <w:r>
        <w:rPr>
          <w:rFonts w:hint="eastAsia" w:ascii="仿宋_GB2312"/>
        </w:rPr>
        <w:t>产业规划，重点支持符合</w:t>
      </w:r>
      <w:r>
        <w:rPr>
          <w:rFonts w:ascii="仿宋_GB2312"/>
        </w:rPr>
        <w:t>低空技术、绿色能源、科技体育、医药健康</w:t>
      </w:r>
      <w:r>
        <w:rPr>
          <w:rFonts w:hint="eastAsia" w:ascii="仿宋_GB2312"/>
        </w:rPr>
        <w:t>等领域的优质项目，确保资金向核心产业和高潜力项目集中。</w:t>
      </w:r>
    </w:p>
    <w:p>
      <w:pPr>
        <w:spacing w:line="560" w:lineRule="exact"/>
        <w:ind w:firstLine="632" w:firstLineChars="200"/>
        <w:rPr>
          <w:rFonts w:hint="eastAsia" w:ascii="仿宋_GB2312"/>
        </w:rPr>
      </w:pPr>
      <w:r>
        <w:rPr>
          <w:rFonts w:hint="eastAsia" w:ascii="仿宋_GB2312"/>
        </w:rPr>
        <w:t>3.</w:t>
      </w:r>
      <w:r>
        <w:rPr>
          <w:rFonts w:ascii="仿宋_GB2312"/>
        </w:rPr>
        <w:t>坚持</w:t>
      </w:r>
      <w:r>
        <w:rPr>
          <w:rFonts w:hint="eastAsia" w:ascii="仿宋_GB2312"/>
        </w:rPr>
        <w:t>改革创新</w:t>
      </w:r>
      <w:r>
        <w:rPr>
          <w:rFonts w:ascii="仿宋_GB2312"/>
        </w:rPr>
        <w:t>。</w:t>
      </w:r>
      <w:r>
        <w:rPr>
          <w:rFonts w:hint="eastAsia" w:ascii="仿宋_GB2312"/>
        </w:rPr>
        <w:t>突破传统财政补贴模式，构建“科研经费+创新资本”联动支持体系，赋予项目团队更大经费使用自主权，提升资金使用效能。</w:t>
      </w:r>
    </w:p>
    <w:p>
      <w:pPr>
        <w:spacing w:line="560" w:lineRule="exact"/>
        <w:ind w:firstLine="632" w:firstLineChars="200"/>
        <w:rPr>
          <w:rFonts w:hint="eastAsia" w:ascii="仿宋_GB2312"/>
        </w:rPr>
      </w:pPr>
      <w:r>
        <w:rPr>
          <w:rFonts w:hint="eastAsia" w:ascii="仿宋_GB2312"/>
        </w:rPr>
        <w:t>4.</w:t>
      </w:r>
      <w:r>
        <w:rPr>
          <w:rFonts w:ascii="仿宋_GB2312"/>
        </w:rPr>
        <w:t>坚持</w:t>
      </w:r>
      <w:r>
        <w:rPr>
          <w:rFonts w:hint="eastAsia" w:ascii="仿宋_GB2312"/>
        </w:rPr>
        <w:t>循环高效</w:t>
      </w:r>
      <w:r>
        <w:rPr>
          <w:rFonts w:ascii="仿宋_GB2312"/>
        </w:rPr>
        <w:t>。</w:t>
      </w:r>
      <w:r>
        <w:rPr>
          <w:rFonts w:hint="eastAsia" w:ascii="仿宋_GB2312"/>
        </w:rPr>
        <w:t>坚持“适当收益”原则，实现财政资金投入、退出、循环的闭环管理，最大化发挥财政资金杠杆效应。</w:t>
      </w:r>
    </w:p>
    <w:p>
      <w:pPr>
        <w:spacing w:line="560" w:lineRule="exact"/>
        <w:ind w:firstLine="632" w:firstLineChars="200"/>
        <w:rPr>
          <w:rFonts w:hint="eastAsia" w:ascii="黑体" w:eastAsia="黑体"/>
        </w:rPr>
      </w:pPr>
      <w:r>
        <w:rPr>
          <w:rFonts w:hint="eastAsia" w:ascii="黑体" w:eastAsia="黑体"/>
        </w:rPr>
        <w:t>二、概念释义</w:t>
      </w:r>
    </w:p>
    <w:p>
      <w:pPr>
        <w:spacing w:line="560" w:lineRule="exact"/>
        <w:ind w:firstLine="632" w:firstLineChars="200"/>
        <w:rPr>
          <w:rFonts w:hint="eastAsia" w:ascii="仿宋_GB2312"/>
        </w:rPr>
      </w:pPr>
      <w:r>
        <w:rPr>
          <w:rFonts w:hint="eastAsia" w:ascii="仿宋_GB2312"/>
        </w:rPr>
        <w:t>“拨投联动”即先期通过科技项目立项，以财政补助的方式拨付资金，并约定验收通过或条件触发后转换为股权，股权由国有企业代持，后期根据所占股份按照“适当收益”原则逐步退出，形成财政资金循环运行的长效机制。其中，先期拨付的财政补助资金为无息支持，转股前不计利息。</w:t>
      </w:r>
    </w:p>
    <w:p>
      <w:pPr>
        <w:spacing w:line="560" w:lineRule="exact"/>
        <w:ind w:firstLine="632" w:firstLineChars="200"/>
        <w:rPr>
          <w:rFonts w:hint="eastAsia" w:ascii="黑体" w:eastAsia="黑体"/>
        </w:rPr>
      </w:pPr>
      <w:r>
        <w:rPr>
          <w:rFonts w:hint="eastAsia" w:ascii="黑体" w:eastAsia="黑体"/>
        </w:rPr>
        <w:t>三、支持范围与条件</w:t>
      </w:r>
    </w:p>
    <w:p>
      <w:pPr>
        <w:spacing w:line="560" w:lineRule="exact"/>
        <w:ind w:firstLine="632" w:firstLineChars="200"/>
        <w:rPr>
          <w:rFonts w:hint="eastAsia" w:ascii="楷体_GB2312" w:eastAsia="楷体_GB2312"/>
        </w:rPr>
      </w:pPr>
      <w:r>
        <w:rPr>
          <w:rFonts w:hint="eastAsia" w:ascii="楷体_GB2312" w:eastAsia="楷体_GB2312"/>
        </w:rPr>
        <w:t>（一）支持范围</w:t>
      </w:r>
    </w:p>
    <w:p>
      <w:pPr>
        <w:spacing w:line="560" w:lineRule="exact"/>
        <w:ind w:firstLine="632" w:firstLineChars="200"/>
        <w:rPr>
          <w:rFonts w:hint="eastAsia" w:ascii="仿宋_GB2312"/>
        </w:rPr>
      </w:pPr>
      <w:r>
        <w:rPr>
          <w:rFonts w:hint="eastAsia" w:ascii="仿宋_GB2312"/>
        </w:rPr>
        <w:t>通过高校院所及医疗卫生机构等研发单位在</w:t>
      </w:r>
      <w:r>
        <w:rPr>
          <w:rFonts w:hint="eastAsia" w:ascii="仿宋_GB2312"/>
          <w:lang w:eastAsia="zh-CN"/>
        </w:rPr>
        <w:t>延庆区</w:t>
      </w:r>
      <w:r>
        <w:rPr>
          <w:rFonts w:hint="eastAsia" w:ascii="仿宋_GB2312"/>
        </w:rPr>
        <w:t>开展</w:t>
      </w:r>
      <w:r>
        <w:rPr>
          <w:rFonts w:ascii="仿宋_GB2312"/>
        </w:rPr>
        <w:t>低空技术、绿色能源、科技体育、医药健康</w:t>
      </w:r>
      <w:r>
        <w:rPr>
          <w:rFonts w:hint="eastAsia" w:ascii="仿宋_GB2312"/>
        </w:rPr>
        <w:t>等</w:t>
      </w:r>
      <w:r>
        <w:rPr>
          <w:rFonts w:ascii="仿宋_GB2312"/>
        </w:rPr>
        <w:t>科创</w:t>
      </w:r>
      <w:r>
        <w:rPr>
          <w:rFonts w:hint="eastAsia" w:ascii="仿宋_GB2312"/>
        </w:rPr>
        <w:t>产业领域的科技成果转化新设科技型企业。</w:t>
      </w:r>
    </w:p>
    <w:p>
      <w:pPr>
        <w:spacing w:line="560" w:lineRule="exact"/>
        <w:ind w:firstLine="632" w:firstLineChars="200"/>
        <w:rPr>
          <w:rFonts w:hint="eastAsia" w:ascii="楷体_GB2312" w:eastAsia="楷体_GB2312"/>
        </w:rPr>
      </w:pPr>
      <w:r>
        <w:rPr>
          <w:rFonts w:hint="eastAsia" w:ascii="楷体_GB2312" w:eastAsia="楷体_GB2312"/>
        </w:rPr>
        <w:t>（二）支持条件</w:t>
      </w:r>
    </w:p>
    <w:p>
      <w:pPr>
        <w:spacing w:line="560" w:lineRule="exact"/>
        <w:ind w:firstLine="632" w:firstLineChars="200"/>
        <w:rPr>
          <w:rFonts w:hint="eastAsia" w:ascii="仿宋_GB2312"/>
        </w:rPr>
      </w:pPr>
      <w:r>
        <w:rPr>
          <w:rFonts w:hint="eastAsia" w:ascii="仿宋_GB2312"/>
        </w:rPr>
        <w:t>1.项目主体为具有独立法人资格的企业，注册于</w:t>
      </w:r>
      <w:r>
        <w:rPr>
          <w:rFonts w:hint="eastAsia" w:ascii="仿宋_GB2312"/>
          <w:lang w:eastAsia="zh-CN"/>
        </w:rPr>
        <w:t>延庆区</w:t>
      </w:r>
      <w:r>
        <w:rPr>
          <w:rFonts w:ascii="仿宋_GB2312"/>
        </w:rPr>
        <w:t>范围内</w:t>
      </w:r>
      <w:r>
        <w:rPr>
          <w:rFonts w:hint="eastAsia" w:ascii="仿宋_GB2312"/>
          <w:lang w:eastAsia="zh-CN"/>
        </w:rPr>
        <w:t>并</w:t>
      </w:r>
      <w:r>
        <w:rPr>
          <w:rFonts w:ascii="仿宋_GB2312"/>
        </w:rPr>
        <w:t>实体经营，</w:t>
      </w:r>
      <w:r>
        <w:rPr>
          <w:rFonts w:hint="eastAsia" w:ascii="仿宋_GB2312"/>
        </w:rPr>
        <w:t>治理结构健全，财务管理制度规范，原则上注册时间不超过2年；核心技术重大突破或团队资源突出的企业，可放宽至3年。</w:t>
      </w:r>
    </w:p>
    <w:p>
      <w:pPr>
        <w:spacing w:line="560" w:lineRule="exact"/>
        <w:ind w:firstLine="632" w:firstLineChars="200"/>
        <w:rPr>
          <w:rFonts w:hint="eastAsia" w:ascii="仿宋_GB2312"/>
        </w:rPr>
      </w:pPr>
      <w:r>
        <w:rPr>
          <w:rFonts w:hint="eastAsia" w:ascii="仿宋_GB2312"/>
        </w:rPr>
        <w:t>2.项目与延庆区生态涵养区定位相契合，优先支持参与</w:t>
      </w:r>
      <w:r>
        <w:rPr>
          <w:rFonts w:hint="eastAsia" w:ascii="仿宋_GB2312"/>
          <w:lang w:eastAsia="zh-CN"/>
        </w:rPr>
        <w:t>中关村延庆园</w:t>
      </w:r>
      <w:r>
        <w:rPr>
          <w:rFonts w:hint="eastAsia" w:ascii="仿宋_GB2312"/>
        </w:rPr>
        <w:t>产业链配套的项目，企业主营业务与所转化成果应用方向一致。</w:t>
      </w:r>
    </w:p>
    <w:p>
      <w:pPr>
        <w:spacing w:line="560" w:lineRule="exact"/>
        <w:ind w:firstLine="632" w:firstLineChars="200"/>
        <w:rPr>
          <w:rFonts w:hint="eastAsia" w:ascii="仿宋_GB2312"/>
        </w:rPr>
      </w:pPr>
      <w:r>
        <w:rPr>
          <w:rFonts w:hint="eastAsia" w:ascii="仿宋_GB2312"/>
        </w:rPr>
        <w:t>3.项目拥有核心技术和自主知识产权，产业化前景清晰，优先支持经过概念验证或中试阶段的项目。</w:t>
      </w:r>
    </w:p>
    <w:p>
      <w:pPr>
        <w:spacing w:line="560" w:lineRule="exact"/>
        <w:ind w:firstLine="632" w:firstLineChars="200"/>
        <w:rPr>
          <w:rFonts w:hint="eastAsia" w:ascii="仿宋_GB2312"/>
        </w:rPr>
      </w:pPr>
      <w:r>
        <w:rPr>
          <w:rFonts w:hint="eastAsia" w:ascii="仿宋_GB2312"/>
        </w:rPr>
        <w:t>4.项目团队核心成员需合计持股比例不低于30%</w:t>
      </w:r>
      <w:r>
        <w:rPr>
          <w:rFonts w:ascii="仿宋_GB2312"/>
        </w:rPr>
        <w:t>，</w:t>
      </w:r>
      <w:r>
        <w:rPr>
          <w:rFonts w:hint="eastAsia" w:ascii="仿宋_GB2312"/>
          <w:lang w:eastAsia="zh-CN"/>
        </w:rPr>
        <w:t>全区</w:t>
      </w:r>
      <w:r>
        <w:rPr>
          <w:rFonts w:hint="eastAsia" w:ascii="仿宋_GB2312"/>
        </w:rPr>
        <w:t>平台</w:t>
      </w:r>
      <w:r>
        <w:rPr>
          <w:rFonts w:hint="eastAsia" w:ascii="仿宋_GB2312"/>
          <w:lang w:eastAsia="zh-CN"/>
        </w:rPr>
        <w:t>企业</w:t>
      </w:r>
      <w:r>
        <w:rPr>
          <w:rFonts w:hint="eastAsia" w:ascii="仿宋_GB2312"/>
        </w:rPr>
        <w:t>或相关成果转化公司可按约定参股。</w:t>
      </w:r>
    </w:p>
    <w:p>
      <w:pPr>
        <w:spacing w:line="560" w:lineRule="exact"/>
        <w:ind w:firstLine="632" w:firstLineChars="200"/>
        <w:rPr>
          <w:rFonts w:hint="eastAsia" w:ascii="仿宋_GB2312"/>
        </w:rPr>
      </w:pPr>
      <w:r>
        <w:rPr>
          <w:rFonts w:hint="eastAsia" w:ascii="仿宋_GB2312"/>
        </w:rPr>
        <w:t>5.项目符合国家及北京市产业政策、环保要求，无违法违规经营记录。</w:t>
      </w:r>
    </w:p>
    <w:p>
      <w:pPr>
        <w:spacing w:line="560" w:lineRule="exact"/>
        <w:ind w:firstLine="632" w:firstLineChars="200"/>
        <w:rPr>
          <w:rFonts w:hint="eastAsia" w:ascii="黑体" w:eastAsia="黑体"/>
        </w:rPr>
      </w:pPr>
      <w:r>
        <w:rPr>
          <w:rFonts w:hint="eastAsia" w:ascii="黑体" w:eastAsia="黑体"/>
        </w:rPr>
        <w:t>四、支持方式与标准</w:t>
      </w:r>
    </w:p>
    <w:p>
      <w:pPr>
        <w:spacing w:line="560" w:lineRule="exact"/>
        <w:ind w:firstLine="632" w:firstLineChars="200"/>
        <w:rPr>
          <w:rFonts w:hint="eastAsia" w:ascii="楷体_GB2312" w:eastAsia="楷体_GB2312"/>
        </w:rPr>
      </w:pPr>
      <w:r>
        <w:rPr>
          <w:rFonts w:hint="eastAsia" w:ascii="楷体_GB2312" w:eastAsia="楷体_GB2312"/>
        </w:rPr>
        <w:t>（一）资金来源</w:t>
      </w:r>
    </w:p>
    <w:p>
      <w:pPr>
        <w:keepNext w:val="0"/>
        <w:keepLines w:val="0"/>
        <w:pageBreakBefore w:val="0"/>
        <w:widowControl w:val="0"/>
        <w:suppressAutoHyphens/>
        <w:kinsoku/>
        <w:wordWrap/>
        <w:overflowPunct/>
        <w:topLinePunct w:val="0"/>
        <w:autoSpaceDE/>
        <w:autoSpaceDN/>
        <w:adjustRightInd/>
        <w:snapToGrid/>
        <w:spacing w:line="500" w:lineRule="exact"/>
        <w:ind w:firstLine="632" w:firstLineChars="200"/>
        <w:rPr>
          <w:rFonts w:hint="eastAsia" w:ascii="仿宋_GB2312" w:cs="CESI仿宋-GB2312"/>
        </w:rPr>
      </w:pPr>
      <w:r>
        <w:rPr>
          <w:rFonts w:hint="eastAsia" w:ascii="仿宋_GB2312"/>
          <w:lang w:eastAsia="zh-CN"/>
        </w:rPr>
        <w:t>设立专项</w:t>
      </w:r>
      <w:r>
        <w:rPr>
          <w:rFonts w:hint="eastAsia" w:ascii="仿宋_GB2312"/>
        </w:rPr>
        <w:t>资金，用于“拨投联动”项目支持。</w:t>
      </w:r>
      <w:r>
        <w:rPr>
          <w:rFonts w:hint="eastAsia" w:ascii="仿宋_GB2312" w:cs="CESI仿宋-GB2312"/>
          <w:lang w:eastAsia="zh-CN"/>
        </w:rPr>
        <w:t>项目</w:t>
      </w:r>
      <w:r>
        <w:rPr>
          <w:rFonts w:hint="eastAsia" w:ascii="仿宋_GB2312" w:cs="CESI仿宋-GB2312"/>
        </w:rPr>
        <w:t>实施过程中的专家评审、专项审计、尽职调查</w:t>
      </w:r>
      <w:r>
        <w:rPr>
          <w:rFonts w:ascii="仿宋_GB2312" w:cs="CESI仿宋-GB2312"/>
        </w:rPr>
        <w:t>、市值评估</w:t>
      </w:r>
      <w:r>
        <w:rPr>
          <w:rFonts w:hint="eastAsia" w:ascii="仿宋_GB2312" w:cs="CESI仿宋-GB2312"/>
        </w:rPr>
        <w:t>等相关费用，从</w:t>
      </w:r>
      <w:r>
        <w:rPr>
          <w:rFonts w:hint="eastAsia" w:ascii="仿宋_GB2312"/>
        </w:rPr>
        <w:t>“拨投联动”</w:t>
      </w:r>
      <w:r>
        <w:rPr>
          <w:rFonts w:hint="eastAsia" w:ascii="仿宋_GB2312"/>
          <w:lang w:eastAsia="zh-CN"/>
        </w:rPr>
        <w:t>专项</w:t>
      </w:r>
      <w:r>
        <w:rPr>
          <w:rFonts w:hint="eastAsia" w:ascii="仿宋_GB2312" w:cs="CESI仿宋-GB2312"/>
        </w:rPr>
        <w:t>资金中据实列支。</w:t>
      </w:r>
    </w:p>
    <w:p>
      <w:pPr>
        <w:spacing w:line="560" w:lineRule="exact"/>
        <w:ind w:firstLine="632" w:firstLineChars="200"/>
        <w:rPr>
          <w:rFonts w:ascii="楷体_GB2312" w:eastAsia="楷体_GB2312"/>
        </w:rPr>
      </w:pPr>
      <w:r>
        <w:rPr>
          <w:rFonts w:ascii="楷体_GB2312" w:eastAsia="楷体_GB2312"/>
        </w:rPr>
        <w:t>（二）支持方式</w:t>
      </w:r>
    </w:p>
    <w:p>
      <w:pPr>
        <w:spacing w:line="560" w:lineRule="exact"/>
        <w:ind w:firstLine="632" w:firstLineChars="200"/>
        <w:rPr>
          <w:rFonts w:ascii="仿宋_GB2312" w:eastAsia="仿宋_GB2312" w:cs="仿宋_GB2312"/>
          <w:color w:val="000000"/>
          <w:sz w:val="32"/>
          <w:szCs w:val="40"/>
          <w:lang w:val="en-US" w:eastAsia="zh-CN"/>
        </w:rPr>
      </w:pPr>
      <w:r>
        <w:rPr>
          <w:rFonts w:hint="eastAsia" w:ascii="仿宋_GB2312" w:eastAsia="仿宋_GB2312" w:cs="仿宋_GB2312"/>
          <w:color w:val="000000"/>
          <w:sz w:val="32"/>
          <w:szCs w:val="40"/>
          <w:lang w:val="en-US" w:eastAsia="zh-CN"/>
        </w:rPr>
        <w:t>通过</w:t>
      </w:r>
      <w:r>
        <w:rPr>
          <w:rFonts w:ascii="仿宋_GB2312" w:eastAsia="仿宋_GB2312" w:cs="仿宋_GB2312"/>
          <w:color w:val="000000"/>
          <w:sz w:val="32"/>
          <w:szCs w:val="40"/>
        </w:rPr>
        <w:t>科技</w:t>
      </w:r>
      <w:r>
        <w:rPr>
          <w:rFonts w:hint="eastAsia" w:ascii="仿宋_GB2312" w:eastAsia="仿宋_GB2312" w:cs="仿宋_GB2312"/>
          <w:color w:val="000000"/>
          <w:sz w:val="32"/>
          <w:szCs w:val="40"/>
        </w:rPr>
        <w:t>项目立项方式</w:t>
      </w:r>
      <w:r>
        <w:rPr>
          <w:rFonts w:hint="eastAsia" w:ascii="仿宋_GB2312" w:eastAsia="仿宋_GB2312" w:cs="仿宋_GB2312"/>
          <w:color w:val="000000"/>
          <w:sz w:val="32"/>
          <w:szCs w:val="40"/>
          <w:lang w:eastAsia="zh-CN"/>
        </w:rPr>
        <w:t>，</w:t>
      </w:r>
      <w:r>
        <w:rPr>
          <w:rFonts w:hint="eastAsia" w:ascii="仿宋_GB2312" w:eastAsia="仿宋_GB2312" w:cs="仿宋_GB2312"/>
          <w:color w:val="000000"/>
          <w:sz w:val="32"/>
          <w:szCs w:val="40"/>
        </w:rPr>
        <w:t>支持</w:t>
      </w:r>
      <w:r>
        <w:rPr>
          <w:rFonts w:hint="eastAsia" w:ascii="仿宋_GB2312" w:eastAsia="仿宋_GB2312" w:cs="仿宋_GB2312"/>
          <w:color w:val="000000"/>
          <w:sz w:val="32"/>
          <w:szCs w:val="40"/>
          <w:lang w:val="en-US" w:eastAsia="zh-CN"/>
        </w:rPr>
        <w:t>企业</w:t>
      </w:r>
      <w:r>
        <w:rPr>
          <w:rFonts w:hint="eastAsia" w:ascii="仿宋_GB2312" w:eastAsia="仿宋_GB2312" w:cs="仿宋_GB2312"/>
          <w:color w:val="000000"/>
          <w:sz w:val="32"/>
          <w:szCs w:val="40"/>
        </w:rPr>
        <w:t>以所转化科技成果为基础，开展应用研究、技术验证及工艺熟化</w:t>
      </w:r>
      <w:r>
        <w:rPr>
          <w:rFonts w:hint="eastAsia" w:ascii="仿宋_GB2312" w:eastAsia="仿宋_GB2312" w:cs="仿宋_GB2312"/>
          <w:color w:val="000000"/>
          <w:sz w:val="32"/>
          <w:szCs w:val="40"/>
          <w:lang w:val="en-US" w:eastAsia="zh-CN"/>
        </w:rPr>
        <w:t>等</w:t>
      </w:r>
      <w:r>
        <w:rPr>
          <w:rFonts w:hint="eastAsia" w:ascii="仿宋_GB2312" w:eastAsia="仿宋_GB2312" w:cs="仿宋_GB2312"/>
          <w:color w:val="000000"/>
          <w:sz w:val="32"/>
          <w:szCs w:val="40"/>
          <w:lang w:eastAsia="zh-CN"/>
        </w:rPr>
        <w:t>。</w:t>
      </w:r>
    </w:p>
    <w:p>
      <w:pPr>
        <w:spacing w:line="560" w:lineRule="exact"/>
        <w:ind w:firstLine="632" w:firstLineChars="200"/>
        <w:rPr>
          <w:rFonts w:hint="eastAsia" w:ascii="楷体_GB2312" w:eastAsia="楷体_GB2312"/>
        </w:rPr>
      </w:pPr>
      <w:r>
        <w:rPr>
          <w:rFonts w:hint="eastAsia" w:ascii="楷体_GB2312" w:eastAsia="楷体_GB2312"/>
        </w:rPr>
        <w:t>（</w:t>
      </w:r>
      <w:r>
        <w:rPr>
          <w:rFonts w:ascii="楷体_GB2312" w:eastAsia="楷体_GB2312"/>
        </w:rPr>
        <w:t>三</w:t>
      </w:r>
      <w:r>
        <w:rPr>
          <w:rFonts w:hint="eastAsia" w:ascii="楷体_GB2312" w:eastAsia="楷体_GB2312"/>
        </w:rPr>
        <w:t>）支持标准</w:t>
      </w:r>
    </w:p>
    <w:p>
      <w:pPr>
        <w:spacing w:line="560" w:lineRule="exact"/>
        <w:ind w:firstLine="632" w:firstLineChars="200"/>
        <w:rPr>
          <w:rFonts w:hint="eastAsia" w:ascii="仿宋_GB2312"/>
        </w:rPr>
      </w:pPr>
      <w:r>
        <w:rPr>
          <w:rFonts w:hint="eastAsia" w:ascii="仿宋_GB2312"/>
        </w:rPr>
        <w:t>1.</w:t>
      </w:r>
      <w:r>
        <w:rPr>
          <w:rFonts w:ascii="仿宋_GB2312"/>
        </w:rPr>
        <w:t>单个项目原则上按照不超过项目预算50%的比例给予支持，单个项目支持额度一般不超过500万元</w:t>
      </w:r>
      <w:r>
        <w:rPr>
          <w:rFonts w:hint="eastAsia" w:ascii="仿宋_GB2312"/>
        </w:rPr>
        <w:t>，</w:t>
      </w:r>
      <w:r>
        <w:rPr>
          <w:rFonts w:ascii="仿宋_GB2312" w:eastAsia="仿宋_GB2312" w:cs="仿宋_GB2312"/>
          <w:color w:val="000000"/>
          <w:sz w:val="32"/>
          <w:szCs w:val="40"/>
        </w:rPr>
        <w:t>项目执行期</w:t>
      </w:r>
      <w:r>
        <w:rPr>
          <w:rFonts w:hint="eastAsia" w:ascii="仿宋_GB2312" w:eastAsia="仿宋_GB2312" w:cs="仿宋_GB2312"/>
          <w:color w:val="000000"/>
          <w:sz w:val="32"/>
          <w:szCs w:val="40"/>
        </w:rPr>
        <w:t>一般不超过2年</w:t>
      </w:r>
      <w:r>
        <w:rPr>
          <w:rFonts w:ascii="仿宋_GB2312" w:eastAsia="仿宋_GB2312" w:cs="仿宋_GB2312"/>
          <w:color w:val="000000"/>
          <w:sz w:val="32"/>
          <w:szCs w:val="40"/>
          <w:lang w:eastAsia="zh-CN"/>
        </w:rPr>
        <w:t>，</w:t>
      </w:r>
      <w:r>
        <w:rPr>
          <w:rFonts w:hint="eastAsia" w:ascii="仿宋_GB2312"/>
        </w:rPr>
        <w:t>具体根据项目技术含量、市场潜力、资金需求等综合确定。</w:t>
      </w:r>
    </w:p>
    <w:p>
      <w:pPr>
        <w:spacing w:line="560" w:lineRule="exact"/>
        <w:ind w:firstLine="632" w:firstLineChars="200"/>
        <w:rPr>
          <w:rFonts w:hint="eastAsia" w:ascii="仿宋_GB2312"/>
        </w:rPr>
      </w:pPr>
      <w:r>
        <w:rPr>
          <w:rFonts w:hint="eastAsia" w:ascii="仿宋_GB2312"/>
        </w:rPr>
        <w:t>2.财政资金转股后不作为第一大股东，不影响企业正常经营决策。</w:t>
      </w:r>
    </w:p>
    <w:p>
      <w:pPr>
        <w:spacing w:line="560" w:lineRule="exact"/>
        <w:ind w:firstLine="632" w:firstLineChars="200"/>
        <w:rPr>
          <w:rFonts w:hint="eastAsia" w:ascii="仿宋_GB2312"/>
        </w:rPr>
      </w:pPr>
      <w:r>
        <w:rPr>
          <w:rFonts w:hint="eastAsia" w:ascii="仿宋_GB2312"/>
        </w:rPr>
        <w:t>3.资金分阶段拨付，首次拨付</w:t>
      </w:r>
      <w:r>
        <w:rPr>
          <w:rFonts w:hint="eastAsia" w:ascii="仿宋_GB2312"/>
          <w:lang w:eastAsia="zh-CN"/>
        </w:rPr>
        <w:t>项目支持</w:t>
      </w:r>
      <w:r>
        <w:rPr>
          <w:rFonts w:hint="eastAsia" w:ascii="仿宋_GB2312"/>
        </w:rPr>
        <w:t>总额的50%，剩余资金根据项目进展情况拨付。</w:t>
      </w:r>
    </w:p>
    <w:p>
      <w:pPr>
        <w:spacing w:line="560" w:lineRule="exact"/>
        <w:ind w:firstLine="632" w:firstLineChars="200"/>
        <w:rPr>
          <w:rFonts w:hint="eastAsia" w:ascii="楷体_GB2312" w:eastAsia="楷体_GB2312"/>
        </w:rPr>
      </w:pPr>
      <w:r>
        <w:rPr>
          <w:rFonts w:hint="eastAsia" w:ascii="楷体_GB2312" w:eastAsia="楷体_GB2312"/>
        </w:rPr>
        <w:t>（四）转股条件与规则</w:t>
      </w:r>
    </w:p>
    <w:p>
      <w:pPr>
        <w:spacing w:line="560" w:lineRule="exact"/>
        <w:ind w:firstLine="632" w:firstLineChars="200"/>
        <w:rPr>
          <w:rFonts w:hint="eastAsia" w:ascii="仿宋_GB2312"/>
        </w:rPr>
      </w:pPr>
      <w:r>
        <w:rPr>
          <w:rFonts w:hint="eastAsia" w:ascii="仿宋_GB2312"/>
        </w:rPr>
        <w:t>1.转股条件优先级：①项目首次</w:t>
      </w:r>
      <w:r>
        <w:rPr>
          <w:rFonts w:ascii="仿宋_GB2312"/>
        </w:rPr>
        <w:t>获得</w:t>
      </w:r>
      <w:r>
        <w:rPr>
          <w:rFonts w:hint="eastAsia" w:ascii="仿宋_GB2312"/>
        </w:rPr>
        <w:t>市场化投资资金进入；②</w:t>
      </w:r>
      <w:r>
        <w:rPr>
          <w:rFonts w:ascii="仿宋_GB2312"/>
        </w:rPr>
        <w:t>企业挂牌、上市或被并购；</w:t>
      </w:r>
      <w:r>
        <w:rPr>
          <w:rFonts w:hint="eastAsia" w:ascii="仿宋_GB2312"/>
        </w:rPr>
        <w:t>③完成</w:t>
      </w:r>
      <w:r>
        <w:rPr>
          <w:rFonts w:ascii="仿宋_GB2312"/>
        </w:rPr>
        <w:t>项目</w:t>
      </w:r>
      <w:r>
        <w:rPr>
          <w:rFonts w:hint="eastAsia" w:ascii="仿宋_GB2312"/>
        </w:rPr>
        <w:t>验收且达标；</w:t>
      </w:r>
      <w:r>
        <w:rPr>
          <w:rFonts w:hint="eastAsia" w:ascii="仿宋_GB2312"/>
          <w:lang w:eastAsia="zh-CN"/>
        </w:rPr>
        <w:t>④</w:t>
      </w:r>
      <w:r>
        <w:rPr>
          <w:rFonts w:hint="eastAsia" w:ascii="仿宋_GB2312"/>
        </w:rPr>
        <w:t>协议约定的其他情形。达到任一条件即启动转股程序，项目资金应转尽转。</w:t>
      </w:r>
    </w:p>
    <w:p>
      <w:pPr>
        <w:spacing w:line="560" w:lineRule="exact"/>
        <w:ind w:firstLine="632" w:firstLineChars="200"/>
        <w:rPr>
          <w:rFonts w:hint="eastAsia" w:ascii="仿宋_GB2312"/>
        </w:rPr>
      </w:pPr>
      <w:r>
        <w:rPr>
          <w:rFonts w:hint="eastAsia" w:ascii="仿宋_GB2312"/>
        </w:rPr>
        <w:t>2.项目实施期内，</w:t>
      </w:r>
      <w:r>
        <w:rPr>
          <w:rFonts w:ascii="仿宋_GB2312"/>
        </w:rPr>
        <w:t>如</w:t>
      </w:r>
      <w:r>
        <w:rPr>
          <w:rFonts w:hint="eastAsia" w:ascii="仿宋_GB2312"/>
        </w:rPr>
        <w:t>启动转股程序，项目公司</w:t>
      </w:r>
      <w:r>
        <w:rPr>
          <w:rFonts w:ascii="仿宋_GB2312"/>
        </w:rPr>
        <w:t>需</w:t>
      </w:r>
      <w:r>
        <w:rPr>
          <w:rFonts w:hint="eastAsia" w:ascii="仿宋_GB2312"/>
        </w:rPr>
        <w:t>按实际拨付资金转股，剩余未拨付资金不再予以拨付。</w:t>
      </w:r>
    </w:p>
    <w:p>
      <w:pPr>
        <w:spacing w:line="560" w:lineRule="exact"/>
        <w:ind w:firstLine="632" w:firstLineChars="200"/>
        <w:rPr>
          <w:rFonts w:hint="eastAsia" w:ascii="仿宋_GB2312"/>
        </w:rPr>
      </w:pPr>
      <w:r>
        <w:rPr>
          <w:rFonts w:hint="eastAsia" w:ascii="仿宋_GB2312"/>
        </w:rPr>
        <w:t>3.项目实施期结束时，确因技术瓶颈短时间无法突破、产品市场接受度不高等不可预见因素导致项目失败</w:t>
      </w:r>
      <w:r>
        <w:rPr>
          <w:rFonts w:ascii="仿宋_GB2312"/>
        </w:rPr>
        <w:t>（如项目被迫终止或公司破产等情况）</w:t>
      </w:r>
      <w:r>
        <w:rPr>
          <w:rFonts w:hint="eastAsia" w:ascii="仿宋_GB2312"/>
        </w:rPr>
        <w:t>，资金未完成权益转化的，按课题经费支持形式进入结题验收程序，由</w:t>
      </w:r>
      <w:r>
        <w:rPr>
          <w:rFonts w:ascii="仿宋_GB2312"/>
        </w:rPr>
        <w:t>区科信局（</w:t>
      </w:r>
      <w:r>
        <w:rPr>
          <w:rFonts w:hint="eastAsia" w:ascii="仿宋_GB2312"/>
        </w:rPr>
        <w:t>延庆园管委会</w:t>
      </w:r>
      <w:r>
        <w:rPr>
          <w:rFonts w:ascii="仿宋_GB2312"/>
        </w:rPr>
        <w:t>）</w:t>
      </w:r>
      <w:r>
        <w:rPr>
          <w:rFonts w:hint="eastAsia" w:ascii="仿宋_GB2312"/>
        </w:rPr>
        <w:t>组织结题评审</w:t>
      </w:r>
      <w:r>
        <w:rPr>
          <w:rFonts w:ascii="仿宋_GB2312"/>
        </w:rPr>
        <w:t>，根据审计报告收回结余资金</w:t>
      </w:r>
      <w:r>
        <w:rPr>
          <w:rFonts w:hint="eastAsia" w:ascii="仿宋_GB2312"/>
          <w:lang w:eastAsia="zh-CN"/>
        </w:rPr>
        <w:t>，归入“拨投联动”专项资金</w:t>
      </w:r>
      <w:r>
        <w:rPr>
          <w:rFonts w:ascii="仿宋_GB2312"/>
        </w:rPr>
        <w:t>。</w:t>
      </w:r>
    </w:p>
    <w:p>
      <w:pPr>
        <w:spacing w:line="560" w:lineRule="exact"/>
        <w:ind w:firstLine="632" w:firstLineChars="200"/>
        <w:rPr>
          <w:rFonts w:ascii="仿宋_GB2312"/>
        </w:rPr>
      </w:pPr>
      <w:r>
        <w:rPr>
          <w:rFonts w:hint="eastAsia" w:ascii="仿宋_GB2312"/>
        </w:rPr>
        <w:t>4.转股价格优先按同期市场化融资估值的公允价格执行，无市场化融资的按</w:t>
      </w:r>
      <w:r>
        <w:rPr>
          <w:rFonts w:ascii="仿宋_GB2312"/>
        </w:rPr>
        <w:t>同期</w:t>
      </w:r>
      <w:r>
        <w:rPr>
          <w:rFonts w:hint="eastAsia" w:ascii="仿宋_GB2312"/>
        </w:rPr>
        <w:t>第三方市值评估结果确定。</w:t>
      </w:r>
    </w:p>
    <w:p>
      <w:pPr>
        <w:spacing w:line="560" w:lineRule="exact"/>
        <w:ind w:firstLine="632" w:firstLineChars="200"/>
        <w:rPr>
          <w:rFonts w:hint="eastAsia" w:ascii="仿宋_GB2312"/>
        </w:rPr>
      </w:pPr>
      <w:r>
        <w:rPr>
          <w:rFonts w:ascii="仿宋_GB2312"/>
        </w:rPr>
        <w:t>5.指定</w:t>
      </w:r>
      <w:r>
        <w:rPr>
          <w:rFonts w:ascii="仿宋_GB2312"/>
          <w:snapToGrid w:val="0"/>
        </w:rPr>
        <w:t>北京中关村延庆园投资发展有限公司</w:t>
      </w:r>
      <w:r>
        <w:rPr>
          <w:rFonts w:hint="eastAsia" w:ascii="仿宋_GB2312"/>
          <w:snapToGrid w:val="0"/>
        </w:rPr>
        <w:t>作为转股阶段的</w:t>
      </w:r>
      <w:r>
        <w:rPr>
          <w:rFonts w:hint="eastAsia" w:ascii="仿宋_GB2312"/>
        </w:rPr>
        <w:t>股权代持国有企业</w:t>
      </w:r>
      <w:r>
        <w:rPr>
          <w:rFonts w:hint="eastAsia" w:ascii="仿宋_GB2312"/>
          <w:snapToGrid w:val="0"/>
        </w:rPr>
        <w:t>。</w:t>
      </w:r>
    </w:p>
    <w:p>
      <w:pPr>
        <w:spacing w:line="560" w:lineRule="exact"/>
        <w:ind w:firstLine="632" w:firstLineChars="200"/>
        <w:rPr>
          <w:rFonts w:hint="eastAsia" w:ascii="黑体" w:eastAsia="黑体"/>
        </w:rPr>
      </w:pPr>
      <w:r>
        <w:rPr>
          <w:rFonts w:hint="eastAsia" w:ascii="黑体" w:eastAsia="黑体"/>
        </w:rPr>
        <w:t>五、操作流程</w:t>
      </w:r>
    </w:p>
    <w:p>
      <w:pPr>
        <w:spacing w:line="560" w:lineRule="exact"/>
        <w:ind w:firstLine="632" w:firstLineChars="200"/>
        <w:rPr>
          <w:rFonts w:hint="eastAsia" w:ascii="楷体_GB2312" w:eastAsia="楷体_GB2312"/>
        </w:rPr>
      </w:pPr>
      <w:r>
        <w:rPr>
          <w:rFonts w:hint="eastAsia" w:ascii="楷体_GB2312" w:eastAsia="楷体_GB2312"/>
        </w:rPr>
        <w:t>（一）项目遴选</w:t>
      </w:r>
    </w:p>
    <w:p>
      <w:pPr>
        <w:spacing w:line="560" w:lineRule="exact"/>
        <w:ind w:firstLine="632" w:firstLineChars="200"/>
        <w:rPr>
          <w:rFonts w:hint="eastAsia" w:ascii="仿宋_GB2312"/>
        </w:rPr>
      </w:pPr>
      <w:r>
        <w:rPr>
          <w:rFonts w:hint="eastAsia" w:ascii="仿宋_GB2312"/>
        </w:rPr>
        <w:t>1.发布通知</w:t>
      </w:r>
      <w:r>
        <w:rPr>
          <w:rFonts w:ascii="仿宋_GB2312"/>
        </w:rPr>
        <w:t>。</w:t>
      </w:r>
      <w:r>
        <w:rPr>
          <w:rFonts w:hint="eastAsia" w:ascii="仿宋_GB2312"/>
        </w:rPr>
        <w:t>区科信局（延庆园管委会）发布项目申报通知，明确申报条件、流程及时间节点。</w:t>
      </w:r>
    </w:p>
    <w:p>
      <w:pPr>
        <w:spacing w:line="560" w:lineRule="exact"/>
        <w:ind w:firstLine="632" w:firstLineChars="200"/>
        <w:rPr>
          <w:rFonts w:hint="eastAsia" w:ascii="仿宋_GB2312"/>
        </w:rPr>
      </w:pPr>
      <w:r>
        <w:rPr>
          <w:rFonts w:hint="eastAsia" w:ascii="仿宋_GB2312"/>
        </w:rPr>
        <w:t>2.受理审查</w:t>
      </w:r>
      <w:r>
        <w:rPr>
          <w:rFonts w:ascii="仿宋_GB2312"/>
        </w:rPr>
        <w:t>。</w:t>
      </w:r>
      <w:r>
        <w:rPr>
          <w:rFonts w:hint="eastAsia" w:ascii="仿宋_GB2312"/>
        </w:rPr>
        <w:t>区科信局（延庆园管委会）负责项目受理，开展形式审查和初步筛选，核查申报材料真实性、完整性。</w:t>
      </w:r>
    </w:p>
    <w:p>
      <w:pPr>
        <w:spacing w:line="560" w:lineRule="exact"/>
        <w:ind w:firstLine="632" w:firstLineChars="200"/>
        <w:rPr>
          <w:rFonts w:hint="eastAsia" w:ascii="仿宋_GB2312"/>
        </w:rPr>
      </w:pPr>
      <w:r>
        <w:rPr>
          <w:rFonts w:hint="eastAsia" w:ascii="仿宋_GB2312"/>
        </w:rPr>
        <w:t>3.专家评审</w:t>
      </w:r>
      <w:r>
        <w:rPr>
          <w:rFonts w:ascii="仿宋_GB2312"/>
        </w:rPr>
        <w:t>。</w:t>
      </w:r>
      <w:r>
        <w:rPr>
          <w:rFonts w:hint="eastAsia" w:ascii="仿宋_GB2312"/>
        </w:rPr>
        <w:t>股权代持国有企业组织技术、产业、财务、投资等领域专家，</w:t>
      </w:r>
      <w:r>
        <w:rPr>
          <w:rFonts w:ascii="仿宋_GB2312"/>
        </w:rPr>
        <w:t>结合委托</w:t>
      </w:r>
      <w:r>
        <w:rPr>
          <w:rFonts w:hint="eastAsia" w:ascii="仿宋_GB2312"/>
        </w:rPr>
        <w:t>第三方机构尽职调查结果开展综合评审，</w:t>
      </w:r>
      <w:r>
        <w:rPr>
          <w:rFonts w:ascii="仿宋_GB2312"/>
        </w:rPr>
        <w:t>一般</w:t>
      </w:r>
      <w:r>
        <w:rPr>
          <w:rFonts w:hint="eastAsia" w:ascii="仿宋_GB2312"/>
        </w:rPr>
        <w:t>评审工作需在受理截止后</w:t>
      </w:r>
      <w:r>
        <w:rPr>
          <w:rFonts w:ascii="仿宋_GB2312"/>
        </w:rPr>
        <w:t>30</w:t>
      </w:r>
      <w:r>
        <w:rPr>
          <w:rFonts w:hint="eastAsia" w:ascii="仿宋_GB2312"/>
        </w:rPr>
        <w:t>个</w:t>
      </w:r>
      <w:r>
        <w:rPr>
          <w:rFonts w:ascii="仿宋_GB2312"/>
        </w:rPr>
        <w:t>工作</w:t>
      </w:r>
      <w:r>
        <w:rPr>
          <w:rFonts w:hint="eastAsia" w:ascii="仿宋_GB2312"/>
        </w:rPr>
        <w:t>日内完成。</w:t>
      </w:r>
    </w:p>
    <w:p>
      <w:pPr>
        <w:spacing w:line="560" w:lineRule="exact"/>
        <w:ind w:firstLine="632" w:firstLineChars="200"/>
        <w:rPr>
          <w:rFonts w:hint="eastAsia" w:ascii="仿宋_GB2312"/>
        </w:rPr>
      </w:pPr>
      <w:r>
        <w:rPr>
          <w:rFonts w:hint="eastAsia" w:ascii="仿宋_GB2312"/>
        </w:rPr>
        <w:t>4.市值评估</w:t>
      </w:r>
      <w:r>
        <w:rPr>
          <w:rFonts w:ascii="仿宋_GB2312"/>
        </w:rPr>
        <w:t>。</w:t>
      </w:r>
      <w:r>
        <w:rPr>
          <w:rFonts w:hint="eastAsia" w:ascii="仿宋_GB2312"/>
        </w:rPr>
        <w:t>股权代持国有企业委托具备证券期货相关业务资格的第三方机构开展市值评估，</w:t>
      </w:r>
      <w:r>
        <w:rPr>
          <w:rFonts w:ascii="仿宋_GB2312"/>
        </w:rPr>
        <w:t>一般30</w:t>
      </w:r>
      <w:r>
        <w:rPr>
          <w:rFonts w:hint="eastAsia" w:ascii="仿宋_GB2312"/>
        </w:rPr>
        <w:t>个</w:t>
      </w:r>
      <w:r>
        <w:rPr>
          <w:rFonts w:ascii="仿宋_GB2312"/>
        </w:rPr>
        <w:t>工作</w:t>
      </w:r>
      <w:r>
        <w:rPr>
          <w:rFonts w:hint="eastAsia" w:ascii="仿宋_GB2312"/>
        </w:rPr>
        <w:t>日内完成并拟定资金支持额度及转股方案。</w:t>
      </w:r>
    </w:p>
    <w:p>
      <w:pPr>
        <w:spacing w:line="560" w:lineRule="exact"/>
        <w:ind w:firstLine="632" w:firstLineChars="200"/>
        <w:rPr>
          <w:rFonts w:hint="eastAsia" w:ascii="仿宋_GB2312"/>
        </w:rPr>
      </w:pPr>
      <w:r>
        <w:rPr>
          <w:rFonts w:hint="eastAsia" w:ascii="仿宋_GB2312"/>
        </w:rPr>
        <w:t>5.决策公示</w:t>
      </w:r>
      <w:r>
        <w:rPr>
          <w:rFonts w:ascii="仿宋_GB2312"/>
        </w:rPr>
        <w:t>。</w:t>
      </w:r>
      <w:r>
        <w:rPr>
          <w:rFonts w:hint="eastAsia" w:ascii="仿宋_GB2312"/>
        </w:rPr>
        <w:t>经区科信局（延庆园管委会）审议后，对拟立项项目进行不少于5个工作日的公示，公示无异议后正式立项。</w:t>
      </w:r>
    </w:p>
    <w:p>
      <w:pPr>
        <w:spacing w:line="560" w:lineRule="exact"/>
        <w:ind w:firstLine="632" w:firstLineChars="200"/>
        <w:rPr>
          <w:rFonts w:hint="eastAsia" w:ascii="楷体_GB2312" w:eastAsia="楷体_GB2312"/>
        </w:rPr>
      </w:pPr>
      <w:r>
        <w:rPr>
          <w:rFonts w:hint="eastAsia" w:ascii="楷体_GB2312" w:eastAsia="楷体_GB2312"/>
        </w:rPr>
        <w:t>（二）资金拨付与协议签订</w:t>
      </w:r>
    </w:p>
    <w:p>
      <w:pPr>
        <w:spacing w:line="560" w:lineRule="exact"/>
        <w:ind w:firstLine="632" w:firstLineChars="200"/>
        <w:rPr>
          <w:rFonts w:hint="eastAsia" w:ascii="仿宋_GB2312"/>
        </w:rPr>
      </w:pPr>
      <w:r>
        <w:rPr>
          <w:rFonts w:hint="eastAsia" w:ascii="仿宋_GB2312"/>
        </w:rPr>
        <w:t>1.签订协议</w:t>
      </w:r>
      <w:r>
        <w:rPr>
          <w:rFonts w:ascii="仿宋_GB2312"/>
        </w:rPr>
        <w:t>。</w:t>
      </w:r>
      <w:r>
        <w:rPr>
          <w:rFonts w:hint="eastAsia" w:ascii="仿宋_GB2312"/>
        </w:rPr>
        <w:t>区科信局（延庆园管委会）、股权代持国有企业与项目承担企业签订《项目任务书》和《拨投联动股权协议》，明确各方权利义务、考核指标、转股条件等核心内容。</w:t>
      </w:r>
    </w:p>
    <w:p>
      <w:pPr>
        <w:spacing w:line="560" w:lineRule="exact"/>
        <w:ind w:firstLine="632" w:firstLineChars="200"/>
        <w:rPr>
          <w:rFonts w:ascii="仿宋_GB2312"/>
        </w:rPr>
      </w:pPr>
      <w:r>
        <w:rPr>
          <w:rFonts w:hint="eastAsia" w:ascii="仿宋_GB2312"/>
        </w:rPr>
        <w:t>2.资金拨付</w:t>
      </w:r>
      <w:r>
        <w:rPr>
          <w:rFonts w:ascii="仿宋_GB2312"/>
        </w:rPr>
        <w:t>。</w:t>
      </w:r>
      <w:r>
        <w:rPr>
          <w:rFonts w:hint="eastAsia" w:ascii="仿宋_GB2312"/>
        </w:rPr>
        <w:t>区科信局（延庆园管委会）根据约定，按进度将财政资金拨付至项目承担企业指定账户。</w:t>
      </w:r>
    </w:p>
    <w:p>
      <w:pPr>
        <w:spacing w:line="560" w:lineRule="exact"/>
        <w:ind w:firstLine="632" w:firstLineChars="200"/>
        <w:rPr>
          <w:rFonts w:hint="eastAsia" w:ascii="楷体_GB2312" w:eastAsia="楷体_GB2312"/>
        </w:rPr>
      </w:pPr>
      <w:r>
        <w:rPr>
          <w:rFonts w:hint="eastAsia" w:ascii="楷体_GB2312" w:eastAsia="楷体_GB2312"/>
        </w:rPr>
        <w:t>（三）股权转化</w:t>
      </w:r>
    </w:p>
    <w:p>
      <w:pPr>
        <w:spacing w:line="560" w:lineRule="exact"/>
        <w:ind w:firstLine="632" w:firstLineChars="200"/>
        <w:rPr>
          <w:rFonts w:hint="eastAsia" w:ascii="仿宋_GB2312"/>
        </w:rPr>
      </w:pPr>
      <w:r>
        <w:rPr>
          <w:rFonts w:hint="eastAsia" w:ascii="仿宋_GB2312"/>
        </w:rPr>
        <w:t>项目达到转股条件后，股权代持国有企业需在</w:t>
      </w:r>
      <w:r>
        <w:rPr>
          <w:rFonts w:ascii="仿宋_GB2312"/>
        </w:rPr>
        <w:t>30</w:t>
      </w:r>
      <w:r>
        <w:rPr>
          <w:rFonts w:hint="eastAsia" w:ascii="仿宋_GB2312"/>
        </w:rPr>
        <w:t>个</w:t>
      </w:r>
      <w:r>
        <w:rPr>
          <w:rFonts w:ascii="仿宋_GB2312"/>
        </w:rPr>
        <w:t>工作</w:t>
      </w:r>
      <w:r>
        <w:rPr>
          <w:rFonts w:hint="eastAsia" w:ascii="仿宋_GB2312"/>
        </w:rPr>
        <w:t>日内办理股权登记手续，将财政补助资金转换为对应股权，依法履行股东权利，不参与企业人事任免、日常生产经营</w:t>
      </w:r>
      <w:r>
        <w:rPr>
          <w:rFonts w:ascii="仿宋_GB2312"/>
        </w:rPr>
        <w:t>等</w:t>
      </w:r>
      <w:r>
        <w:rPr>
          <w:rFonts w:hint="eastAsia" w:ascii="仿宋_GB2312"/>
        </w:rPr>
        <w:t>决策</w:t>
      </w:r>
      <w:r>
        <w:rPr>
          <w:rFonts w:hint="eastAsia" w:ascii="仿宋_GB2312"/>
          <w:lang w:eastAsia="zh-CN"/>
        </w:rPr>
        <w:t>，并及时将股权登记信息报区国资委备案</w:t>
      </w:r>
      <w:r>
        <w:rPr>
          <w:rFonts w:hint="eastAsia" w:ascii="仿宋_GB2312"/>
        </w:rPr>
        <w:t>。</w:t>
      </w:r>
    </w:p>
    <w:p>
      <w:pPr>
        <w:spacing w:line="560" w:lineRule="exact"/>
        <w:ind w:firstLine="632" w:firstLineChars="200"/>
        <w:rPr>
          <w:rFonts w:hint="eastAsia" w:ascii="楷体_GB2312" w:eastAsia="楷体_GB2312"/>
        </w:rPr>
      </w:pPr>
      <w:r>
        <w:rPr>
          <w:rFonts w:hint="eastAsia" w:ascii="楷体_GB2312" w:eastAsia="楷体_GB2312"/>
        </w:rPr>
        <w:t>（四）投后管理</w:t>
      </w:r>
    </w:p>
    <w:p>
      <w:pPr>
        <w:spacing w:line="560" w:lineRule="exact"/>
        <w:ind w:firstLine="632" w:firstLineChars="200"/>
        <w:rPr>
          <w:rFonts w:hint="eastAsia" w:ascii="仿宋_GB2312"/>
        </w:rPr>
      </w:pPr>
      <w:r>
        <w:rPr>
          <w:rFonts w:hint="eastAsia" w:ascii="仿宋_GB2312"/>
        </w:rPr>
        <w:t>1.股权代持国有企业建立常态化投后管理机制，每季度跟踪项目实施进度、资金使用情况及经营状况，形成投后管理报告并同步抄送区科信局（延庆园管委会）、区</w:t>
      </w:r>
      <w:r>
        <w:rPr>
          <w:rFonts w:hint="eastAsia" w:ascii="仿宋_GB2312"/>
          <w:lang w:eastAsia="zh-CN"/>
        </w:rPr>
        <w:t>国资委</w:t>
      </w:r>
      <w:r>
        <w:rPr>
          <w:rFonts w:hint="eastAsia" w:ascii="仿宋_GB2312"/>
        </w:rPr>
        <w:t>。</w:t>
      </w:r>
    </w:p>
    <w:p>
      <w:pPr>
        <w:spacing w:line="560" w:lineRule="exact"/>
        <w:ind w:firstLine="632" w:firstLineChars="200"/>
        <w:rPr>
          <w:rFonts w:hint="eastAsia" w:ascii="仿宋_GB2312"/>
        </w:rPr>
      </w:pPr>
      <w:r>
        <w:rPr>
          <w:rFonts w:ascii="仿宋_GB2312"/>
        </w:rPr>
        <w:t>2</w:t>
      </w:r>
      <w:r>
        <w:rPr>
          <w:rFonts w:hint="eastAsia" w:ascii="仿宋_GB2312"/>
        </w:rPr>
        <w:t>.股权代持国有企业为被投企业提供资源对接、政策咨询、产业链配套对接等增值服务，助力企业解决发展难题。</w:t>
      </w:r>
    </w:p>
    <w:p>
      <w:pPr>
        <w:spacing w:line="560" w:lineRule="exact"/>
        <w:ind w:firstLine="632" w:firstLineChars="200"/>
        <w:rPr>
          <w:rFonts w:hint="eastAsia" w:ascii="仿宋_GB2312"/>
        </w:rPr>
      </w:pPr>
      <w:r>
        <w:rPr>
          <w:rFonts w:ascii="仿宋_GB2312"/>
        </w:rPr>
        <w:t>3</w:t>
      </w:r>
      <w:r>
        <w:rPr>
          <w:rFonts w:hint="eastAsia" w:ascii="仿宋_GB2312"/>
        </w:rPr>
        <w:t>.被投企业需在核心团队变动、经营方向调整、重大融资等重大事项发生后10个工作日内，向股权代持国有企业报备</w:t>
      </w:r>
      <w:r>
        <w:rPr>
          <w:rFonts w:hint="eastAsia" w:ascii="仿宋_GB2312"/>
          <w:lang w:eastAsia="zh-CN"/>
        </w:rPr>
        <w:t>，股权代持国有企业及时将重大事项信息报区国资委备案</w:t>
      </w:r>
      <w:r>
        <w:rPr>
          <w:rFonts w:hint="eastAsia" w:ascii="仿宋_GB2312"/>
        </w:rPr>
        <w:t>。</w:t>
      </w:r>
    </w:p>
    <w:p>
      <w:pPr>
        <w:spacing w:line="560" w:lineRule="exact"/>
        <w:ind w:firstLine="632" w:firstLineChars="200"/>
        <w:rPr>
          <w:rFonts w:hint="eastAsia" w:ascii="楷体_GB2312" w:eastAsia="楷体_GB2312"/>
        </w:rPr>
      </w:pPr>
      <w:r>
        <w:rPr>
          <w:rFonts w:hint="eastAsia" w:ascii="楷体_GB2312" w:eastAsia="楷体_GB2312"/>
        </w:rPr>
        <w:t>（五）股权退出</w:t>
      </w:r>
    </w:p>
    <w:p>
      <w:pPr>
        <w:spacing w:line="560" w:lineRule="exact"/>
        <w:ind w:firstLine="632" w:firstLineChars="200"/>
        <w:rPr>
          <w:rFonts w:hint="eastAsia" w:ascii="仿宋_GB2312"/>
        </w:rPr>
      </w:pPr>
      <w:r>
        <w:rPr>
          <w:rFonts w:hint="eastAsia" w:ascii="仿宋_GB2312"/>
        </w:rPr>
        <w:t>1.退出条件</w:t>
      </w:r>
      <w:r>
        <w:rPr>
          <w:rFonts w:ascii="仿宋_GB2312"/>
        </w:rPr>
        <w:t>。</w:t>
      </w:r>
      <w:r>
        <w:rPr>
          <w:rFonts w:hint="eastAsia" w:ascii="仿宋_GB2312"/>
        </w:rPr>
        <w:t>项目达到稳定运营阶段、实现盈利目标或满足协议约定的其他退出条件时，启动退出程序。</w:t>
      </w:r>
    </w:p>
    <w:p>
      <w:pPr>
        <w:spacing w:line="560" w:lineRule="exact"/>
        <w:ind w:firstLine="632" w:firstLineChars="200"/>
        <w:rPr>
          <w:rFonts w:hint="eastAsia" w:ascii="仿宋_GB2312"/>
        </w:rPr>
      </w:pPr>
      <w:r>
        <w:rPr>
          <w:rFonts w:hint="eastAsia" w:ascii="仿宋_GB2312"/>
        </w:rPr>
        <w:t>2.退出方式</w:t>
      </w:r>
      <w:r>
        <w:rPr>
          <w:rFonts w:ascii="仿宋_GB2312"/>
        </w:rPr>
        <w:t>。</w:t>
      </w:r>
      <w:r>
        <w:rPr>
          <w:rFonts w:hint="eastAsia" w:ascii="仿宋_GB2312"/>
        </w:rPr>
        <w:t>优先采用企业回购方式退出；也可通过股权转让、并购重组、上市减持等市场化方式退出，退出价格按市场化原则确定。</w:t>
      </w:r>
    </w:p>
    <w:p>
      <w:pPr>
        <w:spacing w:line="560" w:lineRule="exact"/>
        <w:ind w:firstLine="632" w:firstLineChars="200"/>
        <w:rPr>
          <w:rFonts w:hint="eastAsia" w:ascii="仿宋_GB2312"/>
        </w:rPr>
      </w:pPr>
      <w:r>
        <w:rPr>
          <w:rFonts w:hint="eastAsia" w:ascii="仿宋_GB2312"/>
        </w:rPr>
        <w:t>3.资金回流</w:t>
      </w:r>
      <w:r>
        <w:rPr>
          <w:rFonts w:ascii="仿宋_GB2312"/>
        </w:rPr>
        <w:t>。</w:t>
      </w:r>
      <w:r>
        <w:rPr>
          <w:rFonts w:hint="eastAsia" w:ascii="仿宋_GB2312"/>
        </w:rPr>
        <w:t>股权代持国有企业</w:t>
      </w:r>
      <w:r>
        <w:rPr>
          <w:rFonts w:ascii="仿宋_GB2312"/>
        </w:rPr>
        <w:t>依据</w:t>
      </w:r>
      <w:r>
        <w:rPr>
          <w:rFonts w:hint="eastAsia" w:ascii="仿宋_GB2312"/>
        </w:rPr>
        <w:t>《拨投联动股权协议》</w:t>
      </w:r>
      <w:r>
        <w:rPr>
          <w:rFonts w:ascii="仿宋_GB2312"/>
        </w:rPr>
        <w:t>退出</w:t>
      </w:r>
      <w:r>
        <w:rPr>
          <w:rFonts w:hint="eastAsia" w:ascii="仿宋_GB2312"/>
          <w:lang w:eastAsia="zh-CN"/>
        </w:rPr>
        <w:t>，退出方案需报区国资委合规性审核</w:t>
      </w:r>
      <w:r>
        <w:rPr>
          <w:rFonts w:ascii="仿宋_GB2312"/>
        </w:rPr>
        <w:t>。股权退出后项目本金滚动返回至</w:t>
      </w:r>
      <w:r>
        <w:rPr>
          <w:rFonts w:hint="eastAsia" w:ascii="仿宋_GB2312"/>
          <w:lang w:eastAsia="zh-CN"/>
        </w:rPr>
        <w:t>“</w:t>
      </w:r>
      <w:r>
        <w:rPr>
          <w:rFonts w:ascii="仿宋_GB2312"/>
        </w:rPr>
        <w:t>拨投联动</w:t>
      </w:r>
      <w:r>
        <w:rPr>
          <w:rFonts w:hint="eastAsia" w:ascii="仿宋_GB2312"/>
          <w:lang w:eastAsia="zh-CN"/>
        </w:rPr>
        <w:t>”</w:t>
      </w:r>
      <w:r>
        <w:rPr>
          <w:rFonts w:ascii="仿宋_GB2312"/>
        </w:rPr>
        <w:t>专项资金，部分收益作为管理绩效，</w:t>
      </w:r>
      <w:r>
        <w:rPr>
          <w:rFonts w:hint="eastAsia" w:ascii="仿宋_GB2312"/>
        </w:rPr>
        <w:t>区科信局（延庆园管委会）</w:t>
      </w:r>
      <w:r>
        <w:rPr>
          <w:rFonts w:hint="eastAsia" w:ascii="仿宋_GB2312"/>
          <w:lang w:eastAsia="zh-CN"/>
        </w:rPr>
        <w:t>会同财政局</w:t>
      </w:r>
      <w:r>
        <w:rPr>
          <w:rFonts w:ascii="仿宋_GB2312"/>
        </w:rPr>
        <w:t>评估后给予</w:t>
      </w:r>
      <w:r>
        <w:rPr>
          <w:rFonts w:hint="eastAsia" w:ascii="仿宋_GB2312"/>
        </w:rPr>
        <w:t>股权代持国有企业</w:t>
      </w:r>
      <w:r>
        <w:rPr>
          <w:rFonts w:ascii="仿宋_GB2312"/>
        </w:rPr>
        <w:t>奖励，剩余收益返回至区财政资金，形成资金循环。如出现股权退出后项目本金亏损情况，则直接将剩余项目本金返回至区财政资金。</w:t>
      </w:r>
    </w:p>
    <w:p>
      <w:pPr>
        <w:spacing w:line="560" w:lineRule="exact"/>
        <w:ind w:firstLine="632" w:firstLineChars="200"/>
        <w:rPr>
          <w:rFonts w:hint="eastAsia" w:ascii="仿宋_GB2312"/>
        </w:rPr>
      </w:pPr>
      <w:r>
        <w:rPr>
          <w:rFonts w:hint="eastAsia" w:ascii="仿宋_GB2312"/>
        </w:rPr>
        <w:t>4.退出期限</w:t>
      </w:r>
      <w:r>
        <w:rPr>
          <w:rFonts w:ascii="仿宋_GB2312"/>
        </w:rPr>
        <w:t>。</w:t>
      </w:r>
      <w:r>
        <w:rPr>
          <w:rFonts w:hint="eastAsia" w:ascii="仿宋_GB2312"/>
        </w:rPr>
        <w:t>持股期限一般不超过5年，特殊情况可适当延长。</w:t>
      </w:r>
    </w:p>
    <w:p>
      <w:pPr>
        <w:spacing w:line="560" w:lineRule="exact"/>
        <w:ind w:firstLine="632" w:firstLineChars="200"/>
        <w:rPr>
          <w:rFonts w:hint="eastAsia" w:ascii="黑体" w:eastAsia="黑体"/>
        </w:rPr>
      </w:pPr>
      <w:r>
        <w:rPr>
          <w:rFonts w:hint="eastAsia" w:ascii="黑体" w:eastAsia="黑体"/>
        </w:rPr>
        <w:t>六、职责分工</w:t>
      </w:r>
    </w:p>
    <w:p>
      <w:pPr>
        <w:spacing w:line="560" w:lineRule="exact"/>
        <w:ind w:firstLine="632" w:firstLineChars="200"/>
        <w:rPr>
          <w:rFonts w:hint="eastAsia" w:ascii="楷体_GB2312" w:eastAsia="楷体_GB2312"/>
        </w:rPr>
      </w:pPr>
      <w:r>
        <w:rPr>
          <w:rFonts w:hint="eastAsia" w:ascii="楷体_GB2312" w:eastAsia="楷体_GB2312"/>
        </w:rPr>
        <w:t>（一）区科信局（延庆园管委会）</w:t>
      </w:r>
    </w:p>
    <w:p>
      <w:pPr>
        <w:spacing w:line="560" w:lineRule="exact"/>
        <w:ind w:firstLine="632" w:firstLineChars="200"/>
        <w:rPr>
          <w:rFonts w:hint="eastAsia" w:ascii="仿宋_GB2312"/>
        </w:rPr>
      </w:pPr>
      <w:r>
        <w:rPr>
          <w:rFonts w:hint="eastAsia" w:ascii="仿宋_GB2312"/>
        </w:rPr>
        <w:t>1.政策制定</w:t>
      </w:r>
      <w:r>
        <w:rPr>
          <w:rFonts w:ascii="仿宋_GB2312"/>
        </w:rPr>
        <w:t>。</w:t>
      </w:r>
      <w:r>
        <w:rPr>
          <w:rFonts w:hint="eastAsia" w:ascii="仿宋_GB2312"/>
        </w:rPr>
        <w:t>制定项目申报通知，明确申报条件、流程、时间节点及具体要求。</w:t>
      </w:r>
    </w:p>
    <w:p>
      <w:pPr>
        <w:spacing w:line="560" w:lineRule="exact"/>
        <w:ind w:firstLine="632" w:firstLineChars="200"/>
        <w:rPr>
          <w:rFonts w:hint="eastAsia" w:ascii="仿宋_GB2312"/>
        </w:rPr>
      </w:pPr>
      <w:r>
        <w:rPr>
          <w:rFonts w:hint="eastAsia" w:ascii="仿宋_GB2312"/>
        </w:rPr>
        <w:t>2.项目遴选管理</w:t>
      </w:r>
      <w:r>
        <w:rPr>
          <w:rFonts w:ascii="仿宋_GB2312"/>
        </w:rPr>
        <w:t>。</w:t>
      </w:r>
      <w:r>
        <w:rPr>
          <w:rFonts w:hint="eastAsia" w:ascii="仿宋_GB2312"/>
        </w:rPr>
        <w:t>负责项目受理、形式审查与初步筛选，严格核查申报材料的真实性、完整性</w:t>
      </w:r>
      <w:r>
        <w:rPr>
          <w:rFonts w:ascii="仿宋_GB2312"/>
        </w:rPr>
        <w:t>。</w:t>
      </w:r>
      <w:r>
        <w:rPr>
          <w:rFonts w:hint="eastAsia" w:ascii="仿宋_GB2312"/>
        </w:rPr>
        <w:t>审议拟立项项目，组织不少于5个工作日的公示，公示无异议后正式立项。</w:t>
      </w:r>
    </w:p>
    <w:p>
      <w:pPr>
        <w:spacing w:line="560" w:lineRule="exact"/>
        <w:ind w:firstLine="632" w:firstLineChars="200"/>
        <w:rPr>
          <w:rFonts w:hint="eastAsia" w:ascii="仿宋_GB2312"/>
        </w:rPr>
      </w:pPr>
      <w:r>
        <w:rPr>
          <w:rFonts w:hint="eastAsia" w:ascii="仿宋_GB2312"/>
        </w:rPr>
        <w:t>3.协议签订与资金拨付</w:t>
      </w:r>
      <w:r>
        <w:rPr>
          <w:rFonts w:ascii="仿宋_GB2312"/>
        </w:rPr>
        <w:t>。拟定</w:t>
      </w:r>
      <w:r>
        <w:rPr>
          <w:rFonts w:hint="eastAsia" w:ascii="仿宋_GB2312"/>
        </w:rPr>
        <w:t>《项目</w:t>
      </w:r>
      <w:r>
        <w:rPr>
          <w:rFonts w:ascii="仿宋_GB2312"/>
        </w:rPr>
        <w:t>任务</w:t>
      </w:r>
      <w:r>
        <w:rPr>
          <w:rFonts w:hint="eastAsia" w:ascii="仿宋_GB2312"/>
        </w:rPr>
        <w:t>书》</w:t>
      </w:r>
      <w:r>
        <w:rPr>
          <w:rFonts w:ascii="仿宋_GB2312"/>
        </w:rPr>
        <w:t>，</w:t>
      </w:r>
      <w:r>
        <w:rPr>
          <w:rFonts w:hint="eastAsia" w:ascii="仿宋_GB2312"/>
        </w:rPr>
        <w:t>与股权代持国有企业、项目承担企业签订《项目</w:t>
      </w:r>
      <w:r>
        <w:rPr>
          <w:rFonts w:ascii="仿宋_GB2312"/>
        </w:rPr>
        <w:t>任务</w:t>
      </w:r>
      <w:r>
        <w:rPr>
          <w:rFonts w:hint="eastAsia" w:ascii="仿宋_GB2312"/>
        </w:rPr>
        <w:t>书》和《拨投联动股权协议》，明确各方权利义务、考核指标、转股条件等核心内容</w:t>
      </w:r>
      <w:r>
        <w:rPr>
          <w:rFonts w:ascii="仿宋_GB2312"/>
        </w:rPr>
        <w:t>。</w:t>
      </w:r>
      <w:r>
        <w:rPr>
          <w:rFonts w:hint="eastAsia" w:ascii="仿宋_GB2312"/>
        </w:rPr>
        <w:t>按协议约定向项目承担企业拨付财政资金，跟踪资金使用进度与合规性。</w:t>
      </w:r>
    </w:p>
    <w:p>
      <w:pPr>
        <w:spacing w:line="560" w:lineRule="exact"/>
        <w:ind w:firstLine="632" w:firstLineChars="200"/>
        <w:rPr>
          <w:rFonts w:hint="eastAsia" w:ascii="仿宋_GB2312"/>
        </w:rPr>
      </w:pPr>
      <w:r>
        <w:rPr>
          <w:rFonts w:hint="eastAsia" w:ascii="仿宋_GB2312"/>
        </w:rPr>
        <w:t>4.项目过程监管</w:t>
      </w:r>
      <w:r>
        <w:rPr>
          <w:rFonts w:ascii="仿宋_GB2312"/>
        </w:rPr>
        <w:t>。</w:t>
      </w:r>
      <w:r>
        <w:rPr>
          <w:rFonts w:hint="eastAsia" w:ascii="仿宋_GB2312"/>
        </w:rPr>
        <w:t>统筹协调联席会议，及时解决项目实施中的跨部门难点问题。收集项目实施反馈意见，适时优化调整政策。</w:t>
      </w:r>
    </w:p>
    <w:p>
      <w:pPr>
        <w:spacing w:line="560" w:lineRule="exact"/>
        <w:ind w:firstLine="632" w:firstLineChars="200"/>
        <w:rPr>
          <w:rFonts w:hint="eastAsia" w:ascii="仿宋_GB2312"/>
        </w:rPr>
      </w:pPr>
      <w:r>
        <w:rPr>
          <w:rFonts w:hint="eastAsia" w:ascii="仿宋_GB2312"/>
        </w:rPr>
        <w:t>5.综合管理保障</w:t>
      </w:r>
      <w:r>
        <w:rPr>
          <w:rFonts w:ascii="仿宋_GB2312"/>
        </w:rPr>
        <w:t>。</w:t>
      </w:r>
      <w:r>
        <w:rPr>
          <w:rFonts w:hint="eastAsia" w:ascii="仿宋_GB2312"/>
        </w:rPr>
        <w:t>对接各相关单位推进工作协同，全程跟踪项目从遴选到退出的全流程管理。</w:t>
      </w:r>
    </w:p>
    <w:p>
      <w:pPr>
        <w:spacing w:line="560" w:lineRule="exact"/>
        <w:ind w:firstLine="632" w:firstLineChars="200"/>
        <w:rPr>
          <w:rFonts w:hint="eastAsia" w:ascii="楷体_GB2312" w:eastAsia="楷体_GB2312"/>
        </w:rPr>
      </w:pPr>
      <w:r>
        <w:rPr>
          <w:rFonts w:hint="eastAsia" w:ascii="楷体_GB2312" w:eastAsia="楷体_GB2312"/>
        </w:rPr>
        <w:t>（二）区财政局</w:t>
      </w:r>
    </w:p>
    <w:p>
      <w:pPr>
        <w:spacing w:line="560" w:lineRule="exact"/>
        <w:ind w:firstLine="632" w:firstLineChars="200"/>
        <w:rPr>
          <w:rFonts w:hint="eastAsia" w:ascii="仿宋_GB2312"/>
        </w:rPr>
      </w:pPr>
      <w:r>
        <w:rPr>
          <w:rFonts w:ascii="仿宋_GB2312"/>
        </w:rPr>
        <w:t>1</w:t>
      </w:r>
      <w:r>
        <w:rPr>
          <w:rFonts w:hint="eastAsia" w:ascii="仿宋_GB2312"/>
        </w:rPr>
        <w:t>.资金拨付</w:t>
      </w:r>
      <w:r>
        <w:rPr>
          <w:rFonts w:ascii="仿宋_GB2312"/>
        </w:rPr>
        <w:t>。及时</w:t>
      </w:r>
      <w:r>
        <w:rPr>
          <w:rFonts w:hint="eastAsia" w:ascii="仿宋_GB2312"/>
        </w:rPr>
        <w:t>完成</w:t>
      </w:r>
      <w:r>
        <w:rPr>
          <w:rFonts w:ascii="仿宋_GB2312"/>
        </w:rPr>
        <w:t>财政</w:t>
      </w:r>
      <w:r>
        <w:rPr>
          <w:rFonts w:hint="eastAsia" w:ascii="仿宋_GB2312"/>
        </w:rPr>
        <w:t>资金拨付工作，保障资金及时足额到位。</w:t>
      </w:r>
    </w:p>
    <w:p>
      <w:pPr>
        <w:spacing w:line="560" w:lineRule="exact"/>
        <w:ind w:firstLine="632" w:firstLineChars="200"/>
        <w:rPr>
          <w:rFonts w:hint="eastAsia" w:ascii="仿宋_GB2312"/>
        </w:rPr>
      </w:pPr>
      <w:r>
        <w:rPr>
          <w:rFonts w:ascii="仿宋_GB2312"/>
        </w:rPr>
        <w:t>2</w:t>
      </w:r>
      <w:r>
        <w:rPr>
          <w:rFonts w:hint="eastAsia" w:ascii="仿宋_GB2312"/>
        </w:rPr>
        <w:t>.资金循环</w:t>
      </w:r>
      <w:r>
        <w:rPr>
          <w:rFonts w:ascii="仿宋_GB2312"/>
        </w:rPr>
        <w:t>。对股权退出回流资金实行专项监管，确保资金闭环循环、专款专用。</w:t>
      </w:r>
    </w:p>
    <w:p>
      <w:pPr>
        <w:spacing w:line="560" w:lineRule="exact"/>
        <w:ind w:firstLine="632" w:firstLineChars="200"/>
        <w:rPr>
          <w:rFonts w:hint="eastAsia" w:ascii="楷体_GB2312" w:eastAsia="楷体_GB2312"/>
          <w:lang w:eastAsia="zh-CN"/>
        </w:rPr>
      </w:pPr>
      <w:r>
        <w:rPr>
          <w:rFonts w:hint="eastAsia" w:ascii="楷体_GB2312" w:eastAsia="楷体_GB2312"/>
        </w:rPr>
        <w:t>（三）</w:t>
      </w:r>
      <w:r>
        <w:rPr>
          <w:rFonts w:hint="eastAsia" w:ascii="楷体_GB2312" w:eastAsia="楷体_GB2312"/>
          <w:lang w:eastAsia="zh-CN"/>
        </w:rPr>
        <w:t>区国资委</w:t>
      </w:r>
    </w:p>
    <w:p>
      <w:pPr>
        <w:spacing w:line="560" w:lineRule="exact"/>
        <w:ind w:firstLine="632" w:firstLineChars="200"/>
        <w:rPr>
          <w:rFonts w:hint="eastAsia" w:ascii="仿宋_GB2312"/>
        </w:rPr>
      </w:pPr>
      <w:r>
        <w:rPr>
          <w:rFonts w:hint="eastAsia" w:ascii="仿宋_GB2312"/>
        </w:rPr>
        <w:t>1.国资监管统筹。负责统筹“拨投联动”项目中国有股权的监管工作，确保国有股权管理符合国资监管相关法律法规和政策要求。</w:t>
      </w:r>
    </w:p>
    <w:p>
      <w:pPr>
        <w:spacing w:line="560" w:lineRule="exact"/>
        <w:ind w:firstLine="632" w:firstLineChars="200"/>
        <w:rPr>
          <w:rFonts w:hint="eastAsia" w:ascii="仿宋_GB2312"/>
        </w:rPr>
      </w:pPr>
      <w:r>
        <w:rPr>
          <w:rFonts w:hint="eastAsia" w:ascii="仿宋_GB2312"/>
        </w:rPr>
        <w:t>2.合规性审核。对拟立项项目的《拨投联动股权协议》中国有股权管理条款、股权退出方案等进行合规性审核。</w:t>
      </w:r>
    </w:p>
    <w:p>
      <w:pPr>
        <w:spacing w:line="560" w:lineRule="exact"/>
        <w:ind w:firstLine="632" w:firstLineChars="200"/>
        <w:rPr>
          <w:rFonts w:hint="eastAsia" w:ascii="仿宋_GB2312"/>
        </w:rPr>
      </w:pPr>
      <w:r>
        <w:rPr>
          <w:rFonts w:hint="eastAsia" w:ascii="仿宋_GB2312"/>
        </w:rPr>
        <w:t>3.股权登记备案。负责接收股权代持国有企业报送的国有股权登记、变更、备案等信息，纳入国有资产产权管理体系，做好国有股权产权登记管理工作。</w:t>
      </w:r>
    </w:p>
    <w:p>
      <w:pPr>
        <w:spacing w:line="560" w:lineRule="exact"/>
        <w:ind w:firstLine="632" w:firstLineChars="200"/>
        <w:rPr>
          <w:rFonts w:ascii="楷体_GB2312" w:eastAsia="楷体_GB2312"/>
        </w:rPr>
      </w:pPr>
      <w:r>
        <w:rPr>
          <w:rFonts w:hint="eastAsia" w:ascii="楷体_GB2312" w:eastAsia="楷体_GB2312"/>
          <w:lang w:eastAsia="zh-CN"/>
        </w:rPr>
        <w:t>（四）</w:t>
      </w:r>
      <w:r>
        <w:rPr>
          <w:rFonts w:hint="eastAsia" w:ascii="楷体_GB2312" w:eastAsia="楷体_GB2312"/>
        </w:rPr>
        <w:t>股权代持国有企业</w:t>
      </w:r>
    </w:p>
    <w:p>
      <w:pPr>
        <w:spacing w:line="560" w:lineRule="exact"/>
        <w:ind w:firstLine="632" w:firstLineChars="200"/>
        <w:rPr>
          <w:rFonts w:hint="eastAsia" w:ascii="仿宋_GB2312"/>
        </w:rPr>
      </w:pPr>
      <w:r>
        <w:rPr>
          <w:rFonts w:ascii="仿宋_GB2312"/>
        </w:rPr>
        <w:t>1.项目评审与转股方案制定。在</w:t>
      </w:r>
      <w:r>
        <w:rPr>
          <w:rFonts w:hint="eastAsia" w:ascii="仿宋_GB2312"/>
        </w:rPr>
        <w:t>区科信局（延庆园管委会）受理</w:t>
      </w:r>
      <w:r>
        <w:rPr>
          <w:rFonts w:hint="eastAsia" w:ascii="仿宋_GB2312"/>
          <w:lang w:eastAsia="zh-CN"/>
        </w:rPr>
        <w:t>“</w:t>
      </w:r>
      <w:r>
        <w:rPr>
          <w:rFonts w:ascii="仿宋_GB2312"/>
        </w:rPr>
        <w:t>拨投联动</w:t>
      </w:r>
      <w:r>
        <w:rPr>
          <w:rFonts w:hint="eastAsia" w:ascii="仿宋_GB2312"/>
          <w:lang w:eastAsia="zh-CN"/>
        </w:rPr>
        <w:t>”</w:t>
      </w:r>
      <w:r>
        <w:rPr>
          <w:rFonts w:hint="eastAsia" w:ascii="仿宋_GB2312"/>
        </w:rPr>
        <w:t>项目</w:t>
      </w:r>
      <w:r>
        <w:rPr>
          <w:rFonts w:ascii="仿宋_GB2312"/>
        </w:rPr>
        <w:t>申报并</w:t>
      </w:r>
      <w:r>
        <w:rPr>
          <w:rFonts w:hint="eastAsia" w:ascii="仿宋_GB2312"/>
        </w:rPr>
        <w:t>开展形式审查和初步筛选</w:t>
      </w:r>
      <w:r>
        <w:rPr>
          <w:rFonts w:ascii="仿宋_GB2312"/>
        </w:rPr>
        <w:t>后，</w:t>
      </w:r>
      <w:r>
        <w:rPr>
          <w:rFonts w:hint="eastAsia" w:ascii="仿宋_GB2312"/>
        </w:rPr>
        <w:t>组织技术、产业、财务、投资等领域专家开展项目评审，拟定资金支持额度</w:t>
      </w:r>
      <w:r>
        <w:rPr>
          <w:rFonts w:ascii="仿宋_GB2312"/>
        </w:rPr>
        <w:t>、</w:t>
      </w:r>
      <w:r>
        <w:rPr>
          <w:rFonts w:hint="eastAsia" w:ascii="仿宋_GB2312"/>
        </w:rPr>
        <w:t>转股方案</w:t>
      </w:r>
      <w:r>
        <w:rPr>
          <w:rFonts w:ascii="仿宋_GB2312"/>
        </w:rPr>
        <w:t>及</w:t>
      </w:r>
      <w:r>
        <w:rPr>
          <w:rFonts w:hint="eastAsia" w:ascii="仿宋_GB2312"/>
        </w:rPr>
        <w:t>《拨投联动股权协议》</w:t>
      </w:r>
      <w:r>
        <w:rPr>
          <w:rFonts w:hint="eastAsia" w:ascii="仿宋_GB2312"/>
          <w:lang w:eastAsia="zh-CN"/>
        </w:rPr>
        <w:t>，报区国资委进行合规性审核</w:t>
      </w:r>
      <w:r>
        <w:rPr>
          <w:rFonts w:hint="eastAsia" w:ascii="仿宋_GB2312"/>
        </w:rPr>
        <w:t>。</w:t>
      </w:r>
    </w:p>
    <w:p>
      <w:pPr>
        <w:spacing w:line="560" w:lineRule="exact"/>
        <w:ind w:firstLine="632" w:firstLineChars="200"/>
        <w:rPr>
          <w:rFonts w:hint="eastAsia" w:ascii="仿宋_GB2312" w:eastAsia="仿宋_GB2312"/>
          <w:lang w:eastAsia="zh-CN"/>
        </w:rPr>
      </w:pPr>
      <w:r>
        <w:rPr>
          <w:rFonts w:hint="eastAsia" w:ascii="仿宋_GB2312"/>
          <w:lang w:val="en-US" w:eastAsia="zh-CN"/>
        </w:rPr>
        <w:t>2.尽职调查与市值评估。</w:t>
      </w:r>
      <w:r>
        <w:rPr>
          <w:rFonts w:hint="eastAsia" w:ascii="仿宋_GB2312"/>
        </w:rPr>
        <w:t>委托第三方机构完成尽职调查与市值评估</w:t>
      </w:r>
      <w:r>
        <w:rPr>
          <w:rFonts w:hint="eastAsia" w:ascii="仿宋_GB2312"/>
          <w:lang w:eastAsia="zh-CN"/>
        </w:rPr>
        <w:t>，</w:t>
      </w:r>
      <w:r>
        <w:rPr>
          <w:rFonts w:hint="eastAsia" w:ascii="仿宋_GB2312"/>
        </w:rPr>
        <w:t>全面核实项目承担企业的经营状况、技术实力、市场潜力、团队资质等情况，形成客观、详实的尽职调查报告，为项目评审提供专业依据。对通过评审的项目开展公允市值评估，出具专业评估报告，作为转股价格确定的核心依据，确保评估结果真实反映项目价值。</w:t>
      </w:r>
    </w:p>
    <w:p>
      <w:pPr>
        <w:spacing w:line="560" w:lineRule="exact"/>
        <w:ind w:firstLine="632" w:firstLineChars="200"/>
        <w:rPr>
          <w:rFonts w:hint="eastAsia" w:ascii="仿宋_GB2312"/>
        </w:rPr>
      </w:pPr>
      <w:r>
        <w:rPr>
          <w:rFonts w:ascii="仿宋_GB2312"/>
        </w:rPr>
        <w:t>3.</w:t>
      </w:r>
      <w:r>
        <w:rPr>
          <w:rFonts w:hint="eastAsia" w:ascii="仿宋_GB2312"/>
        </w:rPr>
        <w:t>协议签订与股权登记</w:t>
      </w:r>
      <w:r>
        <w:rPr>
          <w:rFonts w:ascii="仿宋_GB2312"/>
        </w:rPr>
        <w:t>。</w:t>
      </w:r>
      <w:r>
        <w:rPr>
          <w:rFonts w:hint="eastAsia" w:ascii="仿宋_GB2312"/>
        </w:rPr>
        <w:t>与区科信局（延庆园管委会）、项目承担企业签订《项目</w:t>
      </w:r>
      <w:r>
        <w:rPr>
          <w:rFonts w:ascii="仿宋_GB2312"/>
        </w:rPr>
        <w:t>任务</w:t>
      </w:r>
      <w:r>
        <w:rPr>
          <w:rFonts w:hint="eastAsia" w:ascii="仿宋_GB2312"/>
        </w:rPr>
        <w:t>书》《拨投联动股权协议》，明确转股条件、持股要求、退出方式等关键条款。项目达到转股条件后，及时办理股权登记手续，依法履行股东权利，不干预企业日常经营决策</w:t>
      </w:r>
      <w:r>
        <w:rPr>
          <w:rFonts w:hint="eastAsia" w:ascii="仿宋_GB2312"/>
          <w:lang w:eastAsia="zh-CN"/>
        </w:rPr>
        <w:t>，并将股权登记信息及时报区国资委备案</w:t>
      </w:r>
      <w:r>
        <w:rPr>
          <w:rFonts w:hint="eastAsia" w:ascii="仿宋_GB2312"/>
        </w:rPr>
        <w:t>。</w:t>
      </w:r>
    </w:p>
    <w:p>
      <w:pPr>
        <w:spacing w:line="560" w:lineRule="exact"/>
        <w:ind w:firstLine="632" w:firstLineChars="200"/>
        <w:rPr>
          <w:rFonts w:ascii="仿宋_GB2312"/>
        </w:rPr>
      </w:pPr>
      <w:r>
        <w:rPr>
          <w:rFonts w:ascii="仿宋_GB2312"/>
        </w:rPr>
        <w:t>4</w:t>
      </w:r>
      <w:r>
        <w:rPr>
          <w:rFonts w:hint="eastAsia" w:ascii="仿宋_GB2312"/>
        </w:rPr>
        <w:t>.</w:t>
      </w:r>
      <w:r>
        <w:rPr>
          <w:rFonts w:ascii="仿宋_GB2312"/>
        </w:rPr>
        <w:t>资金审计。</w:t>
      </w:r>
      <w:r>
        <w:rPr>
          <w:rFonts w:hint="eastAsia" w:ascii="仿宋_GB2312"/>
        </w:rPr>
        <w:t>组织项目实施期间至少1次专项审计，委托具备资质的第三方机构执行，核查资金使用真实性与合规性</w:t>
      </w:r>
      <w:r>
        <w:rPr>
          <w:rFonts w:hint="eastAsia" w:ascii="仿宋_GB2312"/>
          <w:lang w:eastAsia="zh-CN"/>
        </w:rPr>
        <w:t>，出具审计报告，为资金监管提供专业支撑</w:t>
      </w:r>
      <w:r>
        <w:rPr>
          <w:rFonts w:hint="eastAsia" w:ascii="仿宋_GB2312"/>
        </w:rPr>
        <w:t>。</w:t>
      </w:r>
    </w:p>
    <w:p>
      <w:pPr>
        <w:spacing w:line="560" w:lineRule="exact"/>
        <w:ind w:firstLine="632" w:firstLineChars="200"/>
        <w:rPr>
          <w:rFonts w:hint="eastAsia" w:ascii="仿宋_GB2312"/>
        </w:rPr>
      </w:pPr>
      <w:r>
        <w:rPr>
          <w:rFonts w:ascii="仿宋_GB2312"/>
        </w:rPr>
        <w:t>5</w:t>
      </w:r>
      <w:r>
        <w:rPr>
          <w:rFonts w:hint="eastAsia" w:ascii="仿宋_GB2312"/>
        </w:rPr>
        <w:t>.投后管理</w:t>
      </w:r>
      <w:r>
        <w:rPr>
          <w:rFonts w:ascii="仿宋_GB2312"/>
        </w:rPr>
        <w:t>。</w:t>
      </w:r>
      <w:r>
        <w:rPr>
          <w:rFonts w:hint="eastAsia" w:ascii="仿宋_GB2312"/>
        </w:rPr>
        <w:t>建立常态化投后管理机制，每季度跟踪项目实施进度、资金使用情况及企业经营状况，形成投后管理报告并同步抄送区科信局（延庆园管委会）、区国资委。督促被投企业在核心团队变动、经营方向调整、重大融资等重大事项发生后10个工作日内报备</w:t>
      </w:r>
      <w:r>
        <w:rPr>
          <w:rFonts w:hint="eastAsia" w:ascii="仿宋_GB2312"/>
          <w:lang w:eastAsia="zh-CN"/>
        </w:rPr>
        <w:t>，并及时将重大事项信息报区国资委备案</w:t>
      </w:r>
      <w:r>
        <w:rPr>
          <w:rFonts w:hint="eastAsia" w:ascii="仿宋_GB2312"/>
        </w:rPr>
        <w:t>。为被投企业提供资源对接、政策咨询、产业链配套对接等增值服务，助力企业解决发展难题。</w:t>
      </w:r>
    </w:p>
    <w:p>
      <w:pPr>
        <w:spacing w:line="560" w:lineRule="exact"/>
        <w:ind w:firstLine="632" w:firstLineChars="200"/>
        <w:rPr>
          <w:rFonts w:hint="eastAsia" w:ascii="仿宋_GB2312"/>
        </w:rPr>
      </w:pPr>
      <w:r>
        <w:rPr>
          <w:rFonts w:hint="eastAsia" w:ascii="仿宋_GB2312"/>
          <w:lang w:val="en-US" w:eastAsia="zh-CN"/>
        </w:rPr>
        <w:t>6.</w:t>
      </w:r>
      <w:r>
        <w:rPr>
          <w:rFonts w:hint="eastAsia" w:ascii="仿宋_GB2312"/>
        </w:rPr>
        <w:t>股权退出与资金回流</w:t>
      </w:r>
      <w:r>
        <w:rPr>
          <w:rFonts w:ascii="仿宋_GB2312"/>
        </w:rPr>
        <w:t>。</w:t>
      </w:r>
      <w:r>
        <w:rPr>
          <w:rFonts w:hint="eastAsia" w:ascii="仿宋_GB2312"/>
        </w:rPr>
        <w:t>按协议约定启动股权退出程序，</w:t>
      </w:r>
      <w:r>
        <w:rPr>
          <w:rFonts w:hint="eastAsia" w:ascii="仿宋_GB2312"/>
          <w:lang w:eastAsia="zh-CN"/>
        </w:rPr>
        <w:t>报区国资委合规性审核后启动退出程序，</w:t>
      </w:r>
      <w:r>
        <w:rPr>
          <w:rFonts w:hint="eastAsia" w:ascii="仿宋_GB2312"/>
        </w:rPr>
        <w:t>优先推动企业回购，也可根据实际情况选择股权转让、并购重组、上市减持等市场化退出方式。退出过程中确保流程合规、价格公允，退出后及时将资金回流，并提交资金回流报告。</w:t>
      </w:r>
    </w:p>
    <w:p>
      <w:pPr>
        <w:spacing w:line="560" w:lineRule="exact"/>
        <w:ind w:firstLine="632" w:firstLineChars="200"/>
        <w:rPr>
          <w:rFonts w:hint="eastAsia" w:ascii="楷体_GB2312" w:eastAsia="楷体_GB2312"/>
        </w:rPr>
      </w:pPr>
      <w:r>
        <w:rPr>
          <w:rFonts w:hint="eastAsia" w:ascii="楷体_GB2312" w:eastAsia="楷体_GB2312"/>
        </w:rPr>
        <w:t>（</w:t>
      </w:r>
      <w:r>
        <w:rPr>
          <w:rFonts w:hint="eastAsia" w:ascii="楷体_GB2312" w:eastAsia="楷体_GB2312"/>
          <w:lang w:eastAsia="zh-CN"/>
        </w:rPr>
        <w:t>五</w:t>
      </w:r>
      <w:r>
        <w:rPr>
          <w:rFonts w:hint="eastAsia" w:ascii="楷体_GB2312" w:eastAsia="楷体_GB2312"/>
        </w:rPr>
        <w:t>）项目承担企业</w:t>
      </w:r>
    </w:p>
    <w:p>
      <w:pPr>
        <w:spacing w:line="560" w:lineRule="exact"/>
        <w:ind w:firstLine="632" w:firstLineChars="200"/>
        <w:rPr>
          <w:rFonts w:hint="eastAsia" w:ascii="仿宋_GB2312"/>
        </w:rPr>
      </w:pPr>
      <w:r>
        <w:rPr>
          <w:rFonts w:hint="eastAsia" w:ascii="仿宋_GB2312"/>
        </w:rPr>
        <w:t>1.项目申报</w:t>
      </w:r>
      <w:r>
        <w:rPr>
          <w:rFonts w:ascii="仿宋_GB2312"/>
        </w:rPr>
        <w:t>。</w:t>
      </w:r>
      <w:r>
        <w:rPr>
          <w:rFonts w:hint="eastAsia" w:ascii="仿宋_GB2312"/>
        </w:rPr>
        <w:t>按申报要求提交真实、完整的申报材料，签署科研诚信承诺书与资金合规使用承诺，对材料真实性、合规性承担主体责任。</w:t>
      </w:r>
    </w:p>
    <w:p>
      <w:pPr>
        <w:spacing w:line="560" w:lineRule="exact"/>
        <w:ind w:firstLine="632" w:firstLineChars="200"/>
        <w:rPr>
          <w:rFonts w:hint="eastAsia" w:ascii="仿宋_GB2312"/>
        </w:rPr>
      </w:pPr>
      <w:r>
        <w:rPr>
          <w:rFonts w:hint="eastAsia" w:ascii="仿宋_GB2312"/>
        </w:rPr>
        <w:t>2.项目实施</w:t>
      </w:r>
      <w:r>
        <w:rPr>
          <w:rFonts w:ascii="仿宋_GB2312"/>
        </w:rPr>
        <w:t>。</w:t>
      </w:r>
      <w:r>
        <w:rPr>
          <w:rFonts w:hint="eastAsia" w:ascii="仿宋_GB2312"/>
        </w:rPr>
        <w:t>落实核心团队持股要求，按《项目</w:t>
      </w:r>
      <w:r>
        <w:rPr>
          <w:rFonts w:ascii="仿宋_GB2312"/>
        </w:rPr>
        <w:t>任务</w:t>
      </w:r>
      <w:r>
        <w:rPr>
          <w:rFonts w:hint="eastAsia" w:ascii="仿宋_GB2312"/>
        </w:rPr>
        <w:t>书》约定推进技术研发与成果转化，确保达到验收及转股条件。</w:t>
      </w:r>
    </w:p>
    <w:p>
      <w:pPr>
        <w:spacing w:line="560" w:lineRule="exact"/>
        <w:ind w:firstLine="632" w:firstLineChars="200"/>
        <w:rPr>
          <w:rFonts w:hint="eastAsia" w:ascii="仿宋_GB2312"/>
        </w:rPr>
      </w:pPr>
      <w:r>
        <w:rPr>
          <w:rFonts w:hint="eastAsia" w:ascii="仿宋_GB2312"/>
        </w:rPr>
        <w:t>3.资金管理</w:t>
      </w:r>
      <w:r>
        <w:rPr>
          <w:rFonts w:ascii="仿宋_GB2312"/>
        </w:rPr>
        <w:t>。</w:t>
      </w:r>
      <w:r>
        <w:rPr>
          <w:rFonts w:hint="eastAsia" w:ascii="仿宋_GB2312"/>
        </w:rPr>
        <w:t>对财政资金实行专款专用、单独核算，不截留、挪用、挤占专项资金，主动接受专项审计与相关部门的监督检查。</w:t>
      </w:r>
    </w:p>
    <w:p>
      <w:pPr>
        <w:spacing w:line="560" w:lineRule="exact"/>
        <w:ind w:firstLine="632" w:firstLineChars="200"/>
        <w:rPr>
          <w:rFonts w:hint="eastAsia" w:ascii="仿宋_GB2312"/>
        </w:rPr>
      </w:pPr>
      <w:r>
        <w:rPr>
          <w:rFonts w:hint="eastAsia" w:ascii="仿宋_GB2312"/>
        </w:rPr>
        <w:t>4.信息报备</w:t>
      </w:r>
      <w:r>
        <w:rPr>
          <w:rFonts w:ascii="仿宋_GB2312"/>
        </w:rPr>
        <w:t>。</w:t>
      </w:r>
      <w:r>
        <w:rPr>
          <w:rFonts w:hint="eastAsia" w:ascii="仿宋_GB2312"/>
        </w:rPr>
        <w:t>及时向股权代持国有企业报备重大事项，配合区科信局（延庆园管委会）开展投后管理工作。达到股权退出条件时，积极配合股权代持国有企业办理退出手续，按约定方式回购股权或配合股权转让。</w:t>
      </w:r>
    </w:p>
    <w:p>
      <w:pPr>
        <w:spacing w:line="560" w:lineRule="exact"/>
        <w:ind w:firstLine="632" w:firstLineChars="200"/>
        <w:rPr>
          <w:rFonts w:hint="eastAsia" w:ascii="仿宋_GB2312"/>
        </w:rPr>
      </w:pPr>
      <w:r>
        <w:rPr>
          <w:rFonts w:hint="eastAsia" w:ascii="仿宋_GB2312"/>
        </w:rPr>
        <w:t>5.政策衔接。优先申报高新技术企业、科技型中小企业等资质，主动对接享受园区房租减免、人才引育等配套政策，推进项目产业化落地。</w:t>
      </w:r>
    </w:p>
    <w:p>
      <w:pPr>
        <w:spacing w:line="560" w:lineRule="exact"/>
        <w:ind w:firstLine="632" w:firstLineChars="200"/>
        <w:rPr>
          <w:rFonts w:hint="eastAsia" w:ascii="黑体" w:eastAsia="黑体"/>
        </w:rPr>
      </w:pPr>
      <w:r>
        <w:rPr>
          <w:rFonts w:hint="eastAsia" w:ascii="黑体" w:eastAsia="黑体"/>
        </w:rPr>
        <w:t>七、保障措施</w:t>
      </w:r>
    </w:p>
    <w:p>
      <w:pPr>
        <w:spacing w:line="560" w:lineRule="exact"/>
        <w:ind w:firstLine="632" w:firstLineChars="200"/>
        <w:rPr>
          <w:rFonts w:hint="eastAsia" w:ascii="楷体_GB2312" w:eastAsia="楷体_GB2312"/>
        </w:rPr>
      </w:pPr>
      <w:r>
        <w:rPr>
          <w:rFonts w:hint="eastAsia" w:ascii="楷体_GB2312" w:eastAsia="楷体_GB2312"/>
        </w:rPr>
        <w:t>（一）健全协同机制</w:t>
      </w:r>
    </w:p>
    <w:p>
      <w:pPr>
        <w:spacing w:line="560" w:lineRule="exact"/>
        <w:ind w:firstLine="632" w:firstLineChars="200"/>
        <w:rPr>
          <w:rFonts w:hint="eastAsia" w:ascii="仿宋_GB2312"/>
        </w:rPr>
      </w:pPr>
      <w:r>
        <w:rPr>
          <w:rFonts w:hint="eastAsia" w:ascii="仿宋_GB2312"/>
        </w:rPr>
        <w:t>建立区科信局（延庆园管委会）、区财政局、</w:t>
      </w:r>
      <w:r>
        <w:rPr>
          <w:rFonts w:hint="eastAsia" w:ascii="仿宋_GB2312"/>
          <w:lang w:eastAsia="zh-CN"/>
        </w:rPr>
        <w:t>区国资委、</w:t>
      </w:r>
      <w:r>
        <w:rPr>
          <w:rFonts w:hint="eastAsia" w:ascii="仿宋_GB2312"/>
        </w:rPr>
        <w:t>股权代持国有企业联动工作机制，定期召开联席会议，协调解决项目实施中的难点问题，规范流程管理。</w:t>
      </w:r>
    </w:p>
    <w:p>
      <w:pPr>
        <w:spacing w:line="560" w:lineRule="exact"/>
        <w:ind w:firstLine="632" w:firstLineChars="200"/>
        <w:rPr>
          <w:rFonts w:hint="eastAsia" w:ascii="楷体_GB2312" w:eastAsia="楷体_GB2312"/>
        </w:rPr>
      </w:pPr>
      <w:r>
        <w:rPr>
          <w:rFonts w:hint="eastAsia" w:ascii="楷体_GB2312" w:eastAsia="楷体_GB2312"/>
        </w:rPr>
        <w:t>（二）强化要素保障</w:t>
      </w:r>
    </w:p>
    <w:p>
      <w:pPr>
        <w:spacing w:line="560" w:lineRule="exact"/>
        <w:ind w:firstLine="632" w:firstLineChars="200"/>
        <w:rPr>
          <w:rFonts w:hint="eastAsia" w:ascii="仿宋_GB2312"/>
        </w:rPr>
      </w:pPr>
      <w:r>
        <w:rPr>
          <w:rFonts w:hint="eastAsia" w:ascii="仿宋_GB2312"/>
        </w:rPr>
        <w:t>发挥市、区两级基金支持作用，重点关注校企联合平台，</w:t>
      </w:r>
      <w:r>
        <w:rPr>
          <w:rFonts w:ascii="仿宋_GB2312"/>
        </w:rPr>
        <w:t>引导区级基金加强对</w:t>
      </w:r>
      <w:r>
        <w:rPr>
          <w:rFonts w:hint="eastAsia" w:ascii="仿宋_GB2312"/>
          <w:lang w:eastAsia="zh-CN"/>
        </w:rPr>
        <w:t>“</w:t>
      </w:r>
      <w:r>
        <w:rPr>
          <w:rFonts w:hint="eastAsia" w:ascii="仿宋_GB2312"/>
        </w:rPr>
        <w:t>拨投联动”科技成果转化</w:t>
      </w:r>
      <w:r>
        <w:rPr>
          <w:rFonts w:ascii="仿宋_GB2312"/>
        </w:rPr>
        <w:t>项目社会投资，</w:t>
      </w:r>
      <w:r>
        <w:rPr>
          <w:rFonts w:hint="eastAsia" w:ascii="仿宋_GB2312"/>
        </w:rPr>
        <w:t>整合园区创新资源，为项目提供技术对接、人才引育、政策申报等配套服务，推动银行、保险、创投机构参与，构建多元化科技金融服务体系。被投企业可优先申报高新技术企业、科技型中小企业等资质，享受园区配套政策。</w:t>
      </w:r>
    </w:p>
    <w:p>
      <w:pPr>
        <w:spacing w:line="560" w:lineRule="exact"/>
        <w:ind w:firstLine="632" w:firstLineChars="200"/>
        <w:rPr>
          <w:rFonts w:hint="eastAsia" w:ascii="楷体_GB2312" w:eastAsia="楷体_GB2312"/>
        </w:rPr>
      </w:pPr>
      <w:r>
        <w:rPr>
          <w:rFonts w:hint="eastAsia" w:ascii="楷体_GB2312" w:eastAsia="楷体_GB2312"/>
        </w:rPr>
        <w:t>（三）</w:t>
      </w:r>
      <w:r>
        <w:rPr>
          <w:rFonts w:hint="eastAsia" w:ascii="楷体_GB2312" w:eastAsia="楷体_GB2312"/>
          <w:lang w:eastAsia="zh-CN"/>
        </w:rPr>
        <w:t>建立</w:t>
      </w:r>
      <w:r>
        <w:rPr>
          <w:rFonts w:hint="eastAsia" w:ascii="楷体_GB2312" w:eastAsia="楷体_GB2312"/>
        </w:rPr>
        <w:t>风险防控机制</w:t>
      </w:r>
    </w:p>
    <w:p>
      <w:pPr>
        <w:spacing w:line="560" w:lineRule="exact"/>
        <w:ind w:firstLine="632" w:firstLineChars="200"/>
        <w:rPr>
          <w:rFonts w:ascii="仿宋_GB2312"/>
        </w:rPr>
      </w:pPr>
      <w:r>
        <w:rPr>
          <w:rFonts w:hint="eastAsia" w:ascii="仿宋_GB2312"/>
        </w:rPr>
        <w:t>1.建立项目风险预警体系，对技术研发、市场开拓等潜在风险进行</w:t>
      </w:r>
      <w:r>
        <w:rPr>
          <w:rFonts w:ascii="仿宋_GB2312"/>
        </w:rPr>
        <w:t>研</w:t>
      </w:r>
      <w:r>
        <w:rPr>
          <w:rFonts w:hint="eastAsia" w:ascii="仿宋_GB2312"/>
        </w:rPr>
        <w:t>判，及时采取应对措施。</w:t>
      </w:r>
    </w:p>
    <w:p>
      <w:pPr>
        <w:spacing w:line="560" w:lineRule="exact"/>
        <w:ind w:firstLine="632" w:firstLineChars="200"/>
        <w:rPr>
          <w:rFonts w:hint="eastAsia" w:ascii="仿宋_GB2312"/>
        </w:rPr>
      </w:pPr>
      <w:r>
        <w:rPr>
          <w:rFonts w:hint="eastAsia" w:ascii="仿宋_GB2312"/>
        </w:rPr>
        <w:t>2.严格资金使用监管，对截留、挪用、挤占财政资金等行为，一经发现立即终止支持，追回已拨付资金，并依法追究相关责任</w:t>
      </w:r>
      <w:r>
        <w:rPr>
          <w:rFonts w:ascii="仿宋_GB2312"/>
        </w:rPr>
        <w:t>。</w:t>
      </w:r>
    </w:p>
    <w:p>
      <w:pPr>
        <w:spacing w:line="560" w:lineRule="exact"/>
        <w:ind w:firstLine="632" w:firstLineChars="200"/>
        <w:rPr>
          <w:rFonts w:hint="eastAsia" w:ascii="仿宋_GB2312"/>
        </w:rPr>
      </w:pPr>
      <w:r>
        <w:rPr>
          <w:rFonts w:hint="eastAsia" w:ascii="仿宋_GB2312"/>
        </w:rPr>
        <w:t>3.第三方机构需对出具的报告真实性、准确性负责，存在弄虚作假行为的，列入黑名单并追究相应责任。</w:t>
      </w:r>
    </w:p>
    <w:p>
      <w:pPr>
        <w:spacing w:line="560" w:lineRule="exact"/>
        <w:ind w:firstLine="632" w:firstLineChars="200"/>
        <w:rPr>
          <w:rFonts w:hint="eastAsia" w:ascii="楷体_GB2312" w:eastAsia="楷体_GB2312"/>
        </w:rPr>
      </w:pPr>
      <w:r>
        <w:rPr>
          <w:rFonts w:hint="eastAsia" w:ascii="楷体_GB2312" w:eastAsia="楷体_GB2312"/>
        </w:rPr>
        <w:t>（四）</w:t>
      </w:r>
      <w:r>
        <w:rPr>
          <w:rFonts w:hint="eastAsia" w:ascii="楷体_GB2312" w:eastAsia="楷体_GB2312"/>
          <w:lang w:eastAsia="zh-CN"/>
        </w:rPr>
        <w:t>建立</w:t>
      </w:r>
      <w:r>
        <w:rPr>
          <w:rFonts w:hint="eastAsia" w:ascii="楷体_GB2312" w:eastAsia="楷体_GB2312"/>
        </w:rPr>
        <w:t>容错免责机制</w:t>
      </w:r>
    </w:p>
    <w:p>
      <w:pPr>
        <w:spacing w:line="560" w:lineRule="exact"/>
        <w:ind w:firstLine="632" w:firstLineChars="200"/>
        <w:rPr>
          <w:rFonts w:ascii="仿宋_GB2312"/>
        </w:rPr>
      </w:pPr>
      <w:r>
        <w:rPr>
          <w:rFonts w:hint="eastAsia" w:ascii="仿宋_GB2312"/>
        </w:rPr>
        <w:t>对履行完整决策程序、未取得预期效果的项目，符合法律法规及相关政策规定、程序合法、相关单位及人员勤勉尽责、未谋求私利的，不追究决策机构、业务主管部门及股权代持国有企业相关人员责任。容错免责适用情形包括</w:t>
      </w:r>
      <w:r>
        <w:rPr>
          <w:rFonts w:ascii="仿宋_GB2312"/>
        </w:rPr>
        <w:t>因不可抗力导致项目无法推进或完成；技术路线选择不当难以实现预定目标；研发关键技术被他人公开致研究无必要；研发取得目标产品但因市场变化无产业化价值；探索新方法、新技术导致项目无法实施或完成</w:t>
      </w:r>
      <w:r>
        <w:rPr>
          <w:rFonts w:hint="eastAsia" w:ascii="仿宋_GB2312"/>
        </w:rPr>
        <w:t>等</w:t>
      </w:r>
      <w:r>
        <w:rPr>
          <w:rFonts w:ascii="仿宋_GB2312"/>
        </w:rPr>
        <w:t>情况</w:t>
      </w:r>
      <w:r>
        <w:rPr>
          <w:rFonts w:hint="eastAsia" w:ascii="仿宋_GB2312"/>
        </w:rPr>
        <w:t>。</w:t>
      </w:r>
    </w:p>
    <w:p>
      <w:pPr>
        <w:spacing w:line="560" w:lineRule="exact"/>
        <w:ind w:firstLine="632" w:firstLineChars="200"/>
        <w:rPr>
          <w:rFonts w:hint="eastAsia" w:ascii="黑体" w:eastAsia="黑体"/>
        </w:rPr>
      </w:pPr>
      <w:r>
        <w:rPr>
          <w:rFonts w:hint="eastAsia" w:ascii="黑体" w:eastAsia="黑体"/>
        </w:rPr>
        <w:t>八、</w:t>
      </w:r>
      <w:r>
        <w:rPr>
          <w:rFonts w:ascii="黑体" w:eastAsia="黑体"/>
        </w:rPr>
        <w:t>其他</w:t>
      </w:r>
    </w:p>
    <w:p>
      <w:pPr>
        <w:spacing w:line="560" w:lineRule="exact"/>
        <w:ind w:firstLine="632" w:firstLineChars="200"/>
        <w:rPr>
          <w:rFonts w:hint="eastAsia" w:ascii="仿宋_GB2312"/>
        </w:rPr>
      </w:pPr>
      <w:r>
        <w:rPr>
          <w:rFonts w:hint="eastAsia" w:ascii="仿宋_GB2312"/>
        </w:rPr>
        <w:t>1.本方案由区科信局（延庆园管委会）负责解释。</w:t>
      </w:r>
    </w:p>
    <w:p>
      <w:pPr>
        <w:spacing w:line="560" w:lineRule="exact"/>
        <w:ind w:firstLine="632" w:firstLineChars="200"/>
        <w:rPr>
          <w:rFonts w:hint="eastAsia" w:ascii="仿宋_GB2312"/>
        </w:rPr>
      </w:pPr>
      <w:r>
        <w:rPr>
          <w:rFonts w:hint="eastAsia" w:ascii="仿宋_GB2312"/>
        </w:rPr>
        <w:t>2.本方案自发布之日起施行，试行</w:t>
      </w:r>
      <w:r>
        <w:rPr>
          <w:rFonts w:ascii="仿宋_GB2312"/>
        </w:rPr>
        <w:t>期为3</w:t>
      </w:r>
      <w:r>
        <w:rPr>
          <w:rFonts w:hint="eastAsia" w:ascii="仿宋_GB2312"/>
        </w:rPr>
        <w:t>年，试行期间如遇国家、北京市和延庆区政策变动，按最新政策执行。有效期届满后，依据实施成效进行综合研判，确定是否延续执行。</w:t>
      </w:r>
    </w:p>
    <w:p>
      <w:pPr>
        <w:spacing w:line="560" w:lineRule="exact"/>
        <w:ind w:firstLine="632" w:firstLineChars="200"/>
        <w:rPr>
          <w:rFonts w:hint="eastAsia" w:ascii="仿宋_GB2312"/>
        </w:rPr>
      </w:pPr>
      <w:r>
        <w:rPr>
          <w:rFonts w:ascii="仿宋_GB2312"/>
        </w:rPr>
        <w:t>3</w:t>
      </w:r>
      <w:r>
        <w:rPr>
          <w:rFonts w:hint="eastAsia" w:ascii="仿宋_GB2312"/>
        </w:rPr>
        <w:t>.本方案未尽事宜，按照国家、北京市及延庆区相关法律法规和政策执行。</w:t>
      </w:r>
    </w:p>
    <w:sectPr>
      <w:footerReference r:id="rId7" w:type="first"/>
      <w:footerReference r:id="rId5" w:type="default"/>
      <w:footerReference r:id="rId6" w:type="even"/>
      <w:pgSz w:w="11907" w:h="16840"/>
      <w:pgMar w:top="2098" w:right="1474" w:bottom="1985" w:left="1588" w:header="851" w:footer="992" w:gutter="0"/>
      <w:pgNumType w:fmt="numberInDash"/>
      <w:cols w:space="720" w:num="1"/>
      <w:docGrid w:type="linesAndChars" w:linePitch="579" w:charSpace="-8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pBdr>
        <w:top w:val="none" w:color="auto" w:sz="0" w:space="0"/>
        <w:left w:val="none" w:color="auto" w:sz="0" w:space="0"/>
        <w:bottom w:val="none" w:color="auto" w:sz="0" w:space="0"/>
        <w:right w:val="none" w:color="auto" w:sz="0" w:space="0"/>
      </w:pBdr>
      <w:rPr>
        <w:rFonts w:hint="eastAsia" w:ascii="宋体" w:eastAsia="宋体"/>
      </w:rPr>
    </w:pPr>
    <w:r>
      <w:rPr>
        <w:rStyle w:val="12"/>
        <w:rFonts w:hint="eastAsia" w:ascii="宋体" w:eastAsia="宋体"/>
        <w:sz w:val="28"/>
        <w:szCs w:val="28"/>
      </w:rPr>
      <w:fldChar w:fldCharType="begin"/>
    </w:r>
    <w:r>
      <w:rPr>
        <w:rStyle w:val="12"/>
        <w:rFonts w:hint="eastAsia" w:ascii="宋体" w:eastAsia="宋体"/>
        <w:sz w:val="28"/>
        <w:szCs w:val="28"/>
      </w:rPr>
      <w:instrText xml:space="preserve">Page</w:instrText>
    </w:r>
    <w:r>
      <w:rPr>
        <w:rStyle w:val="12"/>
        <w:rFonts w:hint="eastAsia" w:ascii="宋体" w:eastAsia="宋体"/>
        <w:sz w:val="28"/>
        <w:szCs w:val="28"/>
      </w:rPr>
      <w:fldChar w:fldCharType="separate"/>
    </w:r>
    <w:r>
      <w:rPr>
        <w:rStyle w:val="12"/>
        <w:rFonts w:hint="eastAsia" w:ascii="宋体" w:eastAsia="宋体"/>
        <w:sz w:val="28"/>
        <w:szCs w:val="28"/>
      </w:rPr>
      <w:t>—1—</w:t>
    </w:r>
    <w:r>
      <w:rPr>
        <w:rStyle w:val="12"/>
        <w:rFonts w:hint="eastAsia" w:ascii="宋体" w:eastAsia="宋体"/>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pPr>
      <w:pStyle w:val="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57"/>
  <w:drawingGridVerticalSpacing w:val="217"/>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09E6538C"/>
    <w:rsid w:val="6B5CB0AC"/>
    <w:rsid w:val="787EFD3B"/>
    <w:rsid w:val="AE852D3F"/>
    <w:rsid w:val="AEFF2F6C"/>
    <w:rsid w:val="EFFD39AB"/>
    <w:rsid w:val="FD87EAEC"/>
    <w:rsid w:val="FFF1D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仿宋_GB2312" w:cs="Courier New"/>
      <w:kern w:val="2"/>
      <w:sz w:val="32"/>
      <w:szCs w:val="3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7"/>
      </w:tabs>
      <w:snapToGrid w:val="0"/>
      <w:jc w:val="left"/>
    </w:pPr>
    <w:rPr>
      <w:sz w:val="18"/>
    </w:rPr>
  </w:style>
  <w:style w:type="paragraph" w:styleId="7">
    <w:name w:val="header"/>
    <w:basedOn w:val="1"/>
    <w:qFormat/>
    <w:uiPriority w:val="0"/>
    <w:pPr>
      <w:pBdr>
        <w:bottom w:val="single" w:color="auto" w:sz="6" w:space="1"/>
      </w:pBdr>
      <w:tabs>
        <w:tab w:val="center" w:pos="4153"/>
        <w:tab w:val="right" w:pos="8307"/>
      </w:tabs>
      <w:snapToGrid w:val="0"/>
      <w:jc w:val="center"/>
    </w:pPr>
    <w:rPr>
      <w:sz w:val="18"/>
    </w:rPr>
  </w:style>
  <w:style w:type="paragraph" w:styleId="8">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cs="Times New Roman"/>
      <w:snapToGrid/>
      <w:color w:val="auto"/>
      <w:spacing w:val="0"/>
      <w:w w:val="100"/>
      <w:kern w:val="0"/>
      <w:position w:val="0"/>
      <w:sz w:val="24"/>
      <w:szCs w:val="21"/>
      <w:u w:val="none" w:color="auto"/>
      <w:vertAlign w:val="baseline"/>
      <w:lang w:val="en-US" w:eastAsia="zh-CN" w:bidi="ar-SA"/>
    </w:rPr>
  </w:style>
  <w:style w:type="character" w:styleId="11">
    <w:name w:val="Strong"/>
    <w:basedOn w:val="10"/>
    <w:qFormat/>
    <w:uiPriority w:val="0"/>
    <w:rPr>
      <w:b/>
    </w:rPr>
  </w:style>
  <w:style w:type="character" w:styleId="12">
    <w:name w:val="page number"/>
    <w:basedOn w:val="10"/>
    <w:qFormat/>
    <w:uiPriority w:val="0"/>
  </w:style>
  <w:style w:type="character" w:styleId="13">
    <w:name w:val="Emphasis"/>
    <w:basedOn w:val="10"/>
    <w:qFormat/>
    <w:uiPriority w:val="0"/>
    <w:rPr>
      <w:i/>
    </w:rPr>
  </w:style>
  <w:style w:type="paragraph" w:styleId="14">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4908</Words>
  <Characters>4989</Characters>
  <Lines>234</Lines>
  <Paragraphs>101</Paragraphs>
  <TotalTime>4</TotalTime>
  <ScaleCrop>false</ScaleCrop>
  <LinksUpToDate>false</LinksUpToDate>
  <CharactersWithSpaces>4989</CharactersWithSpaces>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2021-05-14T22:38:00Z</dcterms:created>
  <dc:creator>Cynthia</dc:creator>
  <cp:lastModifiedBy>Lenovo</cp:lastModifiedBy>
  <cp:lastPrinted>2026-02-28T23:16:00Z</cp:lastPrinted>
  <dcterms:modified xsi:type="dcterms:W3CDTF">2026-03-02T01:22:41Z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D144EF5D7057492B9A93FEC536311F83</vt:lpwstr>
  </property>
</Properties>
</file>